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guía-46--técnico-de-campo-ambiental"/>
    <w:p>
      <w:pPr>
        <w:pStyle w:val="Heading1"/>
      </w:pPr>
      <w:r>
        <w:t xml:space="preserve">Guía 46 — Técnico de Campo Ambiental</w:t>
      </w:r>
    </w:p>
    <w:p>
      <w:pPr>
        <w:pStyle w:val="FirstParagraph"/>
      </w:pPr>
      <w:r>
        <w:rPr>
          <w:bCs/>
          <w:b/>
        </w:rPr>
        <w:t xml:space="preserve">Maestro de trabajo controlado en español latinoamericano neutro — versión 2.0</w:t>
      </w:r>
      <w:r>
        <w:br/>
      </w:r>
      <w:r>
        <w:rPr>
          <w:bCs/>
          <w:b/>
        </w:rPr>
        <w:t xml:space="preserve">Fecha de revisión:</w:t>
      </w:r>
      <w:r>
        <w:t xml:space="preserve"> </w:t>
      </w:r>
      <w:r>
        <w:t xml:space="preserve">18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Los técnicos de campo ambiental ayudan a recopilar, documentar, monitorear y organizar información ambiental utilizada por científicos, ingenieros, laboratorios, entidades públicas, consultoras, empresas de servicios públicos, equipos de construcción, programas de remediación y otras organizaciones. Según el puesto, el trabajo puede involucrar aire, suelo, agua subterránea, agua superficial, aguas residuales, residuos, instalaciones industriales, asuntos de salud pública, equipos de monitoreo, observaciones de campo o registros ambientales.</w:t>
      </w:r>
    </w:p>
    <w:p>
      <w:pPr>
        <w:pStyle w:val="BodyText"/>
      </w:pPr>
      <w:r>
        <w:t xml:space="preserve">En Estados Unidos, el ancla ocupacional más sólida para esta guía es</w:t>
      </w:r>
      <w:r>
        <w:t xml:space="preserve"> </w:t>
      </w:r>
      <w:r>
        <w:rPr>
          <w:bCs/>
          <w:b/>
        </w:rPr>
        <w:t xml:space="preserve">Environmental Science and Protection Technicians, Including Health — SOC 19-4042 / O*NET 19-4042.00</w:t>
      </w:r>
      <w:r>
        <w:t xml:space="preserve">. BLS describe técnicos que monitorean el ambiente, investigan fuentes de contaminación, recopilan y rastrean muestras, trabajan con instrumentos e información de laboratorio y, con frecuencia, trabajan bajo la supervisión de científicos ambientales. O*NET describe expresamente pruebas de campo y laboratorio realizadas bajo la dirección de un científico ambiental, ingeniero u otro especialista.</w:t>
      </w:r>
    </w:p>
    <w:p>
      <w:pPr>
        <w:pStyle w:val="BodyText"/>
      </w:pPr>
      <w:r>
        <w:t xml:space="preserve">Los empleadores pueden usar títulos como técnico ambiental, técnico de campo, técnico de campo ambiental, técnico de ciencias ambientales, técnico de muestreo, técnico de calidad del agua, técnico de monitoreo ambiental, técnico de remediación o técnico de ingeniería ambiental. Títulos parecidos pueden implicar matrices, sitios, peligros, credenciales, autoridad de reporte, viajes, conducción, exigencias físicas y responsabilidades legales muy diferentes.</w:t>
      </w:r>
    </w:p>
    <w:p>
      <w:pPr>
        <w:pStyle w:val="BodyText"/>
      </w:pPr>
      <w:r>
        <w:t xml:space="preserve">El título del puesto por sí solo no autoriza a una persona a ingresar a un sitio peligroso o espacio confinado, seleccionar un método de muestreo, escoger preservantes químicos, emitir determinaciones regulatorias, certificar cumplimiento, firmar resultados de laboratorio, operar equipos especializados, seleccionar un respirador, perturbar material contaminado, realizar respuesta a emergencias ni declarar que un sitio es seguro. Esas tareas dependen del proyecto, la jurisdicción, el empleador, el plan o procedimiento aprobado, la evaluación de peligros, la capacitación, la supervisión y la autorización.</w:t>
      </w:r>
    </w:p>
    <w:p>
      <w:pPr>
        <w:pStyle w:val="BodyText"/>
      </w:pPr>
      <w:r>
        <w:t xml:space="preserve">Esta guía apoya la exploración profesional. No es un método de muestreo, plan de salud y seguridad del sitio, plan de aseguramiento de calidad, procedimiento de cadena de custodia, método de laboratorio, interpretación de permiso ambiental, curso HAZWOPER, programa de protección respiratoria, programa de espacios confinados, plan de respuesta a emergencias ni autorización para realizar trabajo regulado.</w:t>
      </w:r>
    </w:p>
    <w:bookmarkEnd w:id="20"/>
    <w:bookmarkStart w:id="21" w:name="qué-hacen-realmente-los-técnicos"/>
    <w:p>
      <w:pPr>
        <w:pStyle w:val="Heading2"/>
      </w:pPr>
      <w:r>
        <w:t xml:space="preserve">Qué hacen realmente los técnicos</w:t>
      </w:r>
    </w:p>
    <w:p>
      <w:pPr>
        <w:pStyle w:val="FirstParagraph"/>
      </w:pPr>
      <w:r>
        <w:t xml:space="preserve">Según el empleador, proyecto, capacitación y autorización, el trabajo puede incluir:</w:t>
      </w:r>
    </w:p>
    <w:p>
      <w:pPr>
        <w:numPr>
          <w:ilvl w:val="0"/>
          <w:numId w:val="1001"/>
        </w:numPr>
        <w:pStyle w:val="Compact"/>
      </w:pPr>
      <w:r>
        <w:t xml:space="preserve">revisar instrucciones del proyecto, órdenes de trabajo, planos del sitio, información de seguridad, planes de muestreo, procedimientos operativos estándar, permisos y requisitos de calidad;</w:t>
      </w:r>
    </w:p>
    <w:p>
      <w:pPr>
        <w:numPr>
          <w:ilvl w:val="0"/>
          <w:numId w:val="1001"/>
        </w:numPr>
        <w:pStyle w:val="Compact"/>
      </w:pPr>
      <w:r>
        <w:t xml:space="preserve">inspeccionar u observar condiciones ambientales y registrar únicamente lo que realmente se vio, midió o reportó;</w:t>
      </w:r>
    </w:p>
    <w:p>
      <w:pPr>
        <w:numPr>
          <w:ilvl w:val="0"/>
          <w:numId w:val="1001"/>
        </w:numPr>
        <w:pStyle w:val="Compact"/>
      </w:pPr>
      <w:r>
        <w:t xml:space="preserve">recolectar o apoyar la recolección aprobada de muestras de aire, suelo, agua, aguas residuales, sedimentos, residuos u otras matrices conforme a procedimientos específicos del proyecto;</w:t>
      </w:r>
    </w:p>
    <w:p>
      <w:pPr>
        <w:numPr>
          <w:ilvl w:val="0"/>
          <w:numId w:val="1001"/>
        </w:numPr>
        <w:pStyle w:val="Compact"/>
      </w:pPr>
      <w:r>
        <w:t xml:space="preserve">etiquetar, preservar, empacar, documentar y transferir muestras conforme al método aprobado y al proceso de cadena de custodia;</w:t>
      </w:r>
    </w:p>
    <w:p>
      <w:pPr>
        <w:numPr>
          <w:ilvl w:val="0"/>
          <w:numId w:val="1001"/>
        </w:numPr>
        <w:pStyle w:val="Compact"/>
      </w:pPr>
      <w:r>
        <w:t xml:space="preserve">instalar, revisar, limpiar o mantener instrumentos de campo dentro de los procedimientos y competencias asignados;</w:t>
      </w:r>
    </w:p>
    <w:p>
      <w:pPr>
        <w:numPr>
          <w:ilvl w:val="0"/>
          <w:numId w:val="1001"/>
        </w:numPr>
        <w:pStyle w:val="Compact"/>
      </w:pPr>
      <w:r>
        <w:t xml:space="preserve">registrar identificación del instrumento, datos requeridos de calibración o verificación, condiciones de campo, identificadores de muestra, horas, ubicaciones, observaciones y desviaciones;</w:t>
      </w:r>
    </w:p>
    <w:p>
      <w:pPr>
        <w:numPr>
          <w:ilvl w:val="0"/>
          <w:numId w:val="1001"/>
        </w:numPr>
        <w:pStyle w:val="Compact"/>
      </w:pPr>
      <w:r>
        <w:t xml:space="preserve">fotografiar o mapear ubicaciones aprobadas protegiendo información sensible y cumpliendo reglas del cliente y del sitio;</w:t>
      </w:r>
    </w:p>
    <w:p>
      <w:pPr>
        <w:numPr>
          <w:ilvl w:val="0"/>
          <w:numId w:val="1001"/>
        </w:numPr>
        <w:pStyle w:val="Compact"/>
      </w:pPr>
      <w:r>
        <w:t xml:space="preserve">preparar notas de campo, registros, tablas, mapas, resúmenes o paquetes de datos para revisión;</w:t>
      </w:r>
    </w:p>
    <w:p>
      <w:pPr>
        <w:numPr>
          <w:ilvl w:val="0"/>
          <w:numId w:val="1001"/>
        </w:numPr>
        <w:pStyle w:val="Compact"/>
      </w:pPr>
      <w:r>
        <w:t xml:space="preserve">transportar equipos o muestras conforme a requisitos aplicables de empaque, custodia, temperatura, envío y seguridad;</w:t>
      </w:r>
    </w:p>
    <w:p>
      <w:pPr>
        <w:numPr>
          <w:ilvl w:val="0"/>
          <w:numId w:val="1001"/>
        </w:numPr>
        <w:pStyle w:val="Compact"/>
      </w:pPr>
      <w:r>
        <w:t xml:space="preserve">comunicar condiciones inesperadas, equipos dañados, lecturas anómalas, problemas de muestras, derrames, condiciones inseguras, problemas de acceso o desviaciones;</w:t>
      </w:r>
    </w:p>
    <w:p>
      <w:pPr>
        <w:numPr>
          <w:ilvl w:val="0"/>
          <w:numId w:val="1001"/>
        </w:numPr>
        <w:pStyle w:val="Compact"/>
      </w:pPr>
      <w:r>
        <w:t xml:space="preserve">coordinar con científicos, ingenieros, personal de laboratorio, gerentes de proyecto, personal de salud y seguridad, representantes del sitio, reguladores, contratistas y otros técnicos; y</w:t>
      </w:r>
    </w:p>
    <w:p>
      <w:pPr>
        <w:numPr>
          <w:ilvl w:val="0"/>
          <w:numId w:val="1001"/>
        </w:numPr>
        <w:pStyle w:val="Compact"/>
      </w:pPr>
      <w:r>
        <w:t xml:space="preserve">detenerse y escalar cuando la tarea, condición del sitio, identidad de la muestra, peligro, procedimiento, dato o autorización sea incierto.</w:t>
      </w:r>
    </w:p>
    <w:p>
      <w:pPr>
        <w:pStyle w:val="FirstParagraph"/>
      </w:pPr>
      <w:r>
        <w:t xml:space="preserve">BLS y O*NET describen tareas ocupacionales amplias. No establecen que toda persona de nivel inicial pueda realizar todas las tareas. Un técnico nuevo puede comenzar con observaciones supervisadas, preparación de equipos, documentación, apoyo de bajo riesgo en muestreo, logística y funciones de asistente de campo antes de avanzar mediante la calificación del empleador y del proyecto.</w:t>
      </w:r>
    </w:p>
    <w:bookmarkEnd w:id="21"/>
    <w:bookmarkStart w:id="22" w:name="entorno-de-trabajo-y-horarios"/>
    <w:p>
      <w:pPr>
        <w:pStyle w:val="Heading2"/>
      </w:pPr>
      <w:r>
        <w:t xml:space="preserve">Entorno de trabajo y horarios</w:t>
      </w:r>
    </w:p>
    <w:p>
      <w:pPr>
        <w:pStyle w:val="FirstParagraph"/>
      </w:pPr>
      <w:r>
        <w:t xml:space="preserve">Los técnicos ambientales pueden trabajar en oficinas, laboratorios, instalaciones industriales, zonas de construcción, empresas de servicios públicos, espacios públicos, terrenos no urbanizados, bordes de carretera, cuerpos de agua, sitios de remediación y lugares remotos. BLS señala que el trabajo de campo puede realizarse al aire libre y bajo condiciones climáticas adversas. Los técnicos pueden pasar bastante tiempo de pie o caminando y pueden cargar equipos.</w:t>
      </w:r>
    </w:p>
    <w:p>
      <w:pPr>
        <w:pStyle w:val="BodyText"/>
      </w:pPr>
      <w:r>
        <w:t xml:space="preserve">Los horarios dependen de la asignación. Algunos puestos tienen horario diurno regular; otros requieren inicios muy temprano, jornadas largas de viaje, estadías nocturnas, adaptación al horario del cliente, trabajo estacional, ventanas de muestreo, horarios no convencionales o respuesta urgente. Un puesto de muestreo rutinario de aguas subterráneas puede ser muy diferente de una investigación de sitio peligroso, monitoreo de construcción, apoyo de higiene industrial, estudios ecológicos o trabajo centrado en laboratorio.</w:t>
      </w:r>
    </w:p>
    <w:p>
      <w:pPr>
        <w:pStyle w:val="BodyText"/>
      </w:pPr>
      <w:r>
        <w:t xml:space="preserve">Antes de aceptar un puesto, pregunta dónde se realiza el trabajo de campo, cuánto viaje y conducción se espera, si se permite trabajo en solitario, cómo se gestionan retrasos por clima, qué equipos deben cargarse, qué peligros son habituales, qué capacitación proporciona el empleador y qué tareas están prohibidas hasta obtener la calificación necesaria.</w:t>
      </w:r>
    </w:p>
    <w:bookmarkEnd w:id="22"/>
    <w:bookmarkStart w:id="23" w:name="exigencias-físicas"/>
    <w:p>
      <w:pPr>
        <w:pStyle w:val="Heading2"/>
      </w:pPr>
      <w:r>
        <w:t xml:space="preserve">Exigencias físicas</w:t>
      </w:r>
    </w:p>
    <w:p>
      <w:pPr>
        <w:pStyle w:val="FirstParagraph"/>
      </w:pPr>
      <w:r>
        <w:t xml:space="preserve">El trabajo de campo puede requerir estar de pie, caminar sobre terreno irregular, agacharse, arrodillarse, alcanzar objetos, cargar neveras o instrumentos, cargar vehículos, usar escaleras, trabajar cerca del agua y realizar tareas repetitivas de documentación o manejo de muestras. Las condiciones pueden incluir calor, frío, lluvia, sol, barro, insectos, vegetación, ruido, tránsito, polvo, olores y acceso limitado.</w:t>
      </w:r>
    </w:p>
    <w:p>
      <w:pPr>
        <w:pStyle w:val="BodyText"/>
      </w:pPr>
      <w:r>
        <w:t xml:space="preserve">Los requisitos físicos varían según el trabajo real. Cuando los peligros y las funciones esenciales lo justifican, los empleadores pueden establecer requisitos legales relacionados con conducción, levantamiento de carga, EPP, respirador, vigilancia médica, vacunación, aptitud para el trabajo o respuesta a emergencias.</w:t>
      </w:r>
    </w:p>
    <w:p>
      <w:pPr>
        <w:pStyle w:val="BodyText"/>
      </w:pPr>
      <w:r>
        <w:t xml:space="preserve">No trates las exigencias físicas como una prueba de resistencia. Pregunta cómo controla el empleador el levantamiento de cargas, calor y frío, resbalones y caídas, tránsito, fatiga, trabajo remoto, exposición, comunicaciones, trabajo cerca del agua o aberturas y respuesta a emergencias, y cómo gestiona adaptaciones razonables conforme a la ley para el puesto real.</w:t>
      </w:r>
    </w:p>
    <w:bookmarkEnd w:id="23"/>
    <w:bookmarkStart w:id="24" w:name="X24b8286aeea17fa0ba9c1f640c5ed284e2c4de0"/>
    <w:p>
      <w:pPr>
        <w:pStyle w:val="Heading2"/>
      </w:pPr>
      <w:r>
        <w:t xml:space="preserve">La seguridad está antes que la producción</w:t>
      </w:r>
    </w:p>
    <w:p>
      <w:pPr>
        <w:pStyle w:val="FirstParagraph"/>
      </w:pPr>
      <w:r>
        <w:t xml:space="preserve">El trabajo ambiental de campo puede exponer a las personas a vehículos en movimiento, tránsito, resbalones y caídas, clima severo, calor o frío, fauna e insectos, suelo o agua contaminados, químicos, objetos cortopunzantes, material biológico, equipos industriales, ruido, superficies inestables, excavaciones abiertas, cuerpos de agua, atmósferas desconocidas, residuos peligrosos y otros peligros específicos del sitio.</w:t>
      </w:r>
    </w:p>
    <w:p>
      <w:pPr>
        <w:pStyle w:val="BodyText"/>
      </w:pPr>
      <w:r>
        <w:t xml:space="preserve">No improvises manejo de materiales peligrosos, respuesta a derrames, muestreo intrusivo, química de descontaminación, selección de respiradores, ingreso o rescate en espacios confinados, ingreso a excavaciones, trabajo energizado, control de tránsito, trabajo en alturas, respuesta a emergencias ni disposición de residuos. Usa únicamente los procedimientos aprobados del empleador, evaluación de peligros, roles capacitados, EPP requerido, comunicaciones, permisos y supervisión.</w:t>
      </w:r>
    </w:p>
    <w:p>
      <w:pPr>
        <w:pStyle w:val="BodyText"/>
      </w:pPr>
      <w:r>
        <w:t xml:space="preserve">Detén el trabajo y escala cuando:</w:t>
      </w:r>
    </w:p>
    <w:p>
      <w:pPr>
        <w:numPr>
          <w:ilvl w:val="0"/>
          <w:numId w:val="1002"/>
        </w:numPr>
        <w:pStyle w:val="Compact"/>
      </w:pPr>
      <w:r>
        <w:t xml:space="preserve">una tarea esté fuera de tu capacitación, función asignada, procedimiento escrito o autorización del empleador;</w:t>
      </w:r>
    </w:p>
    <w:p>
      <w:pPr>
        <w:numPr>
          <w:ilvl w:val="0"/>
          <w:numId w:val="1002"/>
        </w:numPr>
        <w:pStyle w:val="Compact"/>
      </w:pPr>
      <w:r>
        <w:t xml:space="preserve">no estén claros el plan de muestreo, método, ubicación, matriz, recipiente, preservación, tiempo de retención o identidad de la muestra;</w:t>
      </w:r>
    </w:p>
    <w:p>
      <w:pPr>
        <w:numPr>
          <w:ilvl w:val="0"/>
          <w:numId w:val="1002"/>
        </w:numPr>
        <w:pStyle w:val="Compact"/>
      </w:pPr>
      <w:r>
        <w:t xml:space="preserve">encuentres una sustancia desconocida, recipiente sin etiqueta, vapor visible, olor fuerte o inesperado, polvo inusual, película, mancha, líquido, gas, residuo o desecho;</w:t>
      </w:r>
    </w:p>
    <w:p>
      <w:pPr>
        <w:numPr>
          <w:ilvl w:val="0"/>
          <w:numId w:val="1002"/>
        </w:numPr>
        <w:pStyle w:val="Compact"/>
      </w:pPr>
      <w:r>
        <w:t xml:space="preserve">presentes síntomas o un monitor o alarma indique una condición potencialmente insegura;</w:t>
      </w:r>
    </w:p>
    <w:p>
      <w:pPr>
        <w:numPr>
          <w:ilvl w:val="0"/>
          <w:numId w:val="1002"/>
        </w:numPr>
        <w:pStyle w:val="Compact"/>
      </w:pPr>
      <w:r>
        <w:t xml:space="preserve">el EPP requerido falte, esté dañado, parezca incompatible o no haya sido seleccionado claramente mediante la evaluación de peligros del empleador;</w:t>
      </w:r>
    </w:p>
    <w:p>
      <w:pPr>
        <w:numPr>
          <w:ilvl w:val="0"/>
          <w:numId w:val="1002"/>
        </w:numPr>
        <w:pStyle w:val="Compact"/>
      </w:pPr>
      <w:r>
        <w:t xml:space="preserve">parezca necesario un respirador pero no estés cubierto por el programa de protección respiratoria requerido o la atmósfera sea incierta;</w:t>
      </w:r>
    </w:p>
    <w:p>
      <w:pPr>
        <w:numPr>
          <w:ilvl w:val="0"/>
          <w:numId w:val="1002"/>
        </w:numPr>
        <w:pStyle w:val="Compact"/>
      </w:pPr>
      <w:r>
        <w:t xml:space="preserve">un foso, pozo de inspección, bóveda, tanque, alcantarillado, recipiente, zanja, excavación, espacio de acceso reducido u otra ubicación pueda presentar riesgo de espacio confinado, sepultamiento, colapso o atmósfera peligrosa;</w:t>
      </w:r>
    </w:p>
    <w:p>
      <w:pPr>
        <w:numPr>
          <w:ilvl w:val="0"/>
          <w:numId w:val="1002"/>
        </w:numPr>
        <w:pStyle w:val="Compact"/>
      </w:pPr>
      <w:r>
        <w:t xml:space="preserve">el tránsito, equipos móviles, terreno inestable, agua abierta, riesgo de caída, clima severo, rayos, calor, frío, fauna, seguridad física o condiciones de acceso no estén controlados;</w:t>
      </w:r>
    </w:p>
    <w:p>
      <w:pPr>
        <w:numPr>
          <w:ilvl w:val="0"/>
          <w:numId w:val="1002"/>
        </w:numPr>
        <w:pStyle w:val="Compact"/>
      </w:pPr>
      <w:r>
        <w:t xml:space="preserve">sean inciertos la identidad, estado, calibración o verificación, condición de contaminación o estado operativo seguro de un equipo;</w:t>
      </w:r>
    </w:p>
    <w:p>
      <w:pPr>
        <w:numPr>
          <w:ilvl w:val="0"/>
          <w:numId w:val="1002"/>
        </w:numPr>
        <w:pStyle w:val="Compact"/>
      </w:pPr>
      <w:r>
        <w:t xml:space="preserve">una etiqueta, sello, nevera, formulario de custodia, hora, ubicación, medición, fotografía o registro de campo no coincida con el registro del proyecto;</w:t>
      </w:r>
    </w:p>
    <w:p>
      <w:pPr>
        <w:numPr>
          <w:ilvl w:val="0"/>
          <w:numId w:val="1002"/>
        </w:numPr>
        <w:pStyle w:val="Compact"/>
      </w:pPr>
      <w:r>
        <w:t xml:space="preserve">un resultado u observación inesperado genere presión para cambiar, omitir, completar retrospectivamente o normalizar datos de campo;</w:t>
      </w:r>
    </w:p>
    <w:p>
      <w:pPr>
        <w:numPr>
          <w:ilvl w:val="0"/>
          <w:numId w:val="1002"/>
        </w:numPr>
        <w:pStyle w:val="Compact"/>
      </w:pPr>
      <w:r>
        <w:t xml:space="preserve">falten comunicaciones, supervisión, arreglos de emergencia, procedimientos de registro periódico o cobertura de una segunda persona cuando sea requerida; o</w:t>
      </w:r>
    </w:p>
    <w:p>
      <w:pPr>
        <w:numPr>
          <w:ilvl w:val="0"/>
          <w:numId w:val="1002"/>
        </w:numPr>
        <w:pStyle w:val="Compact"/>
      </w:pPr>
      <w:r>
        <w:t xml:space="preserve">la presión de cronograma, producción, cliente o costos entre en conflicto con controles de seguridad, ambientales, de calidad de datos o legales.</w:t>
      </w:r>
    </w:p>
    <w:bookmarkEnd w:id="24"/>
    <w:bookmarkStart w:id="25" w:name="X05a1c6266ca6bbd18222a0fde244748f3f81885"/>
    <w:p>
      <w:pPr>
        <w:pStyle w:val="Heading2"/>
      </w:pPr>
      <w:r>
        <w:t xml:space="preserve">Límites sobre residuos peligrosos y contaminación desconocida</w:t>
      </w:r>
    </w:p>
    <w:p>
      <w:pPr>
        <w:pStyle w:val="FirstParagraph"/>
      </w:pPr>
      <w:r>
        <w:t xml:space="preserve">Algunos puestos de técnico ambiental involucran sitios de residuos peligrosos o materiales contaminados; muchos otros no. En Estados Unidos, OSHA</w:t>
      </w:r>
      <w:r>
        <w:t xml:space="preserve"> </w:t>
      </w:r>
      <w:r>
        <w:rPr>
          <w:bCs/>
          <w:b/>
        </w:rPr>
        <w:t xml:space="preserve">29 CFR 1910.120</w:t>
      </w:r>
      <w:r>
        <w:t xml:space="preserve"> </w:t>
      </w:r>
      <w:r>
        <w:t xml:space="preserve">se aplica únicamente a operaciones dentro de su alcance definido para residuos peligrosos y respuesta a emergencias. BLS indica que los técnicos cuyo trabajo involucra residuos peligrosos normalmente necesitan capacitación que cumpla los estándares de OSHA, pero esto no significa que todo técnico de campo ambiental necesite HAZWOPER.</w:t>
      </w:r>
    </w:p>
    <w:p>
      <w:pPr>
        <w:pStyle w:val="BodyText"/>
      </w:pPr>
      <w:r>
        <w:t xml:space="preserve">No ingreses ni trabajes en un sitio peligroso solo porque un curso, certificado en línea o título laboral te haga sentir preparado. El empleador debe determinar si la operación está cubierta, qué peligros existen, qué capacitación y disposiciones médicas aplican, qué zonas y controles de trabajo se requieren y qué tareas estás autorizado a realizar.</w:t>
      </w:r>
    </w:p>
    <w:p>
      <w:pPr>
        <w:pStyle w:val="BodyText"/>
      </w:pPr>
      <w:r>
        <w:t xml:space="preserve">La contaminación desconocida debe tratarse como desconocida: no se debe adivinar a partir del color, olor, historia del sitio, una respuesta de IA o un instrumento portátil usado fuera de su aplicación aprobada. Si el material, atmósfera, estado del sitio o control de exposición es incierto, detén el trabajo y contacta al personal responsable del proyecto y de seguridad.</w:t>
      </w:r>
    </w:p>
    <w:bookmarkEnd w:id="25"/>
    <w:bookmarkStart w:id="26" w:name="epp-respiradores-y-peligros-químicos"/>
    <w:p>
      <w:pPr>
        <w:pStyle w:val="Heading2"/>
      </w:pPr>
      <w:r>
        <w:t xml:space="preserve">EPP, respiradores y peligros químicos</w:t>
      </w:r>
    </w:p>
    <w:p>
      <w:pPr>
        <w:pStyle w:val="FirstParagraph"/>
      </w:pPr>
      <w:r>
        <w:t xml:space="preserve">OSHA</w:t>
      </w:r>
      <w:r>
        <w:t xml:space="preserve"> </w:t>
      </w:r>
      <w:r>
        <w:rPr>
          <w:bCs/>
          <w:b/>
        </w:rPr>
        <w:t xml:space="preserve">29 CFR 1910.132</w:t>
      </w:r>
      <w:r>
        <w:t xml:space="preserve"> </w:t>
      </w:r>
      <w:r>
        <w:t xml:space="preserve">exige que los empleadores cubiertos evalúen los peligros del lugar de trabajo y seleccionen EPP apropiado para esos peligros. Por eso no existe una lista universal de EPP para campo ambiental que sea correcta para todos los sitios.</w:t>
      </w:r>
    </w:p>
    <w:p>
      <w:pPr>
        <w:pStyle w:val="BodyText"/>
      </w:pPr>
      <w:r>
        <w:t xml:space="preserve">OSHA</w:t>
      </w:r>
      <w:r>
        <w:t xml:space="preserve"> </w:t>
      </w:r>
      <w:r>
        <w:rPr>
          <w:bCs/>
          <w:b/>
        </w:rPr>
        <w:t xml:space="preserve">29 CFR 1910.134</w:t>
      </w:r>
      <w:r>
        <w:t xml:space="preserve"> </w:t>
      </w:r>
      <w:r>
        <w:t xml:space="preserve">ubica el uso obligatorio de respiradores dentro de un programa escrito y específico del lugar de trabajo que incluye evaluación de peligros, selección del respirador, evaluación médica, prueba de ajuste cuando aplique, uso, mantenimiento, capacitación y evaluación del programa. No selecciones por cuenta propia un respirador, cartucho, filtro, factor de protección o programa de cambio basándote en una publicación de internet, una guía profesional o una respuesta de IA.</w:t>
      </w:r>
    </w:p>
    <w:p>
      <w:pPr>
        <w:pStyle w:val="BodyText"/>
      </w:pPr>
      <w:r>
        <w:t xml:space="preserve">OSHA</w:t>
      </w:r>
      <w:r>
        <w:t xml:space="preserve"> </w:t>
      </w:r>
      <w:r>
        <w:rPr>
          <w:bCs/>
          <w:b/>
        </w:rPr>
        <w:t xml:space="preserve">29 CFR 1910.1200</w:t>
      </w:r>
      <w:r>
        <w:t xml:space="preserve"> </w:t>
      </w:r>
      <w:r>
        <w:t xml:space="preserve">exige a los empleadores cubiertos comunicar los peligros químicos mediante etiquetas, hojas de datos de seguridad, advertencias y capacitación. Los proyectos ambientales pueden usar preservantes de muestras, productos de descontaminación, combustibles, gases de calibración o químicos de laboratorio, o pueden encontrar químicos de proceso y sustancias desconocidas.</w:t>
      </w:r>
    </w:p>
    <w:p>
      <w:pPr>
        <w:pStyle w:val="BodyText"/>
      </w:pPr>
      <w:r>
        <w:t xml:space="preserve">No mezcles, neutralices, transfieras, abras, deseches ni manipules de otra manera un químico o material contaminado salvo que la tarea esté cubierta por tu capacitación, el procedimiento aprobado del proyecto, el sistema de comunicación de peligros y la autorización del empleador. Reporta de inmediato recipientes dañados, etiquetas faltantes, materiales incompatibles, derrames o síntomas mediante el proceso del sitio.</w:t>
      </w:r>
    </w:p>
    <w:bookmarkEnd w:id="26"/>
    <w:bookmarkStart w:id="27" w:name="X1f27ce2041bd3413444eeff821ca3479591c655"/>
    <w:p>
      <w:pPr>
        <w:pStyle w:val="Heading2"/>
      </w:pPr>
      <w:r>
        <w:t xml:space="preserve">Espacios confinados y otros límites de alto riesgo</w:t>
      </w:r>
    </w:p>
    <w:p>
      <w:pPr>
        <w:pStyle w:val="FirstParagraph"/>
      </w:pPr>
      <w:r>
        <w:t xml:space="preserve">Los puntos de muestreo ambiental pueden estar cerca de alcantarillas, bóvedas, tanques, pozos, sumideros, espacios reducidos, excavaciones, zanjas, equipos industriales, techos, cuerpos de agua o tránsito. La ubicación de una muestra no crea permiso para ingresar ni alcanzar una zona peligrosa.</w:t>
      </w:r>
    </w:p>
    <w:p>
      <w:pPr>
        <w:pStyle w:val="BodyText"/>
      </w:pPr>
      <w:r>
        <w:t xml:space="preserve">OSHA</w:t>
      </w:r>
      <w:r>
        <w:t xml:space="preserve"> </w:t>
      </w:r>
      <w:r>
        <w:rPr>
          <w:bCs/>
          <w:b/>
        </w:rPr>
        <w:t xml:space="preserve">29 CFR 1910.146</w:t>
      </w:r>
      <w:r>
        <w:t xml:space="preserve"> </w:t>
      </w:r>
      <w:r>
        <w:t xml:space="preserve">exige que los empleadores cubiertos en industria general evalúen el lugar de trabajo para identificar espacios confinados que requieren permiso y establece programas del empleador, roles definidos, evaluación de peligros, aislamiento y control, permisos, monitoreo, comunicaciones y disposiciones de rescate cuando existe ingreso.</w:t>
      </w:r>
    </w:p>
    <w:p>
      <w:pPr>
        <w:pStyle w:val="BodyText"/>
      </w:pPr>
      <w:r>
        <w:t xml:space="preserve">Esta guía no enseña clasificación de espacios confinados, pruebas atmosféricas para autorizar ingreso, ventilación, funciones del vigía, supervisión de ingreso ni rescate. Nunca ingreses a un espacio incierto ni intentes un rescate improvisado.</w:t>
      </w:r>
    </w:p>
    <w:p>
      <w:pPr>
        <w:pStyle w:val="BodyText"/>
      </w:pPr>
      <w:r>
        <w:t xml:space="preserve">De igual forma, no ingreses a una excavación, trabajes en altura, dirijas tránsito, trabajes sobre o junto al agua, accedas a equipos energizados, abras sistemas de proceso, perturbes material sospechoso de asbesto, plomo u otro peligro, ni realices respuesta a emergencias salvo que la asignación real, la regulación, el programa del empleador, la capacitación, el equipo y la autorización lo permitan.</w:t>
      </w:r>
    </w:p>
    <w:bookmarkEnd w:id="27"/>
    <w:bookmarkStart w:id="28" w:name="muestreo-de-campo-y-cadena-de-custodia"/>
    <w:p>
      <w:pPr>
        <w:pStyle w:val="Heading2"/>
      </w:pPr>
      <w:r>
        <w:t xml:space="preserve">Muestreo de campo y cadena de custodia</w:t>
      </w:r>
    </w:p>
    <w:p>
      <w:pPr>
        <w:pStyle w:val="FirstParagraph"/>
      </w:pPr>
      <w:r>
        <w:t xml:space="preserve">El muestreo ambiental es trabajo controlado. El método correcto depende del objetivo del proyecto, matriz, analito, programa regulatorio, plan de muestreo aprobado, procedimiento operativo estándar, método analítico, instrucciones del laboratorio, recipientes, preservación, tiempo de retención, requisitos de control de calidad, condiciones del sitio y ley aplicable.</w:t>
      </w:r>
    </w:p>
    <w:p>
      <w:pPr>
        <w:pStyle w:val="BodyText"/>
      </w:pPr>
      <w:r>
        <w:t xml:space="preserve">Los recursos de calidad de EPA respaldan el principio de que la información ambiental debe recopilarse bajo controles de calidad documentados. Los materiales de EPA sobre recolección también demuestran la función de los registros de campo, identificación única de muestra, fecha/hora y ubicación de recolección, y registros de cadena de custodia para proteger la integridad de la muestra.</w:t>
      </w:r>
    </w:p>
    <w:p>
      <w:pPr>
        <w:pStyle w:val="BodyText"/>
      </w:pPr>
      <w:r>
        <w:t xml:space="preserve">Esos recursos no son una receta universal. Un procedimiento de un programa, matriz, contaminante o escenario de EPA no debe copiarse a otro proyecto sin aprobación.</w:t>
      </w:r>
    </w:p>
    <w:p>
      <w:pPr>
        <w:pStyle w:val="BodyText"/>
      </w:pPr>
      <w:r>
        <w:t xml:space="preserve">Antes de muestrear, verifica mediante el sistema aprobado del proyecto:</w:t>
      </w:r>
    </w:p>
    <w:p>
      <w:pPr>
        <w:numPr>
          <w:ilvl w:val="0"/>
          <w:numId w:val="1003"/>
        </w:numPr>
        <w:pStyle w:val="Compact"/>
      </w:pPr>
      <w:r>
        <w:t xml:space="preserve">la ubicación exacta y punto de muestra;</w:t>
      </w:r>
    </w:p>
    <w:p>
      <w:pPr>
        <w:numPr>
          <w:ilvl w:val="0"/>
          <w:numId w:val="1003"/>
        </w:numPr>
        <w:pStyle w:val="Compact"/>
      </w:pPr>
      <w:r>
        <w:t xml:space="preserve">la matriz y análisis solicitados;</w:t>
      </w:r>
    </w:p>
    <w:p>
      <w:pPr>
        <w:numPr>
          <w:ilvl w:val="0"/>
          <w:numId w:val="1003"/>
        </w:numPr>
        <w:pStyle w:val="Compact"/>
      </w:pPr>
      <w:r>
        <w:t xml:space="preserve">el método o SOP aprobado;</w:t>
      </w:r>
    </w:p>
    <w:p>
      <w:pPr>
        <w:numPr>
          <w:ilvl w:val="0"/>
          <w:numId w:val="1003"/>
        </w:numPr>
        <w:pStyle w:val="Compact"/>
      </w:pPr>
      <w:r>
        <w:t xml:space="preserve">recipiente, volumen, preservación, tiempo de retención y requisitos de manipulación;</w:t>
      </w:r>
    </w:p>
    <w:p>
      <w:pPr>
        <w:numPr>
          <w:ilvl w:val="0"/>
          <w:numId w:val="1003"/>
        </w:numPr>
        <w:pStyle w:val="Compact"/>
      </w:pPr>
      <w:r>
        <w:t xml:space="preserve">muestras de control de calidad y documentación requeridas;</w:t>
      </w:r>
    </w:p>
    <w:p>
      <w:pPr>
        <w:numPr>
          <w:ilvl w:val="0"/>
          <w:numId w:val="1003"/>
        </w:numPr>
        <w:pStyle w:val="Compact"/>
      </w:pPr>
      <w:r>
        <w:t xml:space="preserve">requisitos de instrumentos y de calibración o verificación;</w:t>
      </w:r>
    </w:p>
    <w:p>
      <w:pPr>
        <w:numPr>
          <w:ilvl w:val="0"/>
          <w:numId w:val="1003"/>
        </w:numPr>
        <w:pStyle w:val="Compact"/>
      </w:pPr>
      <w:r>
        <w:t xml:space="preserve">identificadores de muestra, etiquetas, sellos, formularios de campo y proceso de cadena de custodia;</w:t>
      </w:r>
    </w:p>
    <w:p>
      <w:pPr>
        <w:numPr>
          <w:ilvl w:val="0"/>
          <w:numId w:val="1003"/>
        </w:numPr>
        <w:pStyle w:val="Compact"/>
      </w:pPr>
      <w:r>
        <w:t xml:space="preserve">requisitos de empaque, enfriamiento, envío y entrega; y</w:t>
      </w:r>
    </w:p>
    <w:p>
      <w:pPr>
        <w:numPr>
          <w:ilvl w:val="0"/>
          <w:numId w:val="1003"/>
        </w:numPr>
        <w:pStyle w:val="Compact"/>
      </w:pPr>
      <w:r>
        <w:t xml:space="preserve">la persona autorizada para resolver desviaciones o condiciones inesperadas.</w:t>
      </w:r>
    </w:p>
    <w:p>
      <w:pPr>
        <w:pStyle w:val="FirstParagraph"/>
      </w:pPr>
      <w:r>
        <w:t xml:space="preserve">Si algún elemento controlado es incierto, detente y pregunta. No improvises porque esté por llegar el mensajero del laboratorio, un cliente esté esperando o el cronograma esté ajustado.</w:t>
      </w:r>
    </w:p>
    <w:bookmarkEnd w:id="28"/>
    <w:bookmarkStart w:id="29" w:name="X4f83a6eecacec2b7405bb75274289c6e7ef3751"/>
    <w:p>
      <w:pPr>
        <w:pStyle w:val="Heading2"/>
      </w:pPr>
      <w:r>
        <w:t xml:space="preserve">Calidad de datos, calibración, registros y límites de cumplimiento</w:t>
      </w:r>
    </w:p>
    <w:p>
      <w:pPr>
        <w:pStyle w:val="FirstParagraph"/>
      </w:pPr>
      <w:r>
        <w:t xml:space="preserve">Los datos ambientales de campo pueden influir en decisiones de ingeniería, remediación, salud pública, permisos, acciones de cumplimiento, litigios, decisiones de clientes y conclusiones científicas. La exactitud y trazabilidad importan.</w:t>
      </w:r>
    </w:p>
    <w:p>
      <w:pPr>
        <w:pStyle w:val="BodyText"/>
      </w:pPr>
      <w:r>
        <w:t xml:space="preserve">Registra únicamente lo que realmente observaste, mediste, recibiste o realizaste. Usa las unidades, identificadores, horas, formato de ubicación, ID de instrumento y formulario de campo requeridos. Sigue el procedimiento de corrección del proyecto en lugar de borrar, sobrescribir, fechar retroactivamente u ocultar un error.</w:t>
      </w:r>
    </w:p>
    <w:p>
      <w:pPr>
        <w:pStyle w:val="BodyText"/>
      </w:pPr>
      <w:r>
        <w:t xml:space="preserve">Si un instrumento requiere calibración o verificación, sigue el procedimiento aprobado y registra el resultado exigido. No inventes una calibración, reutilices un valor antiguo, ajustes una lectura para que coincida con lo esperado ni declares aceptable un instrumento fuera de tu autoridad asignada.</w:t>
      </w:r>
    </w:p>
    <w:p>
      <w:pPr>
        <w:pStyle w:val="BodyText"/>
      </w:pPr>
      <w:r>
        <w:t xml:space="preserve">Una medición inusual no es automáticamente incorrecta. Protege la observación original, repite o verifica únicamente cuando lo permita el procedimiento aprobado, documenta lo ocurrido y escala las anomalías. Nunca elimines silenciosamente un valor atípico ni sustituyas un número plausible.</w:t>
      </w:r>
    </w:p>
    <w:p>
      <w:pPr>
        <w:pStyle w:val="BodyText"/>
      </w:pPr>
      <w:r>
        <w:t xml:space="preserve">Un técnico puede recopilar datos que se usan en trabajo de cumplimiento, pero recopilar datos no equivale a tener autoridad legal para determinar cumplimiento. No firmes, certifiques, liberes ni caracterices un resultado como conforme/no conforme salvo que esa responsabilidad esté expresamente dentro de tu función autorizada.</w:t>
      </w:r>
    </w:p>
    <w:bookmarkEnd w:id="29"/>
    <w:bookmarkStart w:id="30" w:name="X23ce80b228a2be88e3ee50a2db24fe5c90e221c"/>
    <w:p>
      <w:pPr>
        <w:pStyle w:val="Heading2"/>
      </w:pPr>
      <w:r>
        <w:t xml:space="preserve">Ciberseguridad, privacidad y datos sensibles de ubicación</w:t>
      </w:r>
    </w:p>
    <w:p>
      <w:pPr>
        <w:pStyle w:val="FirstParagraph"/>
      </w:pPr>
      <w:r>
        <w:t xml:space="preserve">Los proyectos ambientales pueden involucrar sistemas de clientes, instalaciones industriales, infraestructura crítica, propiedad privada, sitios de investigación, geolocalización, fotografías, credenciales de acceso, resultados de laboratorio, información personal y hallazgos ambientales no publicados.</w:t>
      </w:r>
    </w:p>
    <w:p>
      <w:pPr>
        <w:pStyle w:val="BodyText"/>
      </w:pPr>
      <w:r>
        <w:t xml:space="preserve">Usa únicamente dispositivos, aplicaciones, cuentas, almacenamiento, métodos de transferencia de archivos y servicios en la nube aprobados por el empleador. Protege credenciales, códigos de acceso, instrucciones de ingreso, diagramas de instalaciones, ubicaciones de muestreo, arreglos de seguridad, datos de instalaciones reguladas, información de incidentes, contactos de clientes, registros de laboratorio y fotografías conforme a políticas y ley.</w:t>
      </w:r>
    </w:p>
    <w:p>
      <w:pPr>
        <w:pStyle w:val="BodyText"/>
      </w:pPr>
      <w:r>
        <w:t xml:space="preserve">No cargues fotografías sensibles del sitio, coordenadas, formularios de cadena de custodia, archivos de clientes, registros de campo, resultados de laboratorio, detalles de acceso o información regulada en un servicio público de IA salvo que el empleador haya aprobado expresamente ese sistema y ese uso de datos.</w:t>
      </w:r>
    </w:p>
    <w:p>
      <w:pPr>
        <w:pStyle w:val="BodyText"/>
      </w:pPr>
      <w:r>
        <w:t xml:space="preserve">Si se pierde un dispositivo, se compromete una cuenta, se envía un archivo a la persona equivocada o se expone información sensible, repórtalo de inmediato mediante el proceso de incidentes del empleador en lugar de intentar ocultarlo o arreglarlo de forma privada.</w:t>
      </w:r>
    </w:p>
    <w:bookmarkEnd w:id="30"/>
    <w:bookmarkStart w:id="31" w:name="habilidades-que-valoran-los-empleadores"/>
    <w:p>
      <w:pPr>
        <w:pStyle w:val="Heading2"/>
      </w:pPr>
      <w:r>
        <w:t xml:space="preserve">Habilidades que valoran los empleadores</w:t>
      </w:r>
    </w:p>
    <w:p>
      <w:pPr>
        <w:pStyle w:val="FirstParagraph"/>
      </w:pPr>
      <w:r>
        <w:t xml:space="preserve">Los empleadores suelen valorar:</w:t>
      </w:r>
    </w:p>
    <w:p>
      <w:pPr>
        <w:numPr>
          <w:ilvl w:val="0"/>
          <w:numId w:val="1004"/>
        </w:numPr>
        <w:pStyle w:val="Compact"/>
      </w:pPr>
      <w:r>
        <w:t xml:space="preserve">lectura cuidadosa de planes, SOP, formularios de campo, etiquetas, información de seguridad e instrucciones de trabajo;</w:t>
      </w:r>
    </w:p>
    <w:p>
      <w:pPr>
        <w:numPr>
          <w:ilvl w:val="0"/>
          <w:numId w:val="1004"/>
        </w:numPr>
        <w:pStyle w:val="Compact"/>
      </w:pPr>
      <w:r>
        <w:t xml:space="preserve">observación, medición, identificación de muestras y documentación precisas;</w:t>
      </w:r>
    </w:p>
    <w:p>
      <w:pPr>
        <w:numPr>
          <w:ilvl w:val="0"/>
          <w:numId w:val="1004"/>
        </w:numPr>
        <w:pStyle w:val="Compact"/>
      </w:pPr>
      <w:r>
        <w:t xml:space="preserve">fundamentos de química, biología, ciencia ambiental, matemáticas, estadística e informática apropiados para el puesto;</w:t>
      </w:r>
    </w:p>
    <w:p>
      <w:pPr>
        <w:numPr>
          <w:ilvl w:val="0"/>
          <w:numId w:val="1004"/>
        </w:numPr>
        <w:pStyle w:val="Compact"/>
      </w:pPr>
      <w:r>
        <w:t xml:space="preserve">logística de campo confiable, cuidado de equipos y organización del vehículo;</w:t>
      </w:r>
    </w:p>
    <w:p>
      <w:pPr>
        <w:numPr>
          <w:ilvl w:val="0"/>
          <w:numId w:val="1004"/>
        </w:numPr>
        <w:pStyle w:val="Compact"/>
      </w:pPr>
      <w:r>
        <w:t xml:space="preserve">disciplina en cadena de custodia y registros;</w:t>
      </w:r>
    </w:p>
    <w:p>
      <w:pPr>
        <w:numPr>
          <w:ilvl w:val="0"/>
          <w:numId w:val="1004"/>
        </w:numPr>
        <w:pStyle w:val="Compact"/>
      </w:pPr>
      <w:r>
        <w:t xml:space="preserve">atención a cambios en clima, tránsito, terreno, acceso, contaminación y otras condiciones del sitio;</w:t>
      </w:r>
    </w:p>
    <w:p>
      <w:pPr>
        <w:numPr>
          <w:ilvl w:val="0"/>
          <w:numId w:val="1004"/>
        </w:numPr>
        <w:pStyle w:val="Compact"/>
      </w:pPr>
      <w:r>
        <w:t xml:space="preserve">disposición a detenerse y escalar la incertidumbre en vez de adivinar;</w:t>
      </w:r>
    </w:p>
    <w:p>
      <w:pPr>
        <w:numPr>
          <w:ilvl w:val="0"/>
          <w:numId w:val="1004"/>
        </w:numPr>
        <w:pStyle w:val="Compact"/>
      </w:pPr>
      <w:r>
        <w:t xml:space="preserve">comunicación con científicos, ingenieros, laboratorios, gerentes de proyecto, personal del sitio y clientes;</w:t>
      </w:r>
    </w:p>
    <w:p>
      <w:pPr>
        <w:numPr>
          <w:ilvl w:val="0"/>
          <w:numId w:val="1004"/>
        </w:numPr>
        <w:pStyle w:val="Compact"/>
      </w:pPr>
      <w:r>
        <w:t xml:space="preserve">comodidad con hojas de cálculo, mapas, formularios digitales, herramientas GPS/ubicación, fotografías y sistemas de datos controlados cuando estén autorizados; y</w:t>
      </w:r>
    </w:p>
    <w:p>
      <w:pPr>
        <w:numPr>
          <w:ilvl w:val="0"/>
          <w:numId w:val="1004"/>
        </w:numPr>
        <w:pStyle w:val="Compact"/>
      </w:pPr>
      <w:r>
        <w:t xml:space="preserve">respeto por el alcance del proyecto, programas de seguridad, sistemas de calidad, privacidad y límites regulatorios.</w:t>
      </w:r>
    </w:p>
    <w:p>
      <w:pPr>
        <w:pStyle w:val="FirstParagraph"/>
      </w:pPr>
      <w:r>
        <w:t xml:space="preserve">No te describas como científico, ingeniero, tecnólogo profesional, profesional ambiental certificado, higienista industrial, regulador, trabajador calificado HAZWOPER, usuario calificado de respirador, entrante/rescatista de espacio confinado, analista de laboratorio o autoridad de cumplimiento salvo que realmente tengas la educación, credencial, capacitación o autorización del empleador requerida para esa afirmación.</w:t>
      </w:r>
    </w:p>
    <w:bookmarkEnd w:id="31"/>
    <w:bookmarkStart w:id="36" w:name="educación-y-rutas-de-entrada"/>
    <w:p>
      <w:pPr>
        <w:pStyle w:val="Heading2"/>
      </w:pPr>
      <w:r>
        <w:t xml:space="preserve">Educación y rutas de entrada</w:t>
      </w:r>
    </w:p>
    <w:bookmarkStart w:id="32" w:name="estados-unidos"/>
    <w:p>
      <w:pPr>
        <w:pStyle w:val="Heading3"/>
      </w:pPr>
      <w:r>
        <w:t xml:space="preserve">Estados Unidos</w:t>
      </w:r>
    </w:p>
    <w:p>
      <w:pPr>
        <w:pStyle w:val="FirstParagraph"/>
      </w:pPr>
      <w:r>
        <w:t xml:space="preserve">BLS clasifica</w:t>
      </w:r>
      <w:r>
        <w:t xml:space="preserve"> </w:t>
      </w:r>
      <w:r>
        <w:rPr>
          <w:bCs/>
          <w:b/>
        </w:rPr>
        <w:t xml:space="preserve">Environmental Science and Protection Technicians, Including Health</w:t>
      </w:r>
      <w:r>
        <w:t xml:space="preserve"> </w:t>
      </w:r>
      <w:r>
        <w:t xml:space="preserve">bajo SOC</w:t>
      </w:r>
      <w:r>
        <w:t xml:space="preserve"> </w:t>
      </w:r>
      <w:r>
        <w:rPr>
          <w:bCs/>
          <w:b/>
        </w:rPr>
        <w:t xml:space="preserve">19-4042</w:t>
      </w:r>
      <w:r>
        <w:t xml:space="preserve">. La educación típica de entrada es un</w:t>
      </w:r>
      <w:r>
        <w:t xml:space="preserve"> </w:t>
      </w:r>
      <w:r>
        <w:rPr>
          <w:bCs/>
          <w:b/>
        </w:rPr>
        <w:t xml:space="preserve">associate's degree</w:t>
      </w:r>
      <w:r>
        <w:t xml:space="preserve">; la experiencia laboral relacionada suele ser</w:t>
      </w:r>
      <w:r>
        <w:t xml:space="preserve"> </w:t>
      </w:r>
      <w:r>
        <w:rPr>
          <w:bCs/>
          <w:b/>
        </w:rPr>
        <w:t xml:space="preserve">ninguna</w:t>
      </w:r>
      <w:r>
        <w:t xml:space="preserve">; y el perfil rápido de BLS indica</w:t>
      </w:r>
      <w:r>
        <w:t xml:space="preserve"> </w:t>
      </w:r>
      <w:r>
        <w:rPr>
          <w:bCs/>
          <w:b/>
        </w:rPr>
        <w:t xml:space="preserve">ninguna</w:t>
      </w:r>
      <w:r>
        <w:t xml:space="preserve"> </w:t>
      </w:r>
      <w:r>
        <w:t xml:space="preserve">capacitación posterior al empleo como categoría típica.</w:t>
      </w:r>
    </w:p>
    <w:p>
      <w:pPr>
        <w:pStyle w:val="BodyText"/>
      </w:pPr>
      <w:r>
        <w:t xml:space="preserve">BLS señala que los requisitos reales de educación varían desde diploma de secundaria hasta licenciatura según el puesto. Identifica ciencia ambiental, salud ambiental, salud pública, ciencias naturales, experiencia de laboratorio, matemáticas, estadística e informática como preparación útil.</w:t>
      </w:r>
    </w:p>
    <w:p>
      <w:pPr>
        <w:pStyle w:val="BodyText"/>
      </w:pPr>
      <w:r>
        <w:t xml:space="preserve">Una secuencia práctica es:</w:t>
      </w:r>
    </w:p>
    <w:p>
      <w:pPr>
        <w:numPr>
          <w:ilvl w:val="0"/>
          <w:numId w:val="1005"/>
        </w:numPr>
        <w:pStyle w:val="Compact"/>
      </w:pPr>
      <w:r>
        <w:t xml:space="preserve">Elegir un mercado objetivo y comparar puestos actuales de campo ambiental, técnico de ciencias ambientales, calidad del agua, muestreo, remediación y técnico de ingeniería ambiental.</w:t>
      </w:r>
    </w:p>
    <w:p>
      <w:pPr>
        <w:numPr>
          <w:ilvl w:val="0"/>
          <w:numId w:val="1005"/>
        </w:numPr>
        <w:pStyle w:val="Compact"/>
      </w:pPr>
      <w:r>
        <w:t xml:space="preserve">Separar puestos de ciencia/protección ambiental de apoyo de ingeniería, higiene industrial, residuos peligrosos, ecología, servicios públicos o laboratorio.</w:t>
      </w:r>
    </w:p>
    <w:p>
      <w:pPr>
        <w:numPr>
          <w:ilvl w:val="0"/>
          <w:numId w:val="1005"/>
        </w:numPr>
        <w:pStyle w:val="Compact"/>
      </w:pPr>
      <w:r>
        <w:t xml:space="preserve">Registrar requisitos repetidos de educación, conducción, viajes, campo, seguridad, software, muestreo y credenciales.</w:t>
      </w:r>
    </w:p>
    <w:p>
      <w:pPr>
        <w:numPr>
          <w:ilvl w:val="0"/>
          <w:numId w:val="1005"/>
        </w:numPr>
        <w:pStyle w:val="Compact"/>
      </w:pPr>
      <w:r>
        <w:t xml:space="preserve">Comparar programas públicos de community college o technical college en ciencia ambiental, tecnología ambiental, salud ambiental, química, biología, tecnología de ingeniería civil/ambiental o áreas relacionadas antes de pagar un certificado privado.</w:t>
      </w:r>
    </w:p>
    <w:p>
      <w:pPr>
        <w:numPr>
          <w:ilvl w:val="0"/>
          <w:numId w:val="1005"/>
        </w:numPr>
        <w:pStyle w:val="Compact"/>
      </w:pPr>
      <w:r>
        <w:t xml:space="preserve">Verificar si el puesto real requiere registro estatal, credencial profesional o de inspección, HAZWOPER, calificación respiratoria, CDL, capacitación específica del sitio u otra calificación controlada por el empleador.</w:t>
      </w:r>
    </w:p>
    <w:p>
      <w:pPr>
        <w:numPr>
          <w:ilvl w:val="0"/>
          <w:numId w:val="1005"/>
        </w:numPr>
        <w:pStyle w:val="Compact"/>
      </w:pPr>
      <w:r>
        <w:t xml:space="preserve">Construir experiencia supervisada en documentación de campo, integridad de muestras, ciencias básicas, hojas de cálculo, mapeo, sistemas de calidad y escalamiento seguro.</w:t>
      </w:r>
    </w:p>
    <w:p>
      <w:pPr>
        <w:pStyle w:val="FirstParagraph"/>
      </w:pPr>
      <w:r>
        <w:t xml:space="preserve">La guía no supone que todos los puestos requieran el mismo título académico, credencial o curso de seguridad.</w:t>
      </w:r>
    </w:p>
    <w:bookmarkEnd w:id="32"/>
    <w:bookmarkStart w:id="33" w:name="canadá"/>
    <w:p>
      <w:pPr>
        <w:pStyle w:val="Heading3"/>
      </w:pPr>
      <w:r>
        <w:t xml:space="preserve">Canadá</w:t>
      </w:r>
    </w:p>
    <w:p>
      <w:pPr>
        <w:pStyle w:val="FirstParagraph"/>
      </w:pPr>
      <w:r>
        <w:t xml:space="preserve">Government of Canada Job Bank mapea el título de búsqueda</w:t>
      </w:r>
      <w:r>
        <w:t xml:space="preserve"> </w:t>
      </w:r>
      <w:r>
        <w:rPr>
          <w:bCs/>
          <w:b/>
        </w:rPr>
        <w:t xml:space="preserve">Environmental Technician</w:t>
      </w:r>
      <w:r>
        <w:t xml:space="preserve"> </w:t>
      </w:r>
      <w:r>
        <w:t xml:space="preserve">a</w:t>
      </w:r>
      <w:r>
        <w:t xml:space="preserve"> </w:t>
      </w:r>
      <w:r>
        <w:rPr>
          <w:bCs/>
          <w:b/>
        </w:rPr>
        <w:t xml:space="preserve">Civil engineering technologists and technicians, NOC 22300</w:t>
      </w:r>
      <w:r>
        <w:t xml:space="preserve">. Es un grupo ocupacional más amplio que SOC 19-4042 de Estados Unidos y no es una equivalencia uno a uno.</w:t>
      </w:r>
    </w:p>
    <w:p>
      <w:pPr>
        <w:pStyle w:val="BodyText"/>
      </w:pPr>
      <w:r>
        <w:t xml:space="preserve">Job Bank señala que los técnicos de ingeniería civil normalmente requieren un</w:t>
      </w:r>
      <w:r>
        <w:t xml:space="preserve"> </w:t>
      </w:r>
      <w:r>
        <w:rPr>
          <w:bCs/>
          <w:b/>
        </w:rPr>
        <w:t xml:space="preserve">programa universitario o college de uno o dos años en tecnología de ingeniería civil</w:t>
      </w:r>
      <w:r>
        <w:t xml:space="preserve">; los tecnólogos suelen requerir un programa de dos o tres años. La certificación mediante asociaciones provinciales puede exigirse en algunos puestos, normalmente se requiere experiencia supervisada antes de la certificación y Quebec protege el título Professional Technologist.</w:t>
      </w:r>
    </w:p>
    <w:p>
      <w:pPr>
        <w:pStyle w:val="BodyText"/>
      </w:pPr>
      <w:r>
        <w:t xml:space="preserve">Usa las funciones reales de la vacante para determinar si NOC 22300 es el mapeo canadiense correcto. Verifica requisitos provinciales o territoriales, títulos protegidos, reconocimiento educativo, licencia de conducción, calificaciones de seguridad de campo y expectativas del empleador antes de depender de un curso o credencial extranjera.</w:t>
      </w:r>
    </w:p>
    <w:bookmarkEnd w:id="33"/>
    <w:bookmarkStart w:id="34" w:name="colombia"/>
    <w:p>
      <w:pPr>
        <w:pStyle w:val="Heading3"/>
      </w:pPr>
      <w:r>
        <w:t xml:space="preserve">Colombia</w:t>
      </w:r>
    </w:p>
    <w:p>
      <w:pPr>
        <w:pStyle w:val="FirstParagraph"/>
      </w:pPr>
      <w:r>
        <w:t xml:space="preserve">El catálogo Betowa de SENA identifica rutas públicas directamente relacionadas o adyacentes:</w:t>
      </w:r>
    </w:p>
    <w:p>
      <w:pPr>
        <w:numPr>
          <w:ilvl w:val="0"/>
          <w:numId w:val="1006"/>
        </w:numPr>
        <w:pStyle w:val="Compact"/>
      </w:pPr>
      <w:r>
        <w:rPr>
          <w:bCs/>
          <w:b/>
        </w:rPr>
        <w:t xml:space="preserve">Monitoreo ambiental — Técnico, 2,208 horas</w:t>
      </w:r>
      <w:r>
        <w:t xml:space="preserve">;</w:t>
      </w:r>
    </w:p>
    <w:p>
      <w:pPr>
        <w:numPr>
          <w:ilvl w:val="0"/>
          <w:numId w:val="1006"/>
        </w:numPr>
        <w:pStyle w:val="Compact"/>
      </w:pPr>
      <w:r>
        <w:rPr>
          <w:bCs/>
          <w:b/>
        </w:rPr>
        <w:t xml:space="preserve">Saneamiento y salud ambiental — Técnico, 2,208 horas</w:t>
      </w:r>
      <w:r>
        <w:t xml:space="preserve">; y</w:t>
      </w:r>
    </w:p>
    <w:p>
      <w:pPr>
        <w:numPr>
          <w:ilvl w:val="0"/>
          <w:numId w:val="1006"/>
        </w:numPr>
        <w:pStyle w:val="Compact"/>
      </w:pPr>
      <w:r>
        <w:rPr>
          <w:bCs/>
          <w:b/>
        </w:rPr>
        <w:t xml:space="preserve">Promotoría en manejo ambiental — Técnico, 2,112 horas</w:t>
      </w:r>
      <w:r>
        <w:t xml:space="preserve">.</w:t>
      </w:r>
    </w:p>
    <w:p>
      <w:pPr>
        <w:pStyle w:val="FirstParagraph"/>
      </w:pPr>
      <w:r>
        <w:t xml:space="preserve">El perfil de Monitoreo Ambiental incluye obtención de muestras representativas según protocolos y técnicas de análisis fisicoquímico, prácticas de protección ambiental/SST, manejo de residuos sólidos, razonamiento cuantitativo, etapa práctica y uso de herramientas de información.</w:t>
      </w:r>
    </w:p>
    <w:p>
      <w:pPr>
        <w:pStyle w:val="BodyText"/>
      </w:pPr>
      <w:r>
        <w:t xml:space="preserve">La disponibilidad es dinámica. Puede existir un perfil en el catálogo mientras la vista de oferta abierta no tenga cupos actuales, y pueden existir cohortes específicas para empresas por separado. Verifica en Betowa ubicación, modalidad, fechas, proceso de admisión, requisitos de edad/educación y cupos antes de planificar.</w:t>
      </w:r>
    </w:p>
    <w:bookmarkEnd w:id="34"/>
    <w:bookmarkStart w:id="35" w:name="américa-latina-y-el-caribe"/>
    <w:p>
      <w:pPr>
        <w:pStyle w:val="Heading3"/>
      </w:pPr>
      <w:r>
        <w:t xml:space="preserve">América Latina y el Caribe</w:t>
      </w:r>
    </w:p>
    <w:p>
      <w:pPr>
        <w:pStyle w:val="FirstParagraph"/>
      </w:pPr>
      <w:r>
        <w:t xml:space="preserve">OIT/Cinterfor mantiene una red de instituciones de formación profesional y competencias en América Latina y el Caribe y publica recursos sobre formación para empleos verdes. Usa esa red para identificar la institución pública nacional pertinente y luego verifica el programa exacto y los requisitos ambientales y laborales del país donde pretendes trabajar.</w:t>
      </w:r>
    </w:p>
    <w:p>
      <w:pPr>
        <w:pStyle w:val="BodyText"/>
      </w:pPr>
      <w:r>
        <w:t xml:space="preserve">No supongas que un programa de SENA, curso estadounidense, credencial canadiense, certificado HAZWOPER u otra calificación nacional se transfiere entre países o autoriza trabajo ambiental regulado en otra jurisdicción.</w:t>
      </w:r>
    </w:p>
    <w:bookmarkEnd w:id="35"/>
    <w:bookmarkEnd w:id="36"/>
    <w:bookmarkStart w:id="37" w:name="X63a854b807bfa7cf85bb504dac89b084e5d83d9"/>
    <w:p>
      <w:pPr>
        <w:pStyle w:val="Heading2"/>
      </w:pPr>
      <w:r>
        <w:t xml:space="preserve">Capacitación del empleador y experiencia de campo supervisada</w:t>
      </w:r>
    </w:p>
    <w:p>
      <w:pPr>
        <w:pStyle w:val="FirstParagraph"/>
      </w:pPr>
      <w:r>
        <w:t xml:space="preserve">El trabajo ambiental de campo se aprende en parte mediante educación estructurada y en parte mediante práctica supervisada específica del proyecto. La capacitación del empleador puede incluir inducción al sitio, conducción defensiva, documentación de muestras, uso de equipos, procedimientos de calidad, comunicación de peligros, EPP, sistemas de datos, cadena de custodia, requisitos del cliente, comunicaciones de campo, reporte de incidentes y validación de tareas.</w:t>
      </w:r>
    </w:p>
    <w:p>
      <w:pPr>
        <w:pStyle w:val="BodyText"/>
      </w:pPr>
      <w:r>
        <w:t xml:space="preserve">El trabajo especializado puede requerir programas adicionales del empleador o regulatorios para operaciones con residuos peligrosos, protección respiratoria, espacios confinados, trabajo en alturas, exposición al tránsito, botes o seguridad acuática, proximidad a excavaciones, sitios industriales, radiación, asbesto, plomo, peligros biológicos u otros riesgos.</w:t>
      </w:r>
    </w:p>
    <w:p>
      <w:pPr>
        <w:pStyle w:val="BodyText"/>
      </w:pPr>
      <w:r>
        <w:t xml:space="preserve">Pregunta a los empleadores:</w:t>
      </w:r>
    </w:p>
    <w:p>
      <w:pPr>
        <w:numPr>
          <w:ilvl w:val="0"/>
          <w:numId w:val="1007"/>
        </w:numPr>
        <w:pStyle w:val="Compact"/>
      </w:pPr>
      <w:r>
        <w:t xml:space="preserve">qué capacitación se proporciona y es pagada;</w:t>
      </w:r>
    </w:p>
    <w:p>
      <w:pPr>
        <w:numPr>
          <w:ilvl w:val="0"/>
          <w:numId w:val="1007"/>
        </w:numPr>
        <w:pStyle w:val="Compact"/>
      </w:pPr>
      <w:r>
        <w:t xml:space="preserve">qué credenciales se exigen antes de contratar y cuáles pueden obtenerse después;</w:t>
      </w:r>
    </w:p>
    <w:p>
      <w:pPr>
        <w:numPr>
          <w:ilvl w:val="0"/>
          <w:numId w:val="1007"/>
        </w:numPr>
        <w:pStyle w:val="Compact"/>
      </w:pPr>
      <w:r>
        <w:t xml:space="preserve">si el trabajo de campo es supervisado y por quién;</w:t>
      </w:r>
    </w:p>
    <w:p>
      <w:pPr>
        <w:numPr>
          <w:ilvl w:val="0"/>
          <w:numId w:val="1007"/>
        </w:numPr>
        <w:pStyle w:val="Compact"/>
      </w:pPr>
      <w:r>
        <w:t xml:space="preserve">qué tareas puede realizar independientemente un técnico nuevo;</w:t>
      </w:r>
    </w:p>
    <w:p>
      <w:pPr>
        <w:numPr>
          <w:ilvl w:val="0"/>
          <w:numId w:val="1007"/>
        </w:numPr>
        <w:pStyle w:val="Compact"/>
      </w:pPr>
      <w:r>
        <w:t xml:space="preserve">cómo se documenta la competencia;</w:t>
      </w:r>
    </w:p>
    <w:p>
      <w:pPr>
        <w:numPr>
          <w:ilvl w:val="0"/>
          <w:numId w:val="1007"/>
        </w:numPr>
        <w:pStyle w:val="Compact"/>
      </w:pPr>
      <w:r>
        <w:t xml:space="preserve">si tiempo de viaje, kilometraje, viáticos, EPP, evaluación médica y capacitación requerida son compensados; y</w:t>
      </w:r>
    </w:p>
    <w:p>
      <w:pPr>
        <w:numPr>
          <w:ilvl w:val="0"/>
          <w:numId w:val="1007"/>
        </w:numPr>
        <w:pStyle w:val="Compact"/>
      </w:pPr>
      <w:r>
        <w:t xml:space="preserve">si existen acuerdos de reembolso cuando el empleador paga capacitación externa.</w:t>
      </w:r>
    </w:p>
    <w:p>
      <w:pPr>
        <w:pStyle w:val="FirstParagraph"/>
      </w:pPr>
      <w:r>
        <w:t xml:space="preserve">Una tarjeta de finalización de curso no equivale a competencia demostrada, autorización de proyecto, calificación legal ni empleo permanente.</w:t>
      </w:r>
    </w:p>
    <w:bookmarkEnd w:id="37"/>
    <w:bookmarkStart w:id="38" w:name="X021cd71846327d9a282079abaa5fdf5b31c49de"/>
    <w:p>
      <w:pPr>
        <w:pStyle w:val="Heading2"/>
      </w:pPr>
      <w:r>
        <w:t xml:space="preserve">Aprendizaje primero gratuito y de bajo costo</w:t>
      </w:r>
    </w:p>
    <w:p>
      <w:pPr>
        <w:pStyle w:val="FirstParagraph"/>
      </w:pPr>
      <w:r>
        <w:t xml:space="preserve">Comienza con los trabajos reales que buscas antes de comprar capacitación:</w:t>
      </w:r>
    </w:p>
    <w:p>
      <w:pPr>
        <w:numPr>
          <w:ilvl w:val="0"/>
          <w:numId w:val="1008"/>
        </w:numPr>
        <w:pStyle w:val="Compact"/>
      </w:pPr>
      <w:r>
        <w:t xml:space="preserve">Elige ubicación y subcampo ambiental.</w:t>
      </w:r>
    </w:p>
    <w:p>
      <w:pPr>
        <w:numPr>
          <w:ilvl w:val="0"/>
          <w:numId w:val="1008"/>
        </w:numPr>
        <w:pStyle w:val="Compact"/>
      </w:pPr>
      <w:r>
        <w:t xml:space="preserve">Revisa 15–20 vacantes actuales de empleadores y registra requisitos repetidos.</w:t>
      </w:r>
    </w:p>
    <w:p>
      <w:pPr>
        <w:numPr>
          <w:ilvl w:val="0"/>
          <w:numId w:val="1008"/>
        </w:numPr>
        <w:pStyle w:val="Compact"/>
      </w:pPr>
      <w:r>
        <w:t xml:space="preserve">Identifica la clasificación ocupacional más defendible y cualquier título regulado o protegido.</w:t>
      </w:r>
    </w:p>
    <w:p>
      <w:pPr>
        <w:numPr>
          <w:ilvl w:val="0"/>
          <w:numId w:val="1008"/>
        </w:numPr>
        <w:pStyle w:val="Compact"/>
      </w:pPr>
      <w:r>
        <w:t xml:space="preserve">Busca instituciones públicas, programas de fuerza laboral, SENA o la institución nacional pertinente, capacitación de empleadores y ayuda estudiantil elegible.</w:t>
      </w:r>
    </w:p>
    <w:p>
      <w:pPr>
        <w:numPr>
          <w:ilvl w:val="0"/>
          <w:numId w:val="1008"/>
        </w:numPr>
        <w:pStyle w:val="Compact"/>
      </w:pPr>
      <w:r>
        <w:t xml:space="preserve">Compara el currículo con requisitos reales: métodos de campo, ciencias, matemáticas, estadística, GIS o cartografía, hojas de cálculo, documentación, fundamentos de laboratorio, seguridad y sistemas de calidad.</w:t>
      </w:r>
    </w:p>
    <w:p>
      <w:pPr>
        <w:numPr>
          <w:ilvl w:val="0"/>
          <w:numId w:val="1008"/>
        </w:numPr>
        <w:pStyle w:val="Compact"/>
      </w:pPr>
      <w:r>
        <w:t xml:space="preserve">Verifica si un curso o certificado privado es reconocido por los empleadores, regulador, laboratorio, cliente o cuerpo profesional que realmente importa.</w:t>
      </w:r>
    </w:p>
    <w:p>
      <w:pPr>
        <w:numPr>
          <w:ilvl w:val="0"/>
          <w:numId w:val="1008"/>
        </w:numPr>
        <w:pStyle w:val="Compact"/>
      </w:pPr>
      <w:r>
        <w:t xml:space="preserve">Calcula el costo total, incluidos matrícula, libros, laboratorio, EPP, requisitos médicos, exámenes, viajes, equipos de campo, software, renovación y tiempo de trabajo perdido.</w:t>
      </w:r>
    </w:p>
    <w:p>
      <w:pPr>
        <w:numPr>
          <w:ilvl w:val="0"/>
          <w:numId w:val="1008"/>
        </w:numPr>
        <w:pStyle w:val="Compact"/>
      </w:pPr>
      <w:r>
        <w:t xml:space="preserve">Pide prestado solo después de comparar opciones públicas y patrocinadas por empleadores y confirmar por escrito el valor del programa.</w:t>
      </w:r>
    </w:p>
    <w:p>
      <w:pPr>
        <w:pStyle w:val="FirstParagraph"/>
      </w:pPr>
      <w:r>
        <w:t xml:space="preserve">El aprendizaje gratuito en línea puede apoyar terminología ambiental, fundamentos de química y biología, hojas de cálculo, estadística, conceptos GIS, documentación, aseguramiento de calidad y preparación para entrevistas. No reemplaza competencia de campo supervisada, métodos del proyecto, calificación para trabajo peligroso, procedimientos de laboratorio ni autoridad profesional regulada.</w:t>
      </w:r>
    </w:p>
    <w:bookmarkEnd w:id="38"/>
    <w:bookmarkStart w:id="42" w:name="rutas-de-financiamiento"/>
    <w:p>
      <w:pPr>
        <w:pStyle w:val="Heading2"/>
      </w:pPr>
      <w:r>
        <w:t xml:space="preserve">Rutas de financiamiento</w:t>
      </w:r>
    </w:p>
    <w:bookmarkStart w:id="39" w:name="estados-unidos-1"/>
    <w:p>
      <w:pPr>
        <w:pStyle w:val="Heading3"/>
      </w:pPr>
      <w:r>
        <w:t xml:space="preserve">Estados Unidos</w:t>
      </w:r>
    </w:p>
    <w:p>
      <w:pPr>
        <w:pStyle w:val="FirstParagraph"/>
      </w:pPr>
      <w:r>
        <w:t xml:space="preserve">La guía FAFSA 2026–27 de Federal Student Aid indica que presentar gratuitamente la FAFSA puede ayudar a estudiantes elegibles a acceder a subsidios federales, Federal Work-Study y préstamos federales para estudios elegibles en college, career school o trade school.</w:t>
      </w:r>
    </w:p>
    <w:p>
      <w:pPr>
        <w:pStyle w:val="BodyText"/>
      </w:pPr>
      <w:r>
        <w:t xml:space="preserve">Verifica la institución y programa exactos antes de asumir que la ayuda aplica. Un curso privado corto de muestreo, curso HAZWOPER, certificado en línea, capacitación del empleador o curso de proveedor no es automáticamente elegible para ayuda federal.</w:t>
      </w:r>
    </w:p>
    <w:bookmarkEnd w:id="39"/>
    <w:bookmarkStart w:id="40" w:name="canadá-1"/>
    <w:p>
      <w:pPr>
        <w:pStyle w:val="Heading3"/>
      </w:pPr>
      <w:r>
        <w:t xml:space="preserve">Canadá</w:t>
      </w:r>
    </w:p>
    <w:p>
      <w:pPr>
        <w:pStyle w:val="FirstParagraph"/>
      </w:pPr>
      <w:r>
        <w:t xml:space="preserve">El Government of Canada señala que Canada Student Financial Assistance Program ofrece subsidios y préstamos para estudios postsecundarios elegibles en jurisdicciones participantes. Provincias y territorios determinan o administran elementos importantes de elegibilidad, incluidas instituciones y programas designados.</w:t>
      </w:r>
    </w:p>
    <w:p>
      <w:pPr>
        <w:pStyle w:val="BodyText"/>
      </w:pPr>
      <w:r>
        <w:t xml:space="preserve">Las reglas vigentes cambiaron para algunas instituciones privadas con fines de lucro a partir del 1 de agosto de 2026, por lo que debes verificar la institución y programa reales con la oficina de ayuda estudiantil provincial o territorial antes de inscribirte.</w:t>
      </w:r>
    </w:p>
    <w:bookmarkEnd w:id="40"/>
    <w:bookmarkStart w:id="41" w:name="colombia-1"/>
    <w:p>
      <w:pPr>
        <w:pStyle w:val="Heading3"/>
      </w:pPr>
      <w:r>
        <w:t xml:space="preserve">Colombia</w:t>
      </w:r>
    </w:p>
    <w:p>
      <w:pPr>
        <w:pStyle w:val="FirstParagraph"/>
      </w:pPr>
      <w:r>
        <w:t xml:space="preserve">Los avisos oficiales de SENA de 2026 describen sus convocatorias públicas de formación técnica y tecnológica como gratuitas. Matrícula gratuita no garantiza una cohorte ambiental vigente, admisión, transporte, equipos, práctica de campo, portabilidad de una credencial ni empleo.</w:t>
      </w:r>
    </w:p>
    <w:p>
      <w:pPr>
        <w:pStyle w:val="BodyText"/>
      </w:pPr>
      <w:r>
        <w:t xml:space="preserve">Ninguna ruta de financiamiento de esta guía garantiza ayuda, admisión, finalización, credencial, práctica de campo o empleo.</w:t>
      </w:r>
    </w:p>
    <w:bookmarkEnd w:id="41"/>
    <w:bookmarkEnd w:id="42"/>
    <w:bookmarkStart w:id="45" w:name="salarios-y-perspectivas"/>
    <w:p>
      <w:pPr>
        <w:pStyle w:val="Heading2"/>
      </w:pPr>
      <w:r>
        <w:t xml:space="preserve">Salarios y perspectivas</w:t>
      </w:r>
    </w:p>
    <w:bookmarkStart w:id="43" w:name="estados-unidos-2"/>
    <w:p>
      <w:pPr>
        <w:pStyle w:val="Heading3"/>
      </w:pPr>
      <w:r>
        <w:t xml:space="preserve">Estados Unidos</w:t>
      </w:r>
    </w:p>
    <w:p>
      <w:pPr>
        <w:pStyle w:val="FirstParagraph"/>
      </w:pPr>
      <w:r>
        <w:t xml:space="preserve">BLS reporta para</w:t>
      </w:r>
      <w:r>
        <w:t xml:space="preserve"> </w:t>
      </w:r>
      <w:r>
        <w:rPr>
          <w:bCs/>
          <w:b/>
        </w:rPr>
        <w:t xml:space="preserve">Environmental Science and Protection Technicians, Including Health — SOC 19-4042</w:t>
      </w:r>
      <w:r>
        <w:t xml:space="preserve">:</w:t>
      </w:r>
    </w:p>
    <w:p>
      <w:pPr>
        <w:numPr>
          <w:ilvl w:val="0"/>
          <w:numId w:val="1009"/>
        </w:numPr>
        <w:pStyle w:val="Compact"/>
      </w:pPr>
      <w:r>
        <w:rPr>
          <w:bCs/>
          <w:b/>
        </w:rPr>
        <w:t xml:space="preserve">salario anual mediano en mayo de 2024: USD $49,490</w:t>
      </w:r>
      <w:r>
        <w:t xml:space="preserve">;</w:t>
      </w:r>
    </w:p>
    <w:p>
      <w:pPr>
        <w:numPr>
          <w:ilvl w:val="0"/>
          <w:numId w:val="1009"/>
        </w:numPr>
        <w:pStyle w:val="Compact"/>
      </w:pPr>
      <w:r>
        <w:rPr>
          <w:bCs/>
          <w:b/>
        </w:rPr>
        <w:t xml:space="preserve">salario por hora mediano en mayo de 2024: USD $23.79</w:t>
      </w:r>
      <w:r>
        <w:t xml:space="preserve">;</w:t>
      </w:r>
    </w:p>
    <w:p>
      <w:pPr>
        <w:numPr>
          <w:ilvl w:val="0"/>
          <w:numId w:val="1009"/>
        </w:numPr>
        <w:pStyle w:val="Compact"/>
      </w:pPr>
      <w:r>
        <w:rPr>
          <w:bCs/>
          <w:b/>
        </w:rPr>
        <w:t xml:space="preserve">10 por ciento inferior: menos de $36,130</w:t>
      </w:r>
      <w:r>
        <w:t xml:space="preserve">;</w:t>
      </w:r>
    </w:p>
    <w:p>
      <w:pPr>
        <w:numPr>
          <w:ilvl w:val="0"/>
          <w:numId w:val="1009"/>
        </w:numPr>
        <w:pStyle w:val="Compact"/>
      </w:pPr>
      <w:r>
        <w:rPr>
          <w:bCs/>
          <w:b/>
        </w:rPr>
        <w:t xml:space="preserve">10 por ciento superior: más de $85,630</w:t>
      </w:r>
      <w:r>
        <w:t xml:space="preserve">;</w:t>
      </w:r>
    </w:p>
    <w:p>
      <w:pPr>
        <w:numPr>
          <w:ilvl w:val="0"/>
          <w:numId w:val="1009"/>
        </w:numPr>
        <w:pStyle w:val="Compact"/>
      </w:pPr>
      <w:r>
        <w:rPr>
          <w:bCs/>
          <w:b/>
        </w:rPr>
        <w:t xml:space="preserve">empleo: 40,400 en 2024</w:t>
      </w:r>
      <w:r>
        <w:t xml:space="preserve">;</w:t>
      </w:r>
    </w:p>
    <w:p>
      <w:pPr>
        <w:numPr>
          <w:ilvl w:val="0"/>
          <w:numId w:val="1009"/>
        </w:numPr>
        <w:pStyle w:val="Compact"/>
      </w:pPr>
      <w:r>
        <w:rPr>
          <w:bCs/>
          <w:b/>
        </w:rPr>
        <w:t xml:space="preserve">empleo proyectado: 42,100 en 2034</w:t>
      </w:r>
      <w:r>
        <w:t xml:space="preserve">;</w:t>
      </w:r>
    </w:p>
    <w:p>
      <w:pPr>
        <w:numPr>
          <w:ilvl w:val="0"/>
          <w:numId w:val="1009"/>
        </w:numPr>
        <w:pStyle w:val="Compact"/>
      </w:pPr>
      <w:r>
        <w:rPr>
          <w:bCs/>
          <w:b/>
        </w:rPr>
        <w:t xml:space="preserve">cambio proyectado: +1,600 empleos / +4 por ciento</w:t>
      </w:r>
      <w:r>
        <w:t xml:space="preserve">; y</w:t>
      </w:r>
    </w:p>
    <w:p>
      <w:pPr>
        <w:numPr>
          <w:ilvl w:val="0"/>
          <w:numId w:val="1009"/>
        </w:numPr>
        <w:pStyle w:val="Compact"/>
      </w:pPr>
      <w:r>
        <w:rPr>
          <w:bCs/>
          <w:b/>
        </w:rPr>
        <w:t xml:space="preserve">aproximadamente 5,600 vacantes por año en promedio</w:t>
      </w:r>
      <w:r>
        <w:t xml:space="preserve"> </w:t>
      </w:r>
      <w:r>
        <w:t xml:space="preserve">durante 2024–2034, muchas esperadas por necesidades de reemplazo.</w:t>
      </w:r>
    </w:p>
    <w:p>
      <w:pPr>
        <w:pStyle w:val="FirstParagraph"/>
      </w:pPr>
      <w:r>
        <w:t xml:space="preserve">Son estadísticas ocupacionales nacionales, no promesas de salario inicial. El pago y las oportunidades varían por región, industria, educación, viajes, horas extra, condición sindical, especialidad de campo, nivel de riesgo, credenciales y experiencia.</w:t>
      </w:r>
    </w:p>
    <w:bookmarkEnd w:id="43"/>
    <w:bookmarkStart w:id="44" w:name="canadá-2"/>
    <w:p>
      <w:pPr>
        <w:pStyle w:val="Heading3"/>
      </w:pPr>
      <w:r>
        <w:t xml:space="preserve">Canadá</w:t>
      </w:r>
    </w:p>
    <w:p>
      <w:pPr>
        <w:pStyle w:val="FirstParagraph"/>
      </w:pPr>
      <w:r>
        <w:t xml:space="preserve">Government of Canada Job Bank reporta indicadores salariales nacionales para el título de búsqueda</w:t>
      </w:r>
      <w:r>
        <w:t xml:space="preserve"> </w:t>
      </w:r>
      <w:r>
        <w:rPr>
          <w:bCs/>
          <w:b/>
        </w:rPr>
        <w:t xml:space="preserve">Environmental Technician</w:t>
      </w:r>
      <w:r>
        <w:t xml:space="preserve"> </w:t>
      </w:r>
      <w:r>
        <w:t xml:space="preserve">mapeado a</w:t>
      </w:r>
      <w:r>
        <w:t xml:space="preserve"> </w:t>
      </w:r>
      <w:r>
        <w:rPr>
          <w:bCs/>
          <w:b/>
        </w:rPr>
        <w:t xml:space="preserve">NOC 22300</w:t>
      </w:r>
      <w:r>
        <w:t xml:space="preserve">:</w:t>
      </w:r>
    </w:p>
    <w:p>
      <w:pPr>
        <w:numPr>
          <w:ilvl w:val="0"/>
          <w:numId w:val="1010"/>
        </w:numPr>
        <w:pStyle w:val="Compact"/>
      </w:pPr>
      <w:r>
        <w:rPr>
          <w:bCs/>
          <w:b/>
        </w:rPr>
        <w:t xml:space="preserve">CAD $22.00/hora bajo</w:t>
      </w:r>
      <w:r>
        <w:t xml:space="preserve">;</w:t>
      </w:r>
    </w:p>
    <w:p>
      <w:pPr>
        <w:numPr>
          <w:ilvl w:val="0"/>
          <w:numId w:val="1010"/>
        </w:numPr>
        <w:pStyle w:val="Compact"/>
      </w:pPr>
      <w:r>
        <w:rPr>
          <w:bCs/>
          <w:b/>
        </w:rPr>
        <w:t xml:space="preserve">CAD $33.89/hora mediano</w:t>
      </w:r>
      <w:r>
        <w:t xml:space="preserve">; y</w:t>
      </w:r>
    </w:p>
    <w:p>
      <w:pPr>
        <w:numPr>
          <w:ilvl w:val="0"/>
          <w:numId w:val="1010"/>
        </w:numPr>
        <w:pStyle w:val="Compact"/>
      </w:pPr>
      <w:r>
        <w:rPr>
          <w:bCs/>
          <w:b/>
        </w:rPr>
        <w:t xml:space="preserve">CAD $51.10/hora alto</w:t>
      </w:r>
      <w:r>
        <w:t xml:space="preserve">.</w:t>
      </w:r>
    </w:p>
    <w:p>
      <w:pPr>
        <w:pStyle w:val="FirstParagraph"/>
      </w:pPr>
      <w:r>
        <w:t xml:space="preserve">Los datos salariales fueron actualizados el 19 de noviembre de 2025. El resumen nacional de Job Bank, modificado el 2 de junio de 2026, señala que las perspectivas varían por provincia o territorio.</w:t>
      </w:r>
    </w:p>
    <w:p>
      <w:pPr>
        <w:pStyle w:val="BodyText"/>
      </w:pPr>
      <w:r>
        <w:t xml:space="preserve">Son indicadores del grupo ocupacional más amplio NOC 22300, no una tarifa garantizada para todo puesto de técnico de campo ambiental ni una comparación convertida de moneda con salarios de Estados Unidos.</w:t>
      </w:r>
    </w:p>
    <w:p>
      <w:pPr>
        <w:pStyle w:val="BodyText"/>
      </w:pPr>
      <w:r>
        <w:t xml:space="preserve">No se usa una estimación salarial privada porque existe evidencia salarial oficial vigente para los mapeos controlados de Estados Unidos y Canadá.</w:t>
      </w:r>
    </w:p>
    <w:bookmarkEnd w:id="44"/>
    <w:bookmarkEnd w:id="45"/>
    <w:bookmarkStart w:id="46" w:name="plan-práctico-inicial-de-12-semanas"/>
    <w:p>
      <w:pPr>
        <w:pStyle w:val="Heading2"/>
      </w:pPr>
      <w:r>
        <w:t xml:space="preserve">Plan práctico inicial de 12 semanas</w:t>
      </w:r>
    </w:p>
    <w:p>
      <w:pPr>
        <w:pStyle w:val="FirstParagraph"/>
      </w:pPr>
      <w:r>
        <w:rPr>
          <w:bCs/>
          <w:b/>
        </w:rPr>
        <w:t xml:space="preserve">Semanas 1–2:</w:t>
      </w:r>
      <w:r>
        <w:t xml:space="preserve"> </w:t>
      </w:r>
      <w:r>
        <w:t xml:space="preserve">Elige una geografía objetivo y compara puestos de técnico de campo ambiental, técnico de ciencias ambientales, muestreo, calidad del agua, remediación y técnico de ingeniería ambiental. Registra requisitos de educación, viajes, conducción, campo, seguridad y software.</w:t>
      </w:r>
    </w:p>
    <w:p>
      <w:pPr>
        <w:pStyle w:val="BodyText"/>
      </w:pPr>
      <w:r>
        <w:rPr>
          <w:bCs/>
          <w:b/>
        </w:rPr>
        <w:t xml:space="preserve">Semanas 3–4:</w:t>
      </w:r>
      <w:r>
        <w:t xml:space="preserve"> </w:t>
      </w:r>
      <w:r>
        <w:t xml:space="preserve">Desarrolla fundamentos de bajo riesgo: terminología ambiental, química y biología básicas, unidades de medida, cifras significativas, estadística, hojas de cálculo, principios de notas de campo y vocabulario de aseguramiento de calidad. No practiques muestreo peligroso.</w:t>
      </w:r>
    </w:p>
    <w:p>
      <w:pPr>
        <w:pStyle w:val="BodyText"/>
      </w:pPr>
      <w:r>
        <w:rPr>
          <w:bCs/>
          <w:b/>
        </w:rPr>
        <w:t xml:space="preserve">Semanas 5–6:</w:t>
      </w:r>
      <w:r>
        <w:t xml:space="preserve"> </w:t>
      </w:r>
      <w:r>
        <w:t xml:space="preserve">Aprende los conceptos de planes de muestreo, SOP, identificadores de muestra, cadena de custodia, blancos/duplicados de campo a nivel conceptual, registros de instrumentos, calibración/verificación, correcciones de datos y escalamiento de anomalías. Usa únicamente ejercicios educativos con datos inventados claramente identificados como simulados.</w:t>
      </w:r>
    </w:p>
    <w:p>
      <w:pPr>
        <w:pStyle w:val="BodyText"/>
      </w:pPr>
      <w:r>
        <w:rPr>
          <w:bCs/>
          <w:b/>
        </w:rPr>
        <w:t xml:space="preserve">Semanas 7–8:</w:t>
      </w:r>
      <w:r>
        <w:t xml:space="preserve"> </w:t>
      </w:r>
      <w:r>
        <w:t xml:space="preserve">Compara educación pública y rutas de financiamiento. En Colombia revisa SENA Betowa; en Estados Unidos compara instituciones públicas y programas elegibles FAFSA; en Canadá compara college y ayuda estudiantil provincial/territorial. Verifica disponibilidad en vivo y no dependas de capturas antiguas.</w:t>
      </w:r>
    </w:p>
    <w:p>
      <w:pPr>
        <w:pStyle w:val="BodyText"/>
      </w:pPr>
      <w:r>
        <w:rPr>
          <w:bCs/>
          <w:b/>
        </w:rPr>
        <w:t xml:space="preserve">Semanas 9–10:</w:t>
      </w:r>
      <w:r>
        <w:t xml:space="preserve"> </w:t>
      </w:r>
      <w:r>
        <w:t xml:space="preserve">Construye un portafolio pequeño con datos simulados o públicos: plantilla simulada de registro de campo, ejercicio de rastreo de muestras, control de calidad en hoja de cálculo y breve memo de observación de sitio. Marca claramente todo registro de práctica como simulación de capacitación.</w:t>
      </w:r>
    </w:p>
    <w:p>
      <w:pPr>
        <w:pStyle w:val="BodyText"/>
      </w:pPr>
      <w:r>
        <w:rPr>
          <w:bCs/>
          <w:b/>
        </w:rPr>
        <w:t xml:space="preserve">Semanas 11–12:</w:t>
      </w:r>
      <w:r>
        <w:t xml:space="preserve"> </w:t>
      </w:r>
      <w:r>
        <w:t xml:space="preserve">Prepara un currículum y ejemplos de entrevista que muestren exactitud, escalamiento seguro, disciplina documental, trabajo en equipo, confiabilidad para viajes y respeto por el alcance. Postúlate únicamente a puestos cuyos requisitos mínimos puedas respaldar honestamente.</w:t>
      </w:r>
    </w:p>
    <w:bookmarkEnd w:id="46"/>
    <w:bookmarkStart w:id="47" w:name="construye-un-portafolio-inicial-seguro"/>
    <w:p>
      <w:pPr>
        <w:pStyle w:val="Heading2"/>
      </w:pPr>
      <w:r>
        <w:t xml:space="preserve">Construye un portafolio inicial seguro</w:t>
      </w:r>
    </w:p>
    <w:p>
      <w:pPr>
        <w:pStyle w:val="FirstParagraph"/>
      </w:pPr>
      <w:r>
        <w:t xml:space="preserve">Un portafolio para principiantes debe demostrar juicio y documentación sin fingir que realizaste trabajo de campo regulado.</w:t>
      </w:r>
    </w:p>
    <w:p>
      <w:pPr>
        <w:pStyle w:val="BodyText"/>
      </w:pPr>
      <w:r>
        <w:t xml:space="preserve">Ejemplos útiles:</w:t>
      </w:r>
    </w:p>
    <w:p>
      <w:pPr>
        <w:numPr>
          <w:ilvl w:val="0"/>
          <w:numId w:val="1011"/>
        </w:numPr>
        <w:pStyle w:val="Compact"/>
      </w:pPr>
      <w:r>
        <w:t xml:space="preserve">comparación de una página de roles ambientales de campo en tu geografía objetivo;</w:t>
      </w:r>
    </w:p>
    <w:p>
      <w:pPr>
        <w:numPr>
          <w:ilvl w:val="0"/>
          <w:numId w:val="1011"/>
        </w:numPr>
        <w:pStyle w:val="Compact"/>
      </w:pPr>
      <w:r>
        <w:t xml:space="preserve">página simulada de registro de campo con ubicaciones ficticias y mediciones claramente ficticias;</w:t>
      </w:r>
    </w:p>
    <w:p>
      <w:pPr>
        <w:numPr>
          <w:ilvl w:val="0"/>
          <w:numId w:val="1011"/>
        </w:numPr>
        <w:pStyle w:val="Compact"/>
      </w:pPr>
      <w:r>
        <w:t xml:space="preserve">ejercicio conceptual de identificación de muestra y cadena de custodia marcado</w:t>
      </w:r>
      <w:r>
        <w:t xml:space="preserve"> </w:t>
      </w:r>
      <w:r>
        <w:rPr>
          <w:bCs/>
          <w:b/>
        </w:rPr>
        <w:t xml:space="preserve">SOLO CAPACITACIÓN — NO ES UNA MUESTRA REAL</w:t>
      </w:r>
      <w:r>
        <w:t xml:space="preserve">;</w:t>
      </w:r>
    </w:p>
    <w:p>
      <w:pPr>
        <w:numPr>
          <w:ilvl w:val="0"/>
          <w:numId w:val="1011"/>
        </w:numPr>
        <w:pStyle w:val="Compact"/>
      </w:pPr>
      <w:r>
        <w:t xml:space="preserve">hoja de cálculo que revise unidades, espacios en blanco, duplicados, formatos fecha/hora o integridad de datos usando datos sintéticos;</w:t>
      </w:r>
    </w:p>
    <w:p>
      <w:pPr>
        <w:numPr>
          <w:ilvl w:val="0"/>
          <w:numId w:val="1011"/>
        </w:numPr>
        <w:pStyle w:val="Compact"/>
      </w:pPr>
      <w:r>
        <w:t xml:space="preserve">memo breve sobre qué detendrías y escalarías si no está claro un ID de muestra, revisión de instrumento, condición del sitio o procedimiento;</w:t>
      </w:r>
    </w:p>
    <w:p>
      <w:pPr>
        <w:numPr>
          <w:ilvl w:val="0"/>
          <w:numId w:val="1011"/>
        </w:numPr>
        <w:pStyle w:val="Compact"/>
      </w:pPr>
      <w:r>
        <w:t xml:space="preserve">mapa elaborado con datos públicos, no sensibles y abiertos, citando su fuente; y</w:t>
      </w:r>
    </w:p>
    <w:p>
      <w:pPr>
        <w:numPr>
          <w:ilvl w:val="0"/>
          <w:numId w:val="1011"/>
        </w:numPr>
        <w:pStyle w:val="Compact"/>
      </w:pPr>
      <w:r>
        <w:t xml:space="preserve">registro de capacitación con cursos, fuente, fecha y lo que el curso</w:t>
      </w:r>
      <w:r>
        <w:t xml:space="preserve"> </w:t>
      </w:r>
      <w:r>
        <w:rPr>
          <w:bCs/>
          <w:b/>
        </w:rPr>
        <w:t xml:space="preserve">no</w:t>
      </w:r>
      <w:r>
        <w:t xml:space="preserve"> </w:t>
      </w:r>
      <w:r>
        <w:t xml:space="preserve">autoriza.</w:t>
      </w:r>
    </w:p>
    <w:p>
      <w:pPr>
        <w:pStyle w:val="FirstParagraph"/>
      </w:pPr>
      <w:r>
        <w:t xml:space="preserve">Nunca fabriques trabajo de cliente, experiencia en sitios peligrosos, horas de muestreo, resultados de laboratorio, registros de cadena de custodia, certificaciones, estado HAZWOPER, calificación respiratoria, inspecciones o decisiones regulatorias.</w:t>
      </w:r>
    </w:p>
    <w:bookmarkEnd w:id="47"/>
    <w:bookmarkStart w:id="48" w:name="guía-para-currículum-y-entrevista"/>
    <w:p>
      <w:pPr>
        <w:pStyle w:val="Heading2"/>
      </w:pPr>
      <w:r>
        <w:t xml:space="preserve">Guía para currículum y entrevista</w:t>
      </w:r>
    </w:p>
    <w:p>
      <w:pPr>
        <w:pStyle w:val="FirstParagraph"/>
      </w:pPr>
      <w:r>
        <w:t xml:space="preserve">La evidencia útil puede incluir:</w:t>
      </w:r>
    </w:p>
    <w:p>
      <w:pPr>
        <w:numPr>
          <w:ilvl w:val="0"/>
          <w:numId w:val="1012"/>
        </w:numPr>
        <w:pStyle w:val="Compact"/>
      </w:pPr>
      <w:r>
        <w:t xml:space="preserve">registros precisos de campo, inspección, calidad, mantenimiento, inventario, logística o trabajo cercano a laboratorio;</w:t>
      </w:r>
    </w:p>
    <w:p>
      <w:pPr>
        <w:numPr>
          <w:ilvl w:val="0"/>
          <w:numId w:val="1012"/>
        </w:numPr>
        <w:pStyle w:val="Compact"/>
      </w:pPr>
      <w:r>
        <w:t xml:space="preserve">experiencia siguiendo procedimientos escritos y documentando desviaciones;</w:t>
      </w:r>
    </w:p>
    <w:p>
      <w:pPr>
        <w:numPr>
          <w:ilvl w:val="0"/>
          <w:numId w:val="1012"/>
        </w:numPr>
        <w:pStyle w:val="Compact"/>
      </w:pPr>
      <w:r>
        <w:t xml:space="preserve">estudios en ciencias, ambiente, GIS, hojas de cálculo, estadística o calidad de datos;</w:t>
      </w:r>
    </w:p>
    <w:p>
      <w:pPr>
        <w:numPr>
          <w:ilvl w:val="0"/>
          <w:numId w:val="1012"/>
        </w:numPr>
        <w:pStyle w:val="Compact"/>
      </w:pPr>
      <w:r>
        <w:t xml:space="preserve">trabajo seguro en ambientes industriales, de construcción, servicios públicos, exteriores o laboratorio;</w:t>
      </w:r>
    </w:p>
    <w:p>
      <w:pPr>
        <w:numPr>
          <w:ilvl w:val="0"/>
          <w:numId w:val="1012"/>
        </w:numPr>
        <w:pStyle w:val="Compact"/>
      </w:pPr>
      <w:r>
        <w:t xml:space="preserve">manejo de muestras o especímenes realizado bajo procedimientos reales aprobados;</w:t>
      </w:r>
    </w:p>
    <w:p>
      <w:pPr>
        <w:numPr>
          <w:ilvl w:val="0"/>
          <w:numId w:val="1012"/>
        </w:numPr>
        <w:pStyle w:val="Compact"/>
      </w:pPr>
      <w:r>
        <w:t xml:space="preserve">conducción/viajes confiables y programación de campo cuando sea pertinente;</w:t>
      </w:r>
    </w:p>
    <w:p>
      <w:pPr>
        <w:numPr>
          <w:ilvl w:val="0"/>
          <w:numId w:val="1012"/>
        </w:numPr>
        <w:pStyle w:val="Compact"/>
      </w:pPr>
      <w:r>
        <w:t xml:space="preserve">ejemplos de detenerse, preguntar o escalar cuando cambiaron las condiciones; y</w:t>
      </w:r>
    </w:p>
    <w:p>
      <w:pPr>
        <w:numPr>
          <w:ilvl w:val="0"/>
          <w:numId w:val="1012"/>
        </w:numPr>
        <w:pStyle w:val="Compact"/>
      </w:pPr>
      <w:r>
        <w:t xml:space="preserve">trabajo en equipo con científicos, ingenieros, técnicos, laboratorios, clientes u operaciones.</w:t>
      </w:r>
    </w:p>
    <w:p>
      <w:pPr>
        <w:pStyle w:val="FirstParagraph"/>
      </w:pPr>
      <w:r>
        <w:t xml:space="preserve">Usa lenguaje preciso. Si apoyaste la toma de muestras, escribe</w:t>
      </w:r>
      <w:r>
        <w:t xml:space="preserve"> </w:t>
      </w:r>
      <w:r>
        <w:rPr>
          <w:rStyle w:val="VerbatimChar"/>
        </w:rPr>
        <w:t xml:space="preserve">apoyé la recolección de muestras bajo el procedimiento del proyecto</w:t>
      </w:r>
      <w:r>
        <w:t xml:space="preserve"> </w:t>
      </w:r>
      <w:r>
        <w:t xml:space="preserve">en lugar de</w:t>
      </w:r>
      <w:r>
        <w:t xml:space="preserve"> </w:t>
      </w:r>
      <w:r>
        <w:rPr>
          <w:rStyle w:val="VerbatimChar"/>
        </w:rPr>
        <w:t xml:space="preserve">realicé muestreo regulatorio</w:t>
      </w:r>
      <w:r>
        <w:t xml:space="preserve">, salvo que la afirmación más fuerte sea verdadera y comprobable.</w:t>
      </w:r>
    </w:p>
    <w:p>
      <w:pPr>
        <w:pStyle w:val="BodyText"/>
      </w:pPr>
      <w:r>
        <w:t xml:space="preserve">En entrevistas, prepárate para explicar cómo proteges la identidad de una muestra, registras lo que realmente ocurrió, manejas una lectura anómala, respondes a una condición desconocida del sitio, gestionas cambios de clima o acceso y evitas trabajar fuera de tu capacitación o autorización.</w:t>
      </w:r>
    </w:p>
    <w:bookmarkEnd w:id="48"/>
    <w:bookmarkStart w:id="49" w:name="estrategia-de-búsqueda-de-empleo"/>
    <w:p>
      <w:pPr>
        <w:pStyle w:val="Heading2"/>
      </w:pPr>
      <w:r>
        <w:t xml:space="preserve">Estrategia de búsqueda de empleo</w:t>
      </w:r>
    </w:p>
    <w:p>
      <w:pPr>
        <w:pStyle w:val="FirstParagraph"/>
      </w:pPr>
      <w:r>
        <w:t xml:space="preserve">Busca por funciones además de títulos. Términos útiles pueden incluir:</w:t>
      </w:r>
    </w:p>
    <w:p>
      <w:pPr>
        <w:numPr>
          <w:ilvl w:val="0"/>
          <w:numId w:val="1013"/>
        </w:numPr>
        <w:pStyle w:val="Compact"/>
      </w:pPr>
      <w:r>
        <w:t xml:space="preserve">environmental field technician;</w:t>
      </w:r>
    </w:p>
    <w:p>
      <w:pPr>
        <w:numPr>
          <w:ilvl w:val="0"/>
          <w:numId w:val="1013"/>
        </w:numPr>
        <w:pStyle w:val="Compact"/>
      </w:pPr>
      <w:r>
        <w:t xml:space="preserve">environmental technician;</w:t>
      </w:r>
    </w:p>
    <w:p>
      <w:pPr>
        <w:numPr>
          <w:ilvl w:val="0"/>
          <w:numId w:val="1013"/>
        </w:numPr>
        <w:pStyle w:val="Compact"/>
      </w:pPr>
      <w:r>
        <w:t xml:space="preserve">environmental science technician;</w:t>
      </w:r>
    </w:p>
    <w:p>
      <w:pPr>
        <w:numPr>
          <w:ilvl w:val="0"/>
          <w:numId w:val="1013"/>
        </w:numPr>
        <w:pStyle w:val="Compact"/>
      </w:pPr>
      <w:r>
        <w:t xml:space="preserve">environmental monitoring technician;</w:t>
      </w:r>
    </w:p>
    <w:p>
      <w:pPr>
        <w:numPr>
          <w:ilvl w:val="0"/>
          <w:numId w:val="1013"/>
        </w:numPr>
        <w:pStyle w:val="Compact"/>
      </w:pPr>
      <w:r>
        <w:t xml:space="preserve">sampling technician;</w:t>
      </w:r>
    </w:p>
    <w:p>
      <w:pPr>
        <w:numPr>
          <w:ilvl w:val="0"/>
          <w:numId w:val="1013"/>
        </w:numPr>
        <w:pStyle w:val="Compact"/>
      </w:pPr>
      <w:r>
        <w:t xml:space="preserve">water-quality technician;</w:t>
      </w:r>
    </w:p>
    <w:p>
      <w:pPr>
        <w:numPr>
          <w:ilvl w:val="0"/>
          <w:numId w:val="1013"/>
        </w:numPr>
        <w:pStyle w:val="Compact"/>
      </w:pPr>
      <w:r>
        <w:t xml:space="preserve">groundwater technician;</w:t>
      </w:r>
    </w:p>
    <w:p>
      <w:pPr>
        <w:numPr>
          <w:ilvl w:val="0"/>
          <w:numId w:val="1013"/>
        </w:numPr>
        <w:pStyle w:val="Compact"/>
      </w:pPr>
      <w:r>
        <w:t xml:space="preserve">remediation technician;</w:t>
      </w:r>
    </w:p>
    <w:p>
      <w:pPr>
        <w:numPr>
          <w:ilvl w:val="0"/>
          <w:numId w:val="1013"/>
        </w:numPr>
        <w:pStyle w:val="Compact"/>
      </w:pPr>
      <w:r>
        <w:t xml:space="preserve">environmental engineering technician;</w:t>
      </w:r>
    </w:p>
    <w:p>
      <w:pPr>
        <w:numPr>
          <w:ilvl w:val="0"/>
          <w:numId w:val="1013"/>
        </w:numPr>
        <w:pStyle w:val="Compact"/>
      </w:pPr>
      <w:r>
        <w:t xml:space="preserve">field services technician — environmental;</w:t>
      </w:r>
    </w:p>
    <w:p>
      <w:pPr>
        <w:numPr>
          <w:ilvl w:val="0"/>
          <w:numId w:val="1013"/>
        </w:numPr>
        <w:pStyle w:val="Compact"/>
      </w:pPr>
      <w:r>
        <w:t xml:space="preserve">environmental laboratory field technician; y</w:t>
      </w:r>
    </w:p>
    <w:p>
      <w:pPr>
        <w:numPr>
          <w:ilvl w:val="0"/>
          <w:numId w:val="1013"/>
        </w:numPr>
        <w:pStyle w:val="Compact"/>
      </w:pPr>
      <w:r>
        <w:t xml:space="preserve">junior environmental technician.</w:t>
      </w:r>
    </w:p>
    <w:p>
      <w:pPr>
        <w:pStyle w:val="FirstParagraph"/>
      </w:pPr>
      <w:r>
        <w:t xml:space="preserve">Lee la vacante real. Un título puede ocultar trabajo sustancial en sitios peligrosos, viajes intensos, CDL obligatoria, estado de professional technologist, credenciales de laboratorio, monitoreo de construcción, higiene industrial, trabajo con asbesto/plomo, espacios confinados o respuesta a emergencias.</w:t>
      </w:r>
    </w:p>
    <w:p>
      <w:pPr>
        <w:pStyle w:val="BodyText"/>
      </w:pPr>
      <w:r>
        <w:t xml:space="preserve">Verifica la identidad del empleador y, cuando sea posible, postúlate mediante el sitio oficial de carreras o sistema oficial de aplicación del empleador. No pagues a un reclutador para acceder a una vacante, no envíes dinero para obtener una entrevista ni compres un certificado solo porque un reclutador diga que garantiza colocación.</w:t>
      </w:r>
    </w:p>
    <w:bookmarkEnd w:id="49"/>
    <w:bookmarkStart w:id="50" w:name="uso-responsable-de-ia"/>
    <w:p>
      <w:pPr>
        <w:pStyle w:val="Heading2"/>
      </w:pPr>
      <w:r>
        <w:t xml:space="preserve">Uso responsable de IA</w:t>
      </w:r>
    </w:p>
    <w:p>
      <w:pPr>
        <w:pStyle w:val="FirstParagraph"/>
      </w:pPr>
      <w:r>
        <w:t xml:space="preserve">La IA puede apoyar aprendizaje de bajo riesgo y organización cuando la política del empleador lo permita. Usos apropiados pueden incluir:</w:t>
      </w:r>
    </w:p>
    <w:p>
      <w:pPr>
        <w:numPr>
          <w:ilvl w:val="0"/>
          <w:numId w:val="1014"/>
        </w:numPr>
        <w:pStyle w:val="Compact"/>
      </w:pPr>
      <w:r>
        <w:t xml:space="preserve">explicar terminología ambiental en lenguaje sencillo;</w:t>
      </w:r>
    </w:p>
    <w:p>
      <w:pPr>
        <w:numPr>
          <w:ilvl w:val="0"/>
          <w:numId w:val="1014"/>
        </w:numPr>
        <w:pStyle w:val="Compact"/>
      </w:pPr>
      <w:r>
        <w:t xml:space="preserve">crear preguntas de estudio a partir de material público;</w:t>
      </w:r>
    </w:p>
    <w:p>
      <w:pPr>
        <w:numPr>
          <w:ilvl w:val="0"/>
          <w:numId w:val="1014"/>
        </w:numPr>
        <w:pStyle w:val="Compact"/>
      </w:pPr>
      <w:r>
        <w:t xml:space="preserve">practicar conversiones de unidades con ejemplos claramente ficticios;</w:t>
      </w:r>
    </w:p>
    <w:p>
      <w:pPr>
        <w:numPr>
          <w:ilvl w:val="0"/>
          <w:numId w:val="1014"/>
        </w:numPr>
        <w:pStyle w:val="Compact"/>
      </w:pPr>
      <w:r>
        <w:t xml:space="preserve">organizar un plan de aprendizaje;</w:t>
      </w:r>
    </w:p>
    <w:p>
      <w:pPr>
        <w:numPr>
          <w:ilvl w:val="0"/>
          <w:numId w:val="1014"/>
        </w:numPr>
        <w:pStyle w:val="Compact"/>
      </w:pPr>
      <w:r>
        <w:t xml:space="preserve">redactar un currículum o respuesta de entrevista a partir de hechos que tú proporciones;</w:t>
      </w:r>
    </w:p>
    <w:p>
      <w:pPr>
        <w:numPr>
          <w:ilvl w:val="0"/>
          <w:numId w:val="1014"/>
        </w:numPr>
        <w:pStyle w:val="Compact"/>
      </w:pPr>
      <w:r>
        <w:t xml:space="preserve">crear una lista de preguntas para una institución educativa o empleador; o</w:t>
      </w:r>
    </w:p>
    <w:p>
      <w:pPr>
        <w:numPr>
          <w:ilvl w:val="0"/>
          <w:numId w:val="1014"/>
        </w:numPr>
        <w:pStyle w:val="Compact"/>
      </w:pPr>
      <w:r>
        <w:t xml:space="preserve">ayudar a estructurar información pública y no sensible para posterior verificación humana.</w:t>
      </w:r>
    </w:p>
    <w:p>
      <w:pPr>
        <w:pStyle w:val="FirstParagraph"/>
      </w:pPr>
      <w:r>
        <w:t xml:space="preserve">La IA</w:t>
      </w:r>
      <w:r>
        <w:t xml:space="preserve"> </w:t>
      </w:r>
      <w:r>
        <w:rPr>
          <w:bCs/>
          <w:b/>
        </w:rPr>
        <w:t xml:space="preserve">no debe</w:t>
      </w:r>
      <w:r>
        <w:t xml:space="preserve">:</w:t>
      </w:r>
    </w:p>
    <w:p>
      <w:pPr>
        <w:numPr>
          <w:ilvl w:val="0"/>
          <w:numId w:val="1015"/>
        </w:numPr>
        <w:pStyle w:val="Compact"/>
      </w:pPr>
      <w:r>
        <w:t xml:space="preserve">inventar, completar retrospectivamente, estimar ni alterar una observación o medición de campo y presentarla como real;</w:t>
      </w:r>
    </w:p>
    <w:p>
      <w:pPr>
        <w:numPr>
          <w:ilvl w:val="0"/>
          <w:numId w:val="1015"/>
        </w:numPr>
        <w:pStyle w:val="Compact"/>
      </w:pPr>
      <w:r>
        <w:t xml:space="preserve">crear un ID de muestra falso, hora, ubicación, transferencia de custodia, firma, resultado de calibración, descripción fotográfica o resultado de laboratorio para un proyecto real;</w:t>
      </w:r>
    </w:p>
    <w:p>
      <w:pPr>
        <w:numPr>
          <w:ilvl w:val="0"/>
          <w:numId w:val="1015"/>
        </w:numPr>
        <w:pStyle w:val="Compact"/>
      </w:pPr>
      <w:r>
        <w:t xml:space="preserve">eliminar, normalizar, redondear para ocultar ni sobrescribir silenciosamente un valor anómalo;</w:t>
      </w:r>
    </w:p>
    <w:p>
      <w:pPr>
        <w:numPr>
          <w:ilvl w:val="0"/>
          <w:numId w:val="1015"/>
        </w:numPr>
        <w:pStyle w:val="Compact"/>
      </w:pPr>
      <w:r>
        <w:t xml:space="preserve">escoger un método de muestreo, recipiente, preservante, tiempo de retención, método analítico, química de descontaminación o ruta de disposición para trabajo regulado real;</w:t>
      </w:r>
    </w:p>
    <w:p>
      <w:pPr>
        <w:numPr>
          <w:ilvl w:val="0"/>
          <w:numId w:val="1015"/>
        </w:numPr>
        <w:pStyle w:val="Compact"/>
      </w:pPr>
      <w:r>
        <w:t xml:space="preserve">determinar que un sitio, atmósfera, muestra, residuo, descarga o instalación es segura o cumple la norma;</w:t>
      </w:r>
    </w:p>
    <w:p>
      <w:pPr>
        <w:numPr>
          <w:ilvl w:val="0"/>
          <w:numId w:val="1015"/>
        </w:numPr>
        <w:pStyle w:val="Compact"/>
      </w:pPr>
      <w:r>
        <w:t xml:space="preserve">seleccionar respirador, cartucho, conjunto de EPP, nivel HAZWOPER, clasificación de espacio confinado o respuesta a emergencias;</w:t>
      </w:r>
    </w:p>
    <w:p>
      <w:pPr>
        <w:numPr>
          <w:ilvl w:val="0"/>
          <w:numId w:val="1015"/>
        </w:numPr>
        <w:pStyle w:val="Compact"/>
      </w:pPr>
      <w:r>
        <w:t xml:space="preserve">sustituir un plan aprobado de muestreo, SOP, QAPP, método de laboratorio, plan de salud y seguridad, permiso, regulador, gerente de proyecto, científico, ingeniero, higienista industrial o profesional de seguridad calificado; ni</w:t>
      </w:r>
    </w:p>
    <w:p>
      <w:pPr>
        <w:numPr>
          <w:ilvl w:val="0"/>
          <w:numId w:val="1015"/>
        </w:numPr>
        <w:pStyle w:val="Compact"/>
      </w:pPr>
      <w:r>
        <w:t xml:space="preserve">exponer datos confidenciales de cliente, sitio, laboratorio, empleados, ubicación, seguridad o investigación a un servicio no autorizado.</w:t>
      </w:r>
    </w:p>
    <w:p>
      <w:pPr>
        <w:pStyle w:val="FirstParagraph"/>
      </w:pPr>
      <w:r>
        <w:t xml:space="preserve">Trata la salida de IA como no verificada hasta contrastarla con fuentes autoritativas vigentes y la información aprobada del proyecto. Cuando se use IA para ayudar a redactar un documento relacionado con campo, una persona calificada debe verificar independientemente cada dato factual contra el registro original del proyecto antes de que se convierta en producto de trabajo controlado.</w:t>
      </w:r>
    </w:p>
    <w:bookmarkEnd w:id="50"/>
    <w:bookmarkStart w:id="51" w:name="X614dd254e929e54640b40cb3dace253eec1a403"/>
    <w:p>
      <w:pPr>
        <w:pStyle w:val="Heading2"/>
      </w:pPr>
      <w:r>
        <w:t xml:space="preserve">Evita estafas y ofertas de capacitación débiles</w:t>
      </w:r>
    </w:p>
    <w:p>
      <w:pPr>
        <w:pStyle w:val="FirstParagraph"/>
      </w:pPr>
      <w:r>
        <w:t xml:space="preserve">Ten precaución cuando un proveedor prometa certificación ambiental garantizada, empleo HAZWOPER garantizado, práctica de campo garantizada, salario garantizado, autoridad regulatoria instantánea o una credencial que supuestamente funciona en todas partes.</w:t>
      </w:r>
    </w:p>
    <w:p>
      <w:pPr>
        <w:pStyle w:val="BodyText"/>
      </w:pPr>
      <w:r>
        <w:t xml:space="preserve">Antes de pagar:</w:t>
      </w:r>
    </w:p>
    <w:p>
      <w:pPr>
        <w:numPr>
          <w:ilvl w:val="0"/>
          <w:numId w:val="1016"/>
        </w:numPr>
        <w:pStyle w:val="Compact"/>
      </w:pPr>
      <w:r>
        <w:t xml:space="preserve">identifica el requisito real del empleador o regulador que intentas cumplir;</w:t>
      </w:r>
    </w:p>
    <w:p>
      <w:pPr>
        <w:numPr>
          <w:ilvl w:val="0"/>
          <w:numId w:val="1016"/>
        </w:numPr>
        <w:pStyle w:val="Compact"/>
      </w:pPr>
      <w:r>
        <w:t xml:space="preserve">verifica el proveedor y curso exactos con la organización que lo reconoce;</w:t>
      </w:r>
    </w:p>
    <w:p>
      <w:pPr>
        <w:numPr>
          <w:ilvl w:val="0"/>
          <w:numId w:val="1016"/>
        </w:numPr>
        <w:pStyle w:val="Compact"/>
      </w:pPr>
      <w:r>
        <w:t xml:space="preserve">confirma prerrequisitos, componentes prácticos, renovación, exámenes, requisitos médicos o de ajuste y lo que realmente autoriza la credencial;</w:t>
      </w:r>
    </w:p>
    <w:p>
      <w:pPr>
        <w:numPr>
          <w:ilvl w:val="0"/>
          <w:numId w:val="1016"/>
        </w:numPr>
        <w:pStyle w:val="Compact"/>
      </w:pPr>
      <w:r>
        <w:t xml:space="preserve">obtén por escrito costo total, política de reembolso y cargos recurrentes;</w:t>
      </w:r>
    </w:p>
    <w:p>
      <w:pPr>
        <w:numPr>
          <w:ilvl w:val="0"/>
          <w:numId w:val="1016"/>
        </w:numPr>
        <w:pStyle w:val="Compact"/>
      </w:pPr>
      <w:r>
        <w:t xml:space="preserve">compara primero opciones de instituciones públicas, programas laborales, empleadores, SENA u otras instituciones públicas nacionales;</w:t>
      </w:r>
    </w:p>
    <w:p>
      <w:pPr>
        <w:numPr>
          <w:ilvl w:val="0"/>
          <w:numId w:val="1016"/>
        </w:numPr>
        <w:pStyle w:val="Compact"/>
      </w:pPr>
      <w:r>
        <w:t xml:space="preserve">no envíes dinero, documentos de identidad, información bancaria ni credenciales de cuentas mediante un reclutador o enlace de capacitación no verificado; y</w:t>
      </w:r>
    </w:p>
    <w:p>
      <w:pPr>
        <w:numPr>
          <w:ilvl w:val="0"/>
          <w:numId w:val="1016"/>
        </w:numPr>
        <w:pStyle w:val="Compact"/>
      </w:pPr>
      <w:r>
        <w:t xml:space="preserve">conserva las afirmaciones escritas y compáralas con fuentes oficiales.</w:t>
      </w:r>
    </w:p>
    <w:p>
      <w:pPr>
        <w:pStyle w:val="FirstParagraph"/>
      </w:pPr>
      <w:r>
        <w:t xml:space="preserve">Un curso privado corto puede ser útil, pero no es automáticamente reconocido para un empleo, título profesional, regulador, laboratorio, asignación de sitio peligroso, programa respiratorio ni credencial transfronteriza.</w:t>
      </w:r>
    </w:p>
    <w:bookmarkEnd w:id="51"/>
    <w:bookmarkStart w:id="82" w:name="fuentes-y-enlaces-de-verificación"/>
    <w:p>
      <w:pPr>
        <w:pStyle w:val="Heading2"/>
      </w:pPr>
      <w:r>
        <w:t xml:space="preserve">Fuentes y enlaces de verificación</w:t>
      </w:r>
    </w:p>
    <w:bookmarkStart w:id="64" w:name="estados-unidos-3"/>
    <w:p>
      <w:pPr>
        <w:pStyle w:val="Heading3"/>
      </w:pPr>
      <w:r>
        <w:t xml:space="preserve">Estados Unidos</w:t>
      </w:r>
    </w:p>
    <w:p>
      <w:pPr>
        <w:numPr>
          <w:ilvl w:val="0"/>
          <w:numId w:val="1017"/>
        </w:numPr>
        <w:pStyle w:val="Compact"/>
      </w:pPr>
      <w:r>
        <w:t xml:space="preserve">U.S. Bureau of Labor Statistics, Environmental Science and Protection Technicians:</w:t>
      </w:r>
      <w:r>
        <w:t xml:space="preserve"> </w:t>
      </w:r>
      <w:hyperlink r:id="rId52">
        <w:r>
          <w:rPr>
            <w:rStyle w:val="Hyperlink"/>
          </w:rPr>
          <w:t xml:space="preserve">https://www.bls.gov/ooh/life-physical-and-social-science/environmental-science-and-protection-technicians.htm</w:t>
        </w:r>
      </w:hyperlink>
    </w:p>
    <w:p>
      <w:pPr>
        <w:numPr>
          <w:ilvl w:val="0"/>
          <w:numId w:val="1017"/>
        </w:numPr>
        <w:pStyle w:val="Compact"/>
      </w:pPr>
      <w:r>
        <w:t xml:space="preserve">O*NET OnLine, 19-4042.00:</w:t>
      </w:r>
      <w:r>
        <w:t xml:space="preserve"> </w:t>
      </w:r>
      <w:hyperlink r:id="rId53">
        <w:r>
          <w:rPr>
            <w:rStyle w:val="Hyperlink"/>
          </w:rPr>
          <w:t xml:space="preserve">https://www.onetonline.org/link/summary/19-4042.00</w:t>
        </w:r>
      </w:hyperlink>
    </w:p>
    <w:p>
      <w:pPr>
        <w:numPr>
          <w:ilvl w:val="0"/>
          <w:numId w:val="1017"/>
        </w:numPr>
        <w:pStyle w:val="Compact"/>
      </w:pPr>
      <w:r>
        <w:t xml:space="preserve">U.S. Bureau of Labor Statistics, Environmental Engineering Technologists and Technicians:</w:t>
      </w:r>
      <w:r>
        <w:t xml:space="preserve"> </w:t>
      </w:r>
      <w:hyperlink r:id="rId54">
        <w:r>
          <w:rPr>
            <w:rStyle w:val="Hyperlink"/>
          </w:rPr>
          <w:t xml:space="preserve">https://www.bls.gov/ooh/architecture-and-engineering/environmental-engineering-technicians.htm</w:t>
        </w:r>
      </w:hyperlink>
    </w:p>
    <w:p>
      <w:pPr>
        <w:numPr>
          <w:ilvl w:val="0"/>
          <w:numId w:val="1017"/>
        </w:numPr>
        <w:pStyle w:val="Compact"/>
      </w:pPr>
      <w:r>
        <w:t xml:space="preserve">OSHA, Hazardous Waste Operations and Emergency Response, 29 CFR 1910.120:</w:t>
      </w:r>
      <w:r>
        <w:t xml:space="preserve"> </w:t>
      </w:r>
      <w:hyperlink r:id="rId55">
        <w:r>
          <w:rPr>
            <w:rStyle w:val="Hyperlink"/>
          </w:rPr>
          <w:t xml:space="preserve">https://www.osha.gov/laws-regs/regulations/standardnumber/1910/1910.120/</w:t>
        </w:r>
      </w:hyperlink>
    </w:p>
    <w:p>
      <w:pPr>
        <w:numPr>
          <w:ilvl w:val="0"/>
          <w:numId w:val="1017"/>
        </w:numPr>
        <w:pStyle w:val="Compact"/>
      </w:pPr>
      <w:r>
        <w:t xml:space="preserve">OSHA, Personal Protective Equipment, 29 CFR 1910.132:</w:t>
      </w:r>
      <w:r>
        <w:t xml:space="preserve"> </w:t>
      </w:r>
      <w:hyperlink r:id="rId56">
        <w:r>
          <w:rPr>
            <w:rStyle w:val="Hyperlink"/>
          </w:rPr>
          <w:t xml:space="preserve">https://www.osha.gov/laws-regs/regulations/standardnumber/1910/1910.132</w:t>
        </w:r>
      </w:hyperlink>
    </w:p>
    <w:p>
      <w:pPr>
        <w:numPr>
          <w:ilvl w:val="0"/>
          <w:numId w:val="1017"/>
        </w:numPr>
        <w:pStyle w:val="Compact"/>
      </w:pPr>
      <w:r>
        <w:t xml:space="preserve">OSHA, Respiratory Protection, 29 CFR 1910.134:</w:t>
      </w:r>
      <w:r>
        <w:t xml:space="preserve"> </w:t>
      </w:r>
      <w:hyperlink r:id="rId57">
        <w:r>
          <w:rPr>
            <w:rStyle w:val="Hyperlink"/>
          </w:rPr>
          <w:t xml:space="preserve">https://www.osha.gov/laws-regs/regulations/standardnumber/1910/1910.134</w:t>
        </w:r>
      </w:hyperlink>
    </w:p>
    <w:p>
      <w:pPr>
        <w:numPr>
          <w:ilvl w:val="0"/>
          <w:numId w:val="1017"/>
        </w:numPr>
        <w:pStyle w:val="Compact"/>
      </w:pPr>
      <w:r>
        <w:t xml:space="preserve">OSHA, Hazard Communication, 29 CFR 1910.1200:</w:t>
      </w:r>
      <w:r>
        <w:t xml:space="preserve"> </w:t>
      </w:r>
      <w:hyperlink r:id="rId58">
        <w:r>
          <w:rPr>
            <w:rStyle w:val="Hyperlink"/>
          </w:rPr>
          <w:t xml:space="preserve">https://www.osha.gov/laws-regs/regulations/standardnumber/1910/1910.1200</w:t>
        </w:r>
      </w:hyperlink>
    </w:p>
    <w:p>
      <w:pPr>
        <w:numPr>
          <w:ilvl w:val="0"/>
          <w:numId w:val="1017"/>
        </w:numPr>
        <w:pStyle w:val="Compact"/>
      </w:pPr>
      <w:r>
        <w:t xml:space="preserve">OSHA, Permit-required Confined Spaces, 29 CFR 1910.146:</w:t>
      </w:r>
      <w:r>
        <w:t xml:space="preserve"> </w:t>
      </w:r>
      <w:hyperlink r:id="rId59">
        <w:r>
          <w:rPr>
            <w:rStyle w:val="Hyperlink"/>
          </w:rPr>
          <w:t xml:space="preserve">https://www.osha.gov/laws-regs/regulations/standardnumber/1910/1910.146</w:t>
        </w:r>
      </w:hyperlink>
    </w:p>
    <w:p>
      <w:pPr>
        <w:numPr>
          <w:ilvl w:val="0"/>
          <w:numId w:val="1017"/>
        </w:numPr>
        <w:pStyle w:val="Compact"/>
      </w:pPr>
      <w:r>
        <w:t xml:space="preserve">U.S. EPA, Field Sampling Quality Control:</w:t>
      </w:r>
      <w:r>
        <w:t xml:space="preserve"> </w:t>
      </w:r>
      <w:hyperlink r:id="rId60">
        <w:r>
          <w:rPr>
            <w:rStyle w:val="Hyperlink"/>
          </w:rPr>
          <w:t xml:space="preserve">https://www.epa.gov/quality/field-sampling-quality-control</w:t>
        </w:r>
      </w:hyperlink>
    </w:p>
    <w:p>
      <w:pPr>
        <w:numPr>
          <w:ilvl w:val="0"/>
          <w:numId w:val="1017"/>
        </w:numPr>
        <w:pStyle w:val="Compact"/>
      </w:pPr>
      <w:r>
        <w:t xml:space="preserve">U.S. EPA, Field Sample Collection:</w:t>
      </w:r>
      <w:r>
        <w:t xml:space="preserve"> </w:t>
      </w:r>
      <w:hyperlink r:id="rId61">
        <w:r>
          <w:rPr>
            <w:rStyle w:val="Hyperlink"/>
          </w:rPr>
          <w:t xml:space="preserve">https://www.epa.gov/choose-fish-and-shellfish-wisely/field-sample-collection</w:t>
        </w:r>
      </w:hyperlink>
    </w:p>
    <w:p>
      <w:pPr>
        <w:numPr>
          <w:ilvl w:val="0"/>
          <w:numId w:val="1017"/>
        </w:numPr>
        <w:pStyle w:val="Compact"/>
      </w:pPr>
      <w:r>
        <w:t xml:space="preserve">U.S. EPA, Collecting and Handling Samples:</w:t>
      </w:r>
      <w:r>
        <w:t xml:space="preserve"> </w:t>
      </w:r>
      <w:hyperlink r:id="rId62">
        <w:r>
          <w:rPr>
            <w:rStyle w:val="Hyperlink"/>
          </w:rPr>
          <w:t xml:space="preserve">https://www.epa.gov/choose-fish-and-shellfish-wisely/field-collecting-and-handling-samples</w:t>
        </w:r>
      </w:hyperlink>
    </w:p>
    <w:p>
      <w:pPr>
        <w:numPr>
          <w:ilvl w:val="0"/>
          <w:numId w:val="1017"/>
        </w:numPr>
        <w:pStyle w:val="Compact"/>
      </w:pPr>
      <w:r>
        <w:t xml:space="preserve">Federal Student Aid, 2026–27 FAFSA student steps:</w:t>
      </w:r>
      <w:r>
        <w:t xml:space="preserve"> </w:t>
      </w:r>
      <w:hyperlink r:id="rId63">
        <w:r>
          <w:rPr>
            <w:rStyle w:val="Hyperlink"/>
          </w:rPr>
          <w:t xml:space="preserve">https://studentaid.gov/articles/fafsa-student-steps/</w:t>
        </w:r>
      </w:hyperlink>
    </w:p>
    <w:bookmarkEnd w:id="64"/>
    <w:bookmarkStart w:id="70" w:name="canadá-3"/>
    <w:p>
      <w:pPr>
        <w:pStyle w:val="Heading3"/>
      </w:pPr>
      <w:r>
        <w:t xml:space="preserve">Canadá</w:t>
      </w:r>
    </w:p>
    <w:p>
      <w:pPr>
        <w:numPr>
          <w:ilvl w:val="0"/>
          <w:numId w:val="1018"/>
        </w:numPr>
        <w:pStyle w:val="Compact"/>
      </w:pPr>
      <w:r>
        <w:t xml:space="preserve">Government of Canada Job Bank, Environmental Technician summary:</w:t>
      </w:r>
      <w:r>
        <w:t xml:space="preserve"> </w:t>
      </w:r>
      <w:hyperlink r:id="rId65">
        <w:r>
          <w:rPr>
            <w:rStyle w:val="Hyperlink"/>
          </w:rPr>
          <w:t xml:space="preserve">https://www.jobbank.gc.ca/marketreport/summary-occupation/17971/ca</w:t>
        </w:r>
      </w:hyperlink>
    </w:p>
    <w:p>
      <w:pPr>
        <w:numPr>
          <w:ilvl w:val="0"/>
          <w:numId w:val="1018"/>
        </w:numPr>
        <w:pStyle w:val="Compact"/>
      </w:pPr>
      <w:r>
        <w:t xml:space="preserve">Government of Canada Job Bank, Environmental Technician wages:</w:t>
      </w:r>
      <w:r>
        <w:t xml:space="preserve"> </w:t>
      </w:r>
      <w:hyperlink r:id="rId66">
        <w:r>
          <w:rPr>
            <w:rStyle w:val="Hyperlink"/>
          </w:rPr>
          <w:t xml:space="preserve">https://www.jobbank.gc.ca/marketreport/wages-occupation/17971/ca</w:t>
        </w:r>
      </w:hyperlink>
    </w:p>
    <w:p>
      <w:pPr>
        <w:numPr>
          <w:ilvl w:val="0"/>
          <w:numId w:val="1018"/>
        </w:numPr>
        <w:pStyle w:val="Compact"/>
      </w:pPr>
      <w:r>
        <w:t xml:space="preserve">Government of Canada Job Bank, Environmental Technician requirements:</w:t>
      </w:r>
      <w:r>
        <w:t xml:space="preserve"> </w:t>
      </w:r>
      <w:hyperlink r:id="rId67">
        <w:r>
          <w:rPr>
            <w:rStyle w:val="Hyperlink"/>
          </w:rPr>
          <w:t xml:space="preserve">https://www.jobbank.gc.ca/marketreport/requirements/17971/ca</w:t>
        </w:r>
      </w:hyperlink>
    </w:p>
    <w:p>
      <w:pPr>
        <w:numPr>
          <w:ilvl w:val="0"/>
          <w:numId w:val="1018"/>
        </w:numPr>
        <w:pStyle w:val="Compact"/>
      </w:pPr>
      <w:r>
        <w:t xml:space="preserve">Government of Canada, Canada Student Grants and Loans:</w:t>
      </w:r>
      <w:r>
        <w:t xml:space="preserve"> </w:t>
      </w:r>
      <w:hyperlink r:id="rId68">
        <w:r>
          <w:rPr>
            <w:rStyle w:val="Hyperlink"/>
          </w:rPr>
          <w:t xml:space="preserve">https://www.canada.ca/en/services/benefits/education/student-aid/grants-loans.html</w:t>
        </w:r>
      </w:hyperlink>
    </w:p>
    <w:p>
      <w:pPr>
        <w:numPr>
          <w:ilvl w:val="0"/>
          <w:numId w:val="1018"/>
        </w:numPr>
        <w:pStyle w:val="Compact"/>
      </w:pPr>
      <w:r>
        <w:t xml:space="preserve">Government of Canada, How student-aid funding works:</w:t>
      </w:r>
      <w:r>
        <w:t xml:space="preserve"> </w:t>
      </w:r>
      <w:hyperlink r:id="rId69">
        <w:r>
          <w:rPr>
            <w:rStyle w:val="Hyperlink"/>
          </w:rPr>
          <w:t xml:space="preserve">https://www.canada.ca/en/services/benefits/education/student-aid/grants-loans/how-funding-works.html</w:t>
        </w:r>
      </w:hyperlink>
    </w:p>
    <w:bookmarkEnd w:id="70"/>
    <w:bookmarkStart w:id="77" w:name="colombia-2"/>
    <w:p>
      <w:pPr>
        <w:pStyle w:val="Heading3"/>
      </w:pPr>
      <w:r>
        <w:t xml:space="preserve">Colombia</w:t>
      </w:r>
    </w:p>
    <w:p>
      <w:pPr>
        <w:numPr>
          <w:ilvl w:val="0"/>
          <w:numId w:val="1019"/>
        </w:numPr>
        <w:pStyle w:val="Compact"/>
      </w:pPr>
      <w:r>
        <w:t xml:space="preserve">SENA/Betowa, Monitoreo ambiental:</w:t>
      </w:r>
      <w:r>
        <w:t xml:space="preserve"> </w:t>
      </w:r>
      <w:hyperlink r:id="rId71">
        <w:r>
          <w:rPr>
            <w:rStyle w:val="Hyperlink"/>
          </w:rPr>
          <w:t xml:space="preserve">https://betowa.sena.edu.co/oferta/monitoreo-ambiental?level=2&amp;modality=P&amp;offertype=open&amp;programId=109895</w:t>
        </w:r>
      </w:hyperlink>
    </w:p>
    <w:p>
      <w:pPr>
        <w:numPr>
          <w:ilvl w:val="0"/>
          <w:numId w:val="1019"/>
        </w:numPr>
        <w:pStyle w:val="Compact"/>
      </w:pPr>
      <w:r>
        <w:t xml:space="preserve">SENA/Betowa, Saneamiento y salud ambiental:</w:t>
      </w:r>
      <w:r>
        <w:t xml:space="preserve"> </w:t>
      </w:r>
      <w:hyperlink r:id="rId72">
        <w:r>
          <w:rPr>
            <w:rStyle w:val="Hyperlink"/>
          </w:rPr>
          <w:t xml:space="preserve">https://betowa.sena.edu.co/oferta/saneamiento-y-salud-ambiental?level=2&amp;modality=P&amp;offertype=company&amp;programId=167494</w:t>
        </w:r>
      </w:hyperlink>
    </w:p>
    <w:p>
      <w:pPr>
        <w:numPr>
          <w:ilvl w:val="0"/>
          <w:numId w:val="1019"/>
        </w:numPr>
        <w:pStyle w:val="Compact"/>
      </w:pPr>
      <w:r>
        <w:t xml:space="preserve">SENA/Betowa, Promotoría en manejo ambiental:</w:t>
      </w:r>
      <w:r>
        <w:t xml:space="preserve"> </w:t>
      </w:r>
      <w:hyperlink r:id="rId73">
        <w:r>
          <w:rPr>
            <w:rStyle w:val="Hyperlink"/>
          </w:rPr>
          <w:t xml:space="preserve">https://betowa.sena.edu.co/oferta/promotoria-en-manejo-ambiental?level=2&amp;modality=P&amp;offertype=company&amp;programId=163494</w:t>
        </w:r>
      </w:hyperlink>
    </w:p>
    <w:p>
      <w:pPr>
        <w:numPr>
          <w:ilvl w:val="0"/>
          <w:numId w:val="1019"/>
        </w:numPr>
        <w:pStyle w:val="Compact"/>
      </w:pPr>
      <w:r>
        <w:t xml:space="preserve">SENA/Betowa portal:</w:t>
      </w:r>
      <w:r>
        <w:t xml:space="preserve"> </w:t>
      </w:r>
      <w:hyperlink r:id="rId74">
        <w:r>
          <w:rPr>
            <w:rStyle w:val="Hyperlink"/>
          </w:rPr>
          <w:t xml:space="preserve">https://betowa.sena.edu.co/</w:t>
        </w:r>
      </w:hyperlink>
    </w:p>
    <w:p>
      <w:pPr>
        <w:numPr>
          <w:ilvl w:val="0"/>
          <w:numId w:val="1019"/>
        </w:numPr>
        <w:pStyle w:val="Compact"/>
      </w:pPr>
      <w:r>
        <w:t xml:space="preserve">SENA, 2026 public training call:</w:t>
      </w:r>
      <w:r>
        <w:t xml:space="preserve"> </w:t>
      </w:r>
      <w:hyperlink r:id="rId75">
        <w:r>
          <w:rPr>
            <w:rStyle w:val="Hyperlink"/>
          </w:rPr>
          <w:t xml:space="preserve">https://www.sena.edu.co/es-co/Noticias/Paginas/noticia.aspx?IdNoticia=9485</w:t>
        </w:r>
      </w:hyperlink>
    </w:p>
    <w:p>
      <w:pPr>
        <w:numPr>
          <w:ilvl w:val="0"/>
          <w:numId w:val="1019"/>
        </w:numPr>
        <w:pStyle w:val="Compact"/>
      </w:pPr>
      <w:r>
        <w:t xml:space="preserve">SUIN-Juriscol, Decreto 1072 de 2015:</w:t>
      </w:r>
      <w:r>
        <w:t xml:space="preserve"> </w:t>
      </w:r>
      <w:hyperlink r:id="rId76">
        <w:r>
          <w:rPr>
            <w:rStyle w:val="Hyperlink"/>
          </w:rPr>
          <w:t xml:space="preserve">https://www.suin-juriscol.gov.co/viewDocument.asp?ruta=Decretos%2F30019522</w:t>
        </w:r>
      </w:hyperlink>
    </w:p>
    <w:bookmarkEnd w:id="77"/>
    <w:bookmarkStart w:id="81" w:name="américa-latina-y-el-caribe-1"/>
    <w:p>
      <w:pPr>
        <w:pStyle w:val="Heading3"/>
      </w:pPr>
      <w:r>
        <w:t xml:space="preserve">América Latina y el Caribe</w:t>
      </w:r>
    </w:p>
    <w:p>
      <w:pPr>
        <w:numPr>
          <w:ilvl w:val="0"/>
          <w:numId w:val="1020"/>
        </w:numPr>
        <w:pStyle w:val="Compact"/>
      </w:pPr>
      <w:r>
        <w:t xml:space="preserve">OIT/Cinterfor:</w:t>
      </w:r>
      <w:r>
        <w:t xml:space="preserve"> </w:t>
      </w:r>
      <w:hyperlink r:id="rId78">
        <w:r>
          <w:rPr>
            <w:rStyle w:val="Hyperlink"/>
          </w:rPr>
          <w:t xml:space="preserve">https://www.oitcinterfor.org/</w:t>
        </w:r>
      </w:hyperlink>
    </w:p>
    <w:p>
      <w:pPr>
        <w:numPr>
          <w:ilvl w:val="0"/>
          <w:numId w:val="1020"/>
        </w:numPr>
        <w:pStyle w:val="Compact"/>
      </w:pPr>
      <w:r>
        <w:t xml:space="preserve">OIT/Cinterfor, competencies for green jobs:</w:t>
      </w:r>
      <w:r>
        <w:t xml:space="preserve"> </w:t>
      </w:r>
      <w:hyperlink r:id="rId79">
        <w:r>
          <w:rPr>
            <w:rStyle w:val="Hyperlink"/>
          </w:rPr>
          <w:t xml:space="preserve">https://www.oitcinterfor.org/general/competencias-laborales-empleos-verdes</w:t>
        </w:r>
      </w:hyperlink>
    </w:p>
    <w:p>
      <w:pPr>
        <w:numPr>
          <w:ilvl w:val="0"/>
          <w:numId w:val="1020"/>
        </w:numPr>
        <w:pStyle w:val="Compact"/>
      </w:pPr>
      <w:r>
        <w:t xml:space="preserve">OIT/Cinterfor institutional network:</w:t>
      </w:r>
      <w:r>
        <w:t xml:space="preserve"> </w:t>
      </w:r>
      <w:hyperlink r:id="rId80">
        <w:r>
          <w:rPr>
            <w:rStyle w:val="Hyperlink"/>
          </w:rPr>
          <w:t xml:space="preserve">https://www.oitcinterfor.org/red-institucional</w:t>
        </w:r>
      </w:hyperlink>
    </w:p>
    <w:p>
      <w:pPr>
        <w:pStyle w:val="FirstParagraph"/>
      </w:pPr>
      <w:r>
        <w:t xml:space="preserve">Estas fuentes fueron seleccionadas para verificar ocupación, educación, seguridad, calidad, financiamiento y rutas de formación. Un enlace de fuente no significa que toda regla o método se aplique a todo proyecto.</w:t>
      </w:r>
    </w:p>
    <w:p>
      <w:pPr>
        <w:pStyle w:val="BodyText"/>
      </w:pPr>
      <w:r>
        <w:rPr>
          <w:bCs/>
          <w:b/>
        </w:rPr>
        <w:t xml:space="preserve">Limitaciones y no garantías:</w:t>
      </w:r>
      <w:r>
        <w:t xml:space="preserve"> </w:t>
      </w:r>
      <w:r>
        <w:t xml:space="preserve">esta guía no garantiza empleo, salarios, vacantes, admisión, financiamiento, práctica de campo, certificación, licencia, registro profesional, calificación HAZWOPER, calificación respiratoria, acceso a sitios, autorización, promoción ni ingresos. Los requisitos cambian. Verifica reglas vigentes con el empleador, proyecto, laboratorio, autoridad ambiental, autoridad laboral/de seguridad, institución educativa, regulador, cuerpo profesional y autoridad de financiamiento pertinentes antes de gastar dinero o realizar trabajo controlado.</w:t>
      </w:r>
    </w:p>
    <w:p>
      <w:pPr>
        <w:pStyle w:val="BodyText"/>
      </w:pPr>
      <w:r>
        <w:rPr>
          <w:bCs/>
          <w:b/>
        </w:rPr>
        <w:t xml:space="preserve">Límite de aseguramiento:</w:t>
      </w:r>
      <w:r>
        <w:t xml:space="preserve"> </w:t>
      </w:r>
      <w:r>
        <w:t xml:space="preserve">esta guía es material educativo de planificación profesional. No afirma revisión humana independiente, certificación profesional de traducción, certificación de accesibilidad, revisión legal o ambiental, aprobación de laboratorio o ingeniería, revisión de higiene industrial o médica, calificación para residuos peligrosos, calificación de protección respiratoria, calificación de espacios confinados o rescate, aprobación de método de muestreo, determinación regulatoria o de licencia ni acreditación.</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4" Target="https://betowa.sena.edu.co/" TargetMode="External" /><Relationship Type="http://schemas.openxmlformats.org/officeDocument/2006/relationships/hyperlink" Id="rId71" Target="https://betowa.sena.edu.co/oferta/monitoreo-ambiental?level=2&amp;modality=P&amp;offertype=open&amp;programId=109895" TargetMode="External" /><Relationship Type="http://schemas.openxmlformats.org/officeDocument/2006/relationships/hyperlink" Id="rId73" Target="https://betowa.sena.edu.co/oferta/promotoria-en-manejo-ambiental?level=2&amp;modality=P&amp;offertype=company&amp;programId=163494" TargetMode="External" /><Relationship Type="http://schemas.openxmlformats.org/officeDocument/2006/relationships/hyperlink" Id="rId72" Target="https://betowa.sena.edu.co/oferta/saneamiento-y-salud-ambiental?level=2&amp;modality=P&amp;offertype=company&amp;programId=167494" TargetMode="External" /><Relationship Type="http://schemas.openxmlformats.org/officeDocument/2006/relationships/hyperlink" Id="rId63" Target="https://studentaid.gov/articles/fafsa-student-steps/" TargetMode="External" /><Relationship Type="http://schemas.openxmlformats.org/officeDocument/2006/relationships/hyperlink" Id="rId54" Target="https://www.bls.gov/ooh/architecture-and-engineering/environmental-engineering-technicians.htm" TargetMode="External" /><Relationship Type="http://schemas.openxmlformats.org/officeDocument/2006/relationships/hyperlink" Id="rId52" Target="https://www.bls.gov/ooh/life-physical-and-social-science/environmental-science-and-protection-technicians.htm" TargetMode="External" /><Relationship Type="http://schemas.openxmlformats.org/officeDocument/2006/relationships/hyperlink" Id="rId68" Target="https://www.canada.ca/en/services/benefits/education/student-aid/grants-loans.html" TargetMode="External" /><Relationship Type="http://schemas.openxmlformats.org/officeDocument/2006/relationships/hyperlink" Id="rId69" Target="https://www.canada.ca/en/services/benefits/education/student-aid/grants-loans/how-funding-works.html" TargetMode="External" /><Relationship Type="http://schemas.openxmlformats.org/officeDocument/2006/relationships/hyperlink" Id="rId62" Target="https://www.epa.gov/choose-fish-and-shellfish-wisely/field-collecting-and-handling-samples" TargetMode="External" /><Relationship Type="http://schemas.openxmlformats.org/officeDocument/2006/relationships/hyperlink" Id="rId61" Target="https://www.epa.gov/choose-fish-and-shellfish-wisely/field-sample-collection" TargetMode="External" /><Relationship Type="http://schemas.openxmlformats.org/officeDocument/2006/relationships/hyperlink" Id="rId60" Target="https://www.epa.gov/quality/field-sampling-quality-control" TargetMode="External" /><Relationship Type="http://schemas.openxmlformats.org/officeDocument/2006/relationships/hyperlink" Id="rId67" Target="https://www.jobbank.gc.ca/marketreport/requirements/17971/ca" TargetMode="External" /><Relationship Type="http://schemas.openxmlformats.org/officeDocument/2006/relationships/hyperlink" Id="rId65" Target="https://www.jobbank.gc.ca/marketreport/summary-occupation/17971/ca" TargetMode="External" /><Relationship Type="http://schemas.openxmlformats.org/officeDocument/2006/relationships/hyperlink" Id="rId66" Target="https://www.jobbank.gc.ca/marketreport/wages-occupation/17971/ca" TargetMode="External" /><Relationship Type="http://schemas.openxmlformats.org/officeDocument/2006/relationships/hyperlink" Id="rId78" Target="https://www.oitcinterfor.org/" TargetMode="External" /><Relationship Type="http://schemas.openxmlformats.org/officeDocument/2006/relationships/hyperlink" Id="rId79" Target="https://www.oitcinterfor.org/general/competencias-laborales-empleos-verdes" TargetMode="External" /><Relationship Type="http://schemas.openxmlformats.org/officeDocument/2006/relationships/hyperlink" Id="rId80" Target="https://www.oitcinterfor.org/red-institucional" TargetMode="External" /><Relationship Type="http://schemas.openxmlformats.org/officeDocument/2006/relationships/hyperlink" Id="rId53" Target="https://www.onetonline.org/link/summary/19-4042.00" TargetMode="External" /><Relationship Type="http://schemas.openxmlformats.org/officeDocument/2006/relationships/hyperlink" Id="rId55" Target="https://www.osha.gov/laws-regs/regulations/standardnumber/1910/1910.120/" TargetMode="External" /><Relationship Type="http://schemas.openxmlformats.org/officeDocument/2006/relationships/hyperlink" Id="rId58" Target="https://www.osha.gov/laws-regs/regulations/standardnumber/1910/1910.1200" TargetMode="External" /><Relationship Type="http://schemas.openxmlformats.org/officeDocument/2006/relationships/hyperlink" Id="rId56" Target="https://www.osha.gov/laws-regs/regulations/standardnumber/1910/1910.132" TargetMode="External" /><Relationship Type="http://schemas.openxmlformats.org/officeDocument/2006/relationships/hyperlink" Id="rId57" Target="https://www.osha.gov/laws-regs/regulations/standardnumber/1910/1910.134" TargetMode="External" /><Relationship Type="http://schemas.openxmlformats.org/officeDocument/2006/relationships/hyperlink" Id="rId59" Target="https://www.osha.gov/laws-regs/regulations/standardnumber/1910/1910.146" TargetMode="External" /><Relationship Type="http://schemas.openxmlformats.org/officeDocument/2006/relationships/hyperlink" Id="rId75" Target="https://www.sena.edu.co/es-co/Noticias/Paginas/noticia.aspx?IdNoticia=9485" TargetMode="External" /><Relationship Type="http://schemas.openxmlformats.org/officeDocument/2006/relationships/hyperlink" Id="rId76" Target="https://www.suin-juriscol.gov.co/viewDocument.asp?ruta=Decretos%2F30019522" TargetMode="External" /></Relationships>
</file>

<file path=word/_rels/footnotes.xml.rels><?xml version="1.0" encoding="UTF-8"?><Relationships xmlns="http://schemas.openxmlformats.org/package/2006/relationships"><Relationship Type="http://schemas.openxmlformats.org/officeDocument/2006/relationships/hyperlink" Id="rId74" Target="https://betowa.sena.edu.co/" TargetMode="External" /><Relationship Type="http://schemas.openxmlformats.org/officeDocument/2006/relationships/hyperlink" Id="rId71" Target="https://betowa.sena.edu.co/oferta/monitoreo-ambiental?level=2&amp;modality=P&amp;offertype=open&amp;programId=109895" TargetMode="External" /><Relationship Type="http://schemas.openxmlformats.org/officeDocument/2006/relationships/hyperlink" Id="rId73" Target="https://betowa.sena.edu.co/oferta/promotoria-en-manejo-ambiental?level=2&amp;modality=P&amp;offertype=company&amp;programId=163494" TargetMode="External" /><Relationship Type="http://schemas.openxmlformats.org/officeDocument/2006/relationships/hyperlink" Id="rId72" Target="https://betowa.sena.edu.co/oferta/saneamiento-y-salud-ambiental?level=2&amp;modality=P&amp;offertype=company&amp;programId=167494" TargetMode="External" /><Relationship Type="http://schemas.openxmlformats.org/officeDocument/2006/relationships/hyperlink" Id="rId63" Target="https://studentaid.gov/articles/fafsa-student-steps/" TargetMode="External" /><Relationship Type="http://schemas.openxmlformats.org/officeDocument/2006/relationships/hyperlink" Id="rId54" Target="https://www.bls.gov/ooh/architecture-and-engineering/environmental-engineering-technicians.htm" TargetMode="External" /><Relationship Type="http://schemas.openxmlformats.org/officeDocument/2006/relationships/hyperlink" Id="rId52" Target="https://www.bls.gov/ooh/life-physical-and-social-science/environmental-science-and-protection-technicians.htm" TargetMode="External" /><Relationship Type="http://schemas.openxmlformats.org/officeDocument/2006/relationships/hyperlink" Id="rId68" Target="https://www.canada.ca/en/services/benefits/education/student-aid/grants-loans.html" TargetMode="External" /><Relationship Type="http://schemas.openxmlformats.org/officeDocument/2006/relationships/hyperlink" Id="rId69" Target="https://www.canada.ca/en/services/benefits/education/student-aid/grants-loans/how-funding-works.html" TargetMode="External" /><Relationship Type="http://schemas.openxmlformats.org/officeDocument/2006/relationships/hyperlink" Id="rId62" Target="https://www.epa.gov/choose-fish-and-shellfish-wisely/field-collecting-and-handling-samples" TargetMode="External" /><Relationship Type="http://schemas.openxmlformats.org/officeDocument/2006/relationships/hyperlink" Id="rId61" Target="https://www.epa.gov/choose-fish-and-shellfish-wisely/field-sample-collection" TargetMode="External" /><Relationship Type="http://schemas.openxmlformats.org/officeDocument/2006/relationships/hyperlink" Id="rId60" Target="https://www.epa.gov/quality/field-sampling-quality-control" TargetMode="External" /><Relationship Type="http://schemas.openxmlformats.org/officeDocument/2006/relationships/hyperlink" Id="rId67" Target="https://www.jobbank.gc.ca/marketreport/requirements/17971/ca" TargetMode="External" /><Relationship Type="http://schemas.openxmlformats.org/officeDocument/2006/relationships/hyperlink" Id="rId65" Target="https://www.jobbank.gc.ca/marketreport/summary-occupation/17971/ca" TargetMode="External" /><Relationship Type="http://schemas.openxmlformats.org/officeDocument/2006/relationships/hyperlink" Id="rId66" Target="https://www.jobbank.gc.ca/marketreport/wages-occupation/17971/ca" TargetMode="External" /><Relationship Type="http://schemas.openxmlformats.org/officeDocument/2006/relationships/hyperlink" Id="rId78" Target="https://www.oitcinterfor.org/" TargetMode="External" /><Relationship Type="http://schemas.openxmlformats.org/officeDocument/2006/relationships/hyperlink" Id="rId79" Target="https://www.oitcinterfor.org/general/competencias-laborales-empleos-verdes" TargetMode="External" /><Relationship Type="http://schemas.openxmlformats.org/officeDocument/2006/relationships/hyperlink" Id="rId80" Target="https://www.oitcinterfor.org/red-institucional" TargetMode="External" /><Relationship Type="http://schemas.openxmlformats.org/officeDocument/2006/relationships/hyperlink" Id="rId53" Target="https://www.onetonline.org/link/summary/19-4042.00" TargetMode="External" /><Relationship Type="http://schemas.openxmlformats.org/officeDocument/2006/relationships/hyperlink" Id="rId55" Target="https://www.osha.gov/laws-regs/regulations/standardnumber/1910/1910.120/" TargetMode="External" /><Relationship Type="http://schemas.openxmlformats.org/officeDocument/2006/relationships/hyperlink" Id="rId58" Target="https://www.osha.gov/laws-regs/regulations/standardnumber/1910/1910.1200" TargetMode="External" /><Relationship Type="http://schemas.openxmlformats.org/officeDocument/2006/relationships/hyperlink" Id="rId56" Target="https://www.osha.gov/laws-regs/regulations/standardnumber/1910/1910.132" TargetMode="External" /><Relationship Type="http://schemas.openxmlformats.org/officeDocument/2006/relationships/hyperlink" Id="rId57" Target="https://www.osha.gov/laws-regs/regulations/standardnumber/1910/1910.134" TargetMode="External" /><Relationship Type="http://schemas.openxmlformats.org/officeDocument/2006/relationships/hyperlink" Id="rId59" Target="https://www.osha.gov/laws-regs/regulations/standardnumber/1910/1910.146" TargetMode="External" /><Relationship Type="http://schemas.openxmlformats.org/officeDocument/2006/relationships/hyperlink" Id="rId75" Target="https://www.sena.edu.co/es-co/Noticias/Paginas/noticia.aspx?IdNoticia=9485" TargetMode="External" /><Relationship Type="http://schemas.openxmlformats.org/officeDocument/2006/relationships/hyperlink" Id="rId76" Target="https://www.suin-juriscol.gov.co/viewDocument.asp?ruta=Decretos%2F300195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2026-08-18T12:33:23Z</dcterms:created>
  <dcterms:modified xsi:type="dcterms:W3CDTF">2026-08-18T12:33:23Z</dcterms:modified>
</cp:coreProperties>
</file>

<file path=docProps/custom.xml><?xml version="1.0" encoding="utf-8"?>
<Properties xmlns="http://schemas.openxmlformats.org/officeDocument/2006/custom-properties" xmlns:vt="http://schemas.openxmlformats.org/officeDocument/2006/docPropsVTypes"/>
</file>