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LIFELONG OPPORTUNITY</w:t>
      </w:r>
    </w:p>
    <w:p>
      <w:pPr>
        <w:pStyle w:val="Title"/>
        <w:jc w:val="center"/>
      </w:pPr>
      <w:r>
        <w:t>HUMAN RESOURCES ASSISTANT</w:t>
      </w:r>
    </w:p>
    <w:p>
      <w:pPr>
        <w:jc w:val="center"/>
      </w:pPr>
      <w:r>
        <w:rPr>
          <w:b/>
          <w:sz w:val="28"/>
        </w:rPr>
        <w:t>A Free Guide to Career Fit, Affordable Education, Accessibility,</w:t>
        <w:br/>
        <w:t>Ethical Decision-Making, and Lifelong Reinvention</w:t>
      </w:r>
    </w:p>
    <w:p>
      <w:pPr>
        <w:jc w:val="center"/>
      </w:pPr>
      <w:r>
        <w:rPr>
          <w:i/>
        </w:rP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
      <w:pPr>
        <w:pStyle w:val="Callout"/>
      </w:pPr>
      <w:r>
        <w:rPr>
          <w:b/>
        </w:rPr>
        <w:t xml:space="preserve">The promise of this guide: </w:t>
      </w:r>
      <w:r>
        <w:t>This guide does not promise that Human Resources Assistant work is right for everyone, that education will be free, or that a credential will lead to a job. It helps you understand HR support, confidentiality, record accuracy, nondiscrimination, and boundaries between administration and professional advice.</w:t>
      </w:r>
    </w:p>
    <w:p>
      <w:r>
        <w:br w:type="page"/>
      </w:r>
    </w:p>
    <w:p>
      <w:pPr>
        <w:pStyle w:val="Heading1"/>
      </w:pPr>
      <w:r>
        <w:t>Why I Created This Guide</w:t>
      </w:r>
    </w:p>
    <w:p>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r>
        <w:t>Human Resources Assistant can be a practical career or a bridge to related work. The purpose of this manual is to show the real tasks, risks, education choices, funding options, worker protections, and exit paths before a reader spends money or accepts obligations.</w:t>
      </w:r>
    </w:p>
    <w:p>
      <w:pPr>
        <w:pStyle w:val="Heading1"/>
      </w:pPr>
      <w:r>
        <w:t>Acknowledgment of AI Assistance</w:t>
      </w:r>
    </w:p>
    <w:p>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pPr>
      <w:r>
        <w:t>Ethical and Practical Limits</w:t>
      </w:r>
    </w:p>
    <w:p>
      <w:pPr>
        <w:pStyle w:val="ListBullet"/>
        <w:ind w:left="403" w:hanging="259"/>
      </w:pPr>
      <w:r>
        <w:t>No career assessment can guarantee enjoyment, employment, promotion, funding, licensing, or income.</w:t>
      </w:r>
    </w:p>
    <w:p>
      <w:pPr>
        <w:pStyle w:val="ListBullet"/>
        <w:ind w:left="403" w:hanging="259"/>
      </w:pPr>
      <w:r>
        <w:t>Requirements differ by employer, industry, jurisdiction, and work setting.</w:t>
      </w:r>
    </w:p>
    <w:p>
      <w:pPr>
        <w:pStyle w:val="ListBullet"/>
        <w:ind w:left="403" w:hanging="259"/>
      </w:pPr>
      <w:r>
        <w:t>This guide provides general education and navigation, not individualized legal, tax, medical, mental-health, immigration, financial, or licensed vocational advice.</w:t>
      </w:r>
    </w:p>
    <w:p>
      <w:pPr>
        <w:pStyle w:val="ListBullet"/>
        <w:ind w:left="403" w:hanging="259"/>
      </w:pPr>
      <w:r>
        <w:t>Do not pay a large nonrefundable fee, borrow money, or sign a repayment agreement because someone pressures you to act immediately.</w:t>
      </w:r>
    </w:p>
    <w:p>
      <w:pPr>
        <w:pStyle w:val="ListBullet"/>
        <w:ind w:left="403" w:hanging="259"/>
      </w:pPr>
      <w:r>
        <w:t>Verify high-impact facts with current official sources before making a financial, educational, employment, or legal commitment.</w:t>
      </w:r>
    </w:p>
    <w:p>
      <w:pPr>
        <w:pStyle w:val="Heading1"/>
      </w:pPr>
      <w:r>
        <w:t>How This Guide Relates to the Foundation Guide</w:t>
      </w:r>
    </w:p>
    <w:p>
      <w:r>
        <w:t>The Foundation Guide explains the project-wide decision process, school verification, education funding, accessibility, worker protections, ethical AI, and release standards. This manual applies those standards to this occupation.</w:t>
      </w:r>
    </w:p>
    <w:p>
      <w:r>
        <w:br w:type="page"/>
      </w:r>
    </w:p>
    <w:p>
      <w:pPr>
        <w:pStyle w:val="Heading1"/>
      </w:pPr>
      <w:r>
        <w:t>Table of Contents</w:t>
      </w:r>
    </w:p>
    <w:p>
      <w:pPr>
        <w:pStyle w:val="ListBullet"/>
        <w:ind w:left="403" w:hanging="259"/>
      </w:pPr>
      <w:r>
        <w:t>1. How to Use This Guide</w:t>
      </w:r>
    </w:p>
    <w:p>
      <w:pPr>
        <w:pStyle w:val="ListBullet2"/>
        <w:ind w:left="720" w:hanging="259"/>
      </w:pPr>
      <w:r>
        <w:t>Decision rules</w:t>
      </w:r>
    </w:p>
    <w:p>
      <w:pPr>
        <w:pStyle w:val="ListBullet"/>
        <w:ind w:left="403" w:hanging="259"/>
      </w:pPr>
      <w:r>
        <w:t>2. What the Work Is</w:t>
      </w:r>
    </w:p>
    <w:p>
      <w:pPr>
        <w:pStyle w:val="ListBullet2"/>
        <w:ind w:left="720" w:hanging="259"/>
      </w:pPr>
      <w:r>
        <w:t>Definition, titles, and settings</w:t>
      </w:r>
    </w:p>
    <w:p>
      <w:pPr>
        <w:pStyle w:val="ListBullet"/>
        <w:ind w:left="403" w:hanging="259"/>
      </w:pPr>
      <w:r>
        <w:t>3. Duties, Tools, and Work Cycles</w:t>
      </w:r>
    </w:p>
    <w:p>
      <w:pPr>
        <w:pStyle w:val="ListBullet2"/>
        <w:ind w:left="720" w:hanging="259"/>
      </w:pPr>
      <w:r>
        <w:t>Core duties</w:t>
      </w:r>
    </w:p>
    <w:p>
      <w:pPr>
        <w:pStyle w:val="ListBullet2"/>
        <w:ind w:left="720" w:hanging="259"/>
      </w:pPr>
      <w:r>
        <w:t>A realistic work cycle</w:t>
      </w:r>
    </w:p>
    <w:p>
      <w:pPr>
        <w:pStyle w:val="ListBullet"/>
        <w:ind w:left="403" w:hanging="259"/>
      </w:pPr>
      <w:r>
        <w:t>4. Fit, Conditions, and Safety</w:t>
      </w:r>
    </w:p>
    <w:p>
      <w:pPr>
        <w:pStyle w:val="ListBullet2"/>
        <w:ind w:left="720" w:hanging="259"/>
      </w:pPr>
      <w:r>
        <w:t>Career-fit questions</w:t>
      </w:r>
    </w:p>
    <w:p>
      <w:pPr>
        <w:pStyle w:val="ListBullet2"/>
        <w:ind w:left="720" w:hanging="259"/>
      </w:pPr>
      <w:r>
        <w:t>Who should pause</w:t>
      </w:r>
    </w:p>
    <w:p>
      <w:pPr>
        <w:pStyle w:val="ListBullet"/>
        <w:ind w:left="403" w:hanging="259"/>
      </w:pPr>
      <w:r>
        <w:t>5. Ethics, Boundaries, and Escalation</w:t>
      </w:r>
    </w:p>
    <w:p>
      <w:pPr>
        <w:pStyle w:val="ListBullet2"/>
        <w:ind w:left="720" w:hanging="259"/>
      </w:pPr>
      <w:r>
        <w:t>Scope and stop-work rules</w:t>
      </w:r>
    </w:p>
    <w:p>
      <w:pPr>
        <w:pStyle w:val="ListBullet"/>
        <w:ind w:left="403" w:hanging="259"/>
      </w:pPr>
      <w:r>
        <w:t>6. Pay, Benefits, and Outlook</w:t>
      </w:r>
    </w:p>
    <w:p>
      <w:pPr>
        <w:pStyle w:val="ListBullet2"/>
        <w:ind w:left="720" w:hanging="259"/>
      </w:pPr>
      <w:r>
        <w:t>National context</w:t>
      </w:r>
    </w:p>
    <w:p>
      <w:pPr>
        <w:pStyle w:val="ListBullet2"/>
        <w:ind w:left="720" w:hanging="259"/>
      </w:pPr>
      <w:r>
        <w:t>Local wage research</w:t>
      </w:r>
    </w:p>
    <w:p>
      <w:pPr>
        <w:pStyle w:val="ListBullet"/>
        <w:ind w:left="403" w:hanging="259"/>
      </w:pPr>
      <w:r>
        <w:t>7. Education and Credentials</w:t>
      </w:r>
    </w:p>
    <w:p>
      <w:pPr>
        <w:pStyle w:val="ListBullet2"/>
        <w:ind w:left="720" w:hanging="259"/>
      </w:pPr>
      <w:r>
        <w:t>Free-first pathway</w:t>
      </w:r>
    </w:p>
    <w:p>
      <w:pPr>
        <w:pStyle w:val="ListBullet2"/>
        <w:ind w:left="720" w:hanging="259"/>
      </w:pPr>
      <w:r>
        <w:t>School and credential verification</w:t>
      </w:r>
    </w:p>
    <w:p>
      <w:pPr>
        <w:pStyle w:val="ListBullet"/>
        <w:ind w:left="403" w:hanging="259"/>
      </w:pPr>
      <w:r>
        <w:t>8. Employer-Supported Learning</w:t>
      </w:r>
    </w:p>
    <w:p>
      <w:pPr>
        <w:pStyle w:val="ListBullet2"/>
        <w:ind w:left="720" w:hanging="259"/>
      </w:pPr>
      <w:r>
        <w:t>Tuition benefits and repayment</w:t>
      </w:r>
    </w:p>
    <w:p>
      <w:pPr>
        <w:pStyle w:val="ListBullet2"/>
        <w:ind w:left="720" w:hanging="259"/>
      </w:pPr>
      <w:r>
        <w:t>Internships, apprenticeships, and career ladders</w:t>
      </w:r>
    </w:p>
    <w:p>
      <w:pPr>
        <w:pStyle w:val="ListBullet"/>
        <w:ind w:left="403" w:hanging="259"/>
      </w:pPr>
      <w:r>
        <w:t>9. Accessibility and Inclusion</w:t>
      </w:r>
    </w:p>
    <w:p>
      <w:pPr>
        <w:pStyle w:val="ListBullet2"/>
        <w:ind w:left="720" w:hanging="259"/>
      </w:pPr>
      <w:r>
        <w:t>Accommodations across the pathway</w:t>
      </w:r>
    </w:p>
    <w:p>
      <w:pPr>
        <w:pStyle w:val="ListBullet"/>
        <w:ind w:left="403" w:hanging="259"/>
      </w:pPr>
      <w:r>
        <w:t>10. Privacy, Cybersecurity, and Ethical AI</w:t>
      </w:r>
    </w:p>
    <w:p>
      <w:pPr>
        <w:pStyle w:val="ListBullet2"/>
        <w:ind w:left="720" w:hanging="259"/>
      </w:pPr>
      <w:r>
        <w:t>Responsible information use</w:t>
      </w:r>
    </w:p>
    <w:p>
      <w:pPr>
        <w:pStyle w:val="ListBullet"/>
        <w:ind w:left="403" w:hanging="259"/>
      </w:pPr>
      <w:r>
        <w:t>11. Build Evidence of Ability</w:t>
      </w:r>
    </w:p>
    <w:p>
      <w:pPr>
        <w:pStyle w:val="ListBullet2"/>
        <w:ind w:left="720" w:hanging="259"/>
      </w:pPr>
      <w:r>
        <w:t>Portfolio projects and résumé evidence</w:t>
      </w:r>
    </w:p>
    <w:p>
      <w:pPr>
        <w:pStyle w:val="ListBullet"/>
        <w:ind w:left="403" w:hanging="259"/>
      </w:pPr>
      <w:r>
        <w:t>12. Interview Preparation</w:t>
      </w:r>
    </w:p>
    <w:p>
      <w:pPr>
        <w:pStyle w:val="ListBullet2"/>
        <w:ind w:left="720" w:hanging="259"/>
      </w:pPr>
      <w:r>
        <w:t>Questions and answer guidance</w:t>
      </w:r>
    </w:p>
    <w:p>
      <w:pPr>
        <w:pStyle w:val="ListBullet"/>
        <w:ind w:left="403" w:hanging="259"/>
      </w:pPr>
      <w:r>
        <w:t>13. First 30, 60, and 90 Days</w:t>
      </w:r>
    </w:p>
    <w:p>
      <w:pPr>
        <w:pStyle w:val="ListBullet2"/>
        <w:ind w:left="720" w:hanging="259"/>
      </w:pPr>
      <w:r>
        <w:t>Entry plan</w:t>
      </w:r>
    </w:p>
    <w:p>
      <w:pPr>
        <w:pStyle w:val="ListBullet"/>
        <w:ind w:left="403" w:hanging="259"/>
      </w:pPr>
      <w:r>
        <w:t>14. Advancement, Portability, and Exit Planning</w:t>
      </w:r>
    </w:p>
    <w:p>
      <w:pPr>
        <w:pStyle w:val="ListBullet2"/>
        <w:ind w:left="720" w:hanging="259"/>
      </w:pPr>
      <w:r>
        <w:t>Career movement and retained value</w:t>
      </w:r>
    </w:p>
    <w:p>
      <w:pPr>
        <w:pStyle w:val="ListBullet"/>
        <w:ind w:left="403" w:hanging="259"/>
      </w:pPr>
      <w:r>
        <w:t>15. Before You Enroll or Sign</w:t>
      </w:r>
    </w:p>
    <w:p>
      <w:pPr>
        <w:pStyle w:val="ListBullet2"/>
        <w:ind w:left="720" w:hanging="259"/>
      </w:pPr>
      <w:r>
        <w:t>Verification checklist</w:t>
      </w:r>
    </w:p>
    <w:p>
      <w:pPr>
        <w:pStyle w:val="ListBullet"/>
        <w:ind w:left="403" w:hanging="259"/>
      </w:pPr>
      <w:r>
        <w:t>16. Is This Career Right for Me?</w:t>
      </w:r>
    </w:p>
    <w:p>
      <w:pPr>
        <w:pStyle w:val="ListBullet2"/>
        <w:ind w:left="720" w:hanging="259"/>
      </w:pPr>
      <w:r>
        <w:t>Decision scorecard</w:t>
      </w:r>
    </w:p>
    <w:p>
      <w:pPr>
        <w:pStyle w:val="ListBullet"/>
        <w:ind w:left="403" w:hanging="259"/>
      </w:pPr>
      <w:r>
        <w:t>17. Twelve-Week Action Plan</w:t>
      </w:r>
    </w:p>
    <w:p>
      <w:pPr>
        <w:pStyle w:val="ListBullet2"/>
        <w:ind w:left="720" w:hanging="259"/>
      </w:pPr>
      <w:r>
        <w:t>Sequential plan</w:t>
      </w:r>
    </w:p>
    <w:p>
      <w:pPr>
        <w:pStyle w:val="ListBullet"/>
        <w:ind w:left="403" w:hanging="259"/>
      </w:pPr>
      <w:r>
        <w:t>18. Worksheets</w:t>
      </w:r>
    </w:p>
    <w:p>
      <w:pPr>
        <w:pStyle w:val="ListBullet2"/>
        <w:ind w:left="720" w:hanging="259"/>
      </w:pPr>
      <w:r>
        <w:t>Cost and agreement worksheets</w:t>
      </w:r>
    </w:p>
    <w:p>
      <w:pPr>
        <w:pStyle w:val="ListBullet"/>
        <w:ind w:left="403" w:hanging="259"/>
      </w:pPr>
      <w:r>
        <w:t>19. Sources, Versioning, and Maintenance</w:t>
      </w:r>
    </w:p>
    <w:p>
      <w:pPr>
        <w:pStyle w:val="ListBullet2"/>
        <w:ind w:left="720" w:hanging="259"/>
      </w:pPr>
      <w:r>
        <w:t>Official sources and review policy</w:t>
      </w:r>
    </w:p>
    <w:p>
      <w:r>
        <w:br w:type="page"/>
      </w:r>
    </w:p>
    <w:p>
      <w:pPr>
        <w:pStyle w:val="Heading1"/>
      </w:pPr>
      <w:r>
        <w:t>1. How to Use This Guide</w:t>
      </w:r>
    </w:p>
    <w:p>
      <w:pPr>
        <w:pStyle w:val="Heading2"/>
      </w:pPr>
      <w:r>
        <w:t>Decision rules</w:t>
      </w:r>
    </w:p>
    <w:p>
      <w:pPr>
        <w:pStyle w:val="ListBullet"/>
        <w:ind w:left="403" w:hanging="259"/>
      </w:pPr>
      <w:r>
        <w:t>Do not begin by choosing a school. Begin by understanding the actual work and local requirements.</w:t>
      </w:r>
    </w:p>
    <w:p>
      <w:pPr>
        <w:pStyle w:val="ListBullet"/>
        <w:ind w:left="403" w:hanging="259"/>
      </w:pPr>
      <w:r>
        <w:t>Separate legal requirements, common employer preferences, and optional advantages.</w:t>
      </w:r>
    </w:p>
    <w:p>
      <w:pPr>
        <w:pStyle w:val="ListBullet"/>
        <w:ind w:left="403" w:hanging="259"/>
      </w:pPr>
      <w:r>
        <w:t>Review current local job postings and official sources before relying on national summaries.</w:t>
      </w:r>
    </w:p>
    <w:p>
      <w:pPr>
        <w:pStyle w:val="ListBullet"/>
        <w:ind w:left="403" w:hanging="259"/>
      </w:pPr>
      <w:r>
        <w:t>Use bullet-point checklists for comparison; use numbered lists only for genuine sequences.</w:t>
      </w:r>
    </w:p>
    <w:p>
      <w:pPr>
        <w:pStyle w:val="ListBullet"/>
        <w:ind w:left="403" w:hanging="259"/>
      </w:pPr>
      <w:r>
        <w:t>Pause before paying, borrowing, relocating, or signing an employment service commitment.</w:t>
      </w:r>
    </w:p>
    <w:p>
      <w:pPr>
        <w:pStyle w:val="Heading1"/>
      </w:pPr>
      <w:r>
        <w:t>2. What the Work Is</w:t>
      </w:r>
    </w:p>
    <w:p>
      <w:pPr>
        <w:pStyle w:val="Heading2"/>
      </w:pPr>
      <w:r>
        <w:t>Definition, titles, and settings</w:t>
      </w:r>
    </w:p>
    <w:p>
      <w:r>
        <w:t>Human resources assistants support recruiting, onboarding, employee records, benefits administration, training logistics, leave documentation, reporting, and employee inquiries under established policies and professional supervision.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top"/>
          </w:tcPr>
          <w:p>
            <w:pPr>
              <w:spacing w:after="20"/>
            </w:pPr>
            <w:r>
              <w:rPr>
                <w:b/>
                <w:sz w:val="17"/>
              </w:rPr>
              <w:t>Common titles</w:t>
            </w:r>
          </w:p>
        </w:tc>
        <w:tc>
          <w:tcPr>
            <w:tcW w:type="dxa" w:w="5083"/>
            <w:shd w:fill="D9EAF7"/>
            <w:vAlign w:val="top"/>
          </w:tcPr>
          <w:p>
            <w:pPr>
              <w:spacing w:after="20"/>
            </w:pPr>
            <w:r>
              <w:rPr>
                <w:b/>
                <w:sz w:val="17"/>
              </w:rPr>
              <w:t>Common settings</w:t>
            </w:r>
          </w:p>
        </w:tc>
      </w:tr>
      <w:tr>
        <w:tc>
          <w:tcPr>
            <w:tcW w:type="dxa" w:w="5083"/>
            <w:vAlign w:val="top"/>
          </w:tcPr>
          <w:p>
            <w:pPr>
              <w:spacing w:after="20"/>
            </w:pPr>
            <w:r>
              <w:rPr>
                <w:sz w:val="17"/>
              </w:rPr>
              <w:t>HR assistant</w:t>
            </w:r>
          </w:p>
        </w:tc>
        <w:tc>
          <w:tcPr>
            <w:tcW w:type="dxa" w:w="5083"/>
            <w:vAlign w:val="top"/>
          </w:tcPr>
          <w:p>
            <w:pPr>
              <w:spacing w:after="20"/>
            </w:pPr>
            <w:r>
              <w:rPr>
                <w:sz w:val="17"/>
              </w:rPr>
              <w:t>private companies</w:t>
            </w:r>
          </w:p>
        </w:tc>
      </w:tr>
      <w:tr>
        <w:tc>
          <w:tcPr>
            <w:tcW w:type="dxa" w:w="5083"/>
            <w:vAlign w:val="top"/>
          </w:tcPr>
          <w:p>
            <w:pPr>
              <w:spacing w:after="20"/>
            </w:pPr>
            <w:r>
              <w:rPr>
                <w:sz w:val="17"/>
              </w:rPr>
              <w:t>human resources coordinator</w:t>
            </w:r>
          </w:p>
        </w:tc>
        <w:tc>
          <w:tcPr>
            <w:tcW w:type="dxa" w:w="5083"/>
            <w:vAlign w:val="top"/>
          </w:tcPr>
          <w:p>
            <w:pPr>
              <w:spacing w:after="20"/>
            </w:pPr>
            <w:r>
              <w:rPr>
                <w:sz w:val="17"/>
              </w:rPr>
              <w:t>healthcare</w:t>
            </w:r>
          </w:p>
        </w:tc>
      </w:tr>
      <w:tr>
        <w:tc>
          <w:tcPr>
            <w:tcW w:type="dxa" w:w="5083"/>
            <w:vAlign w:val="top"/>
          </w:tcPr>
          <w:p>
            <w:pPr>
              <w:spacing w:after="20"/>
            </w:pPr>
            <w:r>
              <w:rPr>
                <w:sz w:val="17"/>
              </w:rPr>
              <w:t>people operations assistant</w:t>
            </w:r>
          </w:p>
        </w:tc>
        <w:tc>
          <w:tcPr>
            <w:tcW w:type="dxa" w:w="5083"/>
            <w:vAlign w:val="top"/>
          </w:tcPr>
          <w:p>
            <w:pPr>
              <w:spacing w:after="20"/>
            </w:pPr>
            <w:r>
              <w:rPr>
                <w:sz w:val="17"/>
              </w:rPr>
              <w:t>government</w:t>
            </w:r>
          </w:p>
        </w:tc>
      </w:tr>
      <w:tr>
        <w:tc>
          <w:tcPr>
            <w:tcW w:type="dxa" w:w="5083"/>
            <w:vAlign w:val="top"/>
          </w:tcPr>
          <w:p>
            <w:pPr>
              <w:spacing w:after="20"/>
            </w:pPr>
            <w:r>
              <w:rPr>
                <w:sz w:val="17"/>
              </w:rPr>
              <w:t>recruiting coordinator</w:t>
            </w:r>
          </w:p>
        </w:tc>
        <w:tc>
          <w:tcPr>
            <w:tcW w:type="dxa" w:w="5083"/>
            <w:vAlign w:val="top"/>
          </w:tcPr>
          <w:p>
            <w:pPr>
              <w:spacing w:after="20"/>
            </w:pPr>
            <w:r>
              <w:rPr>
                <w:sz w:val="17"/>
              </w:rPr>
              <w:t>education</w:t>
            </w:r>
          </w:p>
        </w:tc>
      </w:tr>
      <w:tr>
        <w:tc>
          <w:tcPr>
            <w:tcW w:type="dxa" w:w="5083"/>
            <w:vAlign w:val="top"/>
          </w:tcPr>
          <w:p>
            <w:pPr>
              <w:spacing w:after="20"/>
            </w:pPr>
            <w:r>
              <w:rPr>
                <w:sz w:val="17"/>
              </w:rPr>
              <w:t>HR administrative assistant</w:t>
            </w:r>
          </w:p>
        </w:tc>
        <w:tc>
          <w:tcPr>
            <w:tcW w:type="dxa" w:w="5083"/>
            <w:vAlign w:val="top"/>
          </w:tcPr>
          <w:p>
            <w:pPr>
              <w:spacing w:after="20"/>
            </w:pPr>
            <w:r>
              <w:rPr>
                <w:sz w:val="17"/>
              </w:rPr>
              <w:t>staffing firms</w:t>
            </w:r>
          </w:p>
        </w:tc>
      </w:tr>
      <w:tr>
        <w:tc>
          <w:tcPr>
            <w:tcW w:type="dxa" w:w="5083"/>
            <w:vAlign w:val="top"/>
          </w:tcPr>
          <w:p>
            <w:pPr>
              <w:spacing w:after="20"/>
            </w:pPr>
            <w:r>
              <w:rPr>
                <w:sz w:val="17"/>
              </w:rPr>
              <w:t>personnel assistant</w:t>
            </w:r>
          </w:p>
        </w:tc>
        <w:tc>
          <w:tcPr>
            <w:tcW w:type="dxa" w:w="5083"/>
            <w:vAlign w:val="top"/>
          </w:tcPr>
          <w:p>
            <w:pPr>
              <w:spacing w:after="20"/>
            </w:pPr>
            <w:r>
              <w:rPr>
                <w:sz w:val="17"/>
              </w:rPr>
              <w:t>nonprofits</w:t>
            </w:r>
          </w:p>
        </w:tc>
      </w:tr>
    </w:tbl>
    <w:p>
      <w:pPr>
        <w:pStyle w:val="Heading1"/>
      </w:pPr>
      <w:r>
        <w:t>3. Duties, Tools, and Work Cycles</w:t>
      </w:r>
    </w:p>
    <w:p>
      <w:pPr>
        <w:pStyle w:val="Heading2"/>
      </w:pPr>
      <w:r>
        <w:t>Core duties</w:t>
      </w:r>
    </w:p>
    <w:p>
      <w:pPr>
        <w:pStyle w:val="ListBullet"/>
        <w:ind w:left="403" w:hanging="259"/>
      </w:pPr>
      <w:r>
        <w:t>Maintain accurate employee and applicant records.</w:t>
      </w:r>
    </w:p>
    <w:p>
      <w:pPr>
        <w:pStyle w:val="ListBullet"/>
        <w:ind w:left="403" w:hanging="259"/>
      </w:pPr>
      <w:r>
        <w:t>Coordinate recruiting, interviews, onboarding, training, and routine benefits or leave communications.</w:t>
      </w:r>
    </w:p>
    <w:p>
      <w:pPr>
        <w:pStyle w:val="ListBullet"/>
        <w:ind w:left="403" w:hanging="259"/>
      </w:pPr>
      <w:r>
        <w:t>Provide approved information without interpreting law or promising outcomes.</w:t>
      </w:r>
    </w:p>
    <w:p>
      <w:pPr>
        <w:pStyle w:val="ListBullet"/>
        <w:ind w:left="403" w:hanging="259"/>
      </w:pPr>
      <w:r>
        <w:t>Protect medical, identity, compensation, complaint, and background-check information.</w:t>
      </w:r>
    </w:p>
    <w:p>
      <w:pPr>
        <w:pStyle w:val="ListBullet"/>
        <w:ind w:left="403" w:hanging="259"/>
      </w:pPr>
      <w:r>
        <w:t>Escalate discrimination, retaliation, harassment, safety, wage, leave, or accommodation concerns.</w:t>
      </w:r>
    </w:p>
    <w:p>
      <w:pPr>
        <w:pStyle w:val="Heading2"/>
      </w:pPr>
      <w:r>
        <w:t>A realistic work cycle</w:t>
      </w:r>
    </w:p>
    <w:p>
      <w:pPr>
        <w:pStyle w:val="ListNumber"/>
      </w:pPr>
      <w:r>
        <w:t>Confirm the request, person, deadline, authority, and sensitivity.</w:t>
      </w:r>
    </w:p>
    <w:p>
      <w:pPr>
        <w:pStyle w:val="ListNumber"/>
      </w:pPr>
      <w:r>
        <w:t>Use the approved policy, form, system, or communication template.</w:t>
      </w:r>
    </w:p>
    <w:p>
      <w:pPr>
        <w:pStyle w:val="ListNumber"/>
      </w:pPr>
      <w:r>
        <w:t>Verify completeness and data accuracy.</w:t>
      </w:r>
    </w:p>
    <w:p>
      <w:pPr>
        <w:pStyle w:val="ListNumber"/>
      </w:pPr>
      <w:r>
        <w:t>Route approvals or specialist review.</w:t>
      </w:r>
    </w:p>
    <w:p>
      <w:pPr>
        <w:pStyle w:val="ListNumber"/>
      </w:pPr>
      <w:r>
        <w:t>Communicate status without disclosing restricted information.</w:t>
      </w:r>
    </w:p>
    <w:p>
      <w:pPr>
        <w:pStyle w:val="ListNumber"/>
      </w:pPr>
      <w:r>
        <w:t>Record the action and retain documentation properly.</w:t>
      </w:r>
    </w:p>
    <w:p>
      <w:pPr>
        <w:pStyle w:val="ListNumber"/>
      </w:pPr>
      <w:r>
        <w:t>Escalate legal, ethical, safety, discrimination, retaliation, or employee-relations concerns.</w:t>
      </w:r>
    </w:p>
    <w:p>
      <w:r>
        <w:t>The sequence above is illustrative. Actual procedures must follow employer policy, applicable law, system controls, supervision, and safety requirements.</w:t>
      </w:r>
    </w:p>
    <w:p>
      <w:pPr>
        <w:pStyle w:val="Heading1"/>
      </w:pPr>
      <w:r>
        <w:t>4. Fit, Conditions, and Safety</w:t>
      </w:r>
    </w:p>
    <w:p>
      <w:pPr>
        <w:pStyle w:val="Heading2"/>
      </w:pPr>
      <w:r>
        <w:t>Career-fit questions</w:t>
      </w:r>
    </w:p>
    <w:p>
      <w:pPr>
        <w:pStyle w:val="ListBullet"/>
        <w:ind w:left="403" w:hanging="259"/>
      </w:pPr>
      <w:r>
        <w:t>Do the repeated daily tasks fit your interests and attention style?</w:t>
      </w:r>
    </w:p>
    <w:p>
      <w:pPr>
        <w:pStyle w:val="ListBullet"/>
        <w:ind w:left="403" w:hanging="259"/>
      </w:pPr>
      <w:r>
        <w:t>Can you manage the pace, interruptions, emotional labor, physical demands, or screen time?</w:t>
      </w:r>
    </w:p>
    <w:p>
      <w:pPr>
        <w:pStyle w:val="ListBullet"/>
        <w:ind w:left="403" w:hanging="259"/>
      </w:pPr>
      <w:r>
        <w:t>Can the schedule, travel, transportation, and caregiving demands work for your household?</w:t>
      </w:r>
    </w:p>
    <w:p>
      <w:pPr>
        <w:pStyle w:val="ListBullet"/>
        <w:ind w:left="403" w:hanging="259"/>
      </w:pPr>
      <w:r>
        <w:t>What accommodations, assistive technology, language access, or predictable scheduling would make the pathway sustainable?</w:t>
      </w:r>
    </w:p>
    <w:p>
      <w:pPr>
        <w:pStyle w:val="ListBullet"/>
        <w:ind w:left="403" w:hanging="259"/>
      </w:pPr>
      <w:r>
        <w:t>Can you enter without unsustainable debt or an unfair service obligation?</w:t>
      </w:r>
    </w:p>
    <w:p>
      <w:pPr>
        <w:pStyle w:val="Heading2"/>
      </w:pPr>
      <w:r>
        <w:t>Who should pause</w:t>
      </w:r>
    </w:p>
    <w:p>
      <w:pPr>
        <w:pStyle w:val="ListBullet"/>
        <w:ind w:left="403" w:hanging="259"/>
      </w:pPr>
      <w:r>
        <w:t>A licensing, background, physical, or work-authorization barrier has not been verified.</w:t>
      </w:r>
    </w:p>
    <w:p>
      <w:pPr>
        <w:pStyle w:val="ListBullet"/>
        <w:ind w:left="403" w:hanging="259"/>
      </w:pPr>
      <w:r>
        <w:t>The school refuses to provide written cost, outcome, accreditation, placement, or refund information.</w:t>
      </w:r>
    </w:p>
    <w:p>
      <w:pPr>
        <w:pStyle w:val="ListBullet"/>
        <w:ind w:left="403" w:hanging="259"/>
      </w:pPr>
      <w:r>
        <w:t>The employer expects duties beyond the title, training, authority, or compensation.</w:t>
      </w:r>
    </w:p>
    <w:p>
      <w:pPr>
        <w:pStyle w:val="ListBullet"/>
        <w:ind w:left="403" w:hanging="259"/>
      </w:pPr>
      <w:r>
        <w:t>The work creates an unresolved safety, health, accessibility, transportation, or caregiving conflict.</w:t>
      </w:r>
    </w:p>
    <w:p>
      <w:pPr>
        <w:pStyle w:val="Heading1"/>
      </w:pPr>
      <w:r>
        <w:t>5. Ethics, Boundaries, and Escalation</w:t>
      </w:r>
    </w:p>
    <w:p>
      <w:pPr>
        <w:pStyle w:val="Heading2"/>
      </w:pPr>
      <w:r>
        <w:t>Scope and stop-work rules</w:t>
      </w:r>
    </w:p>
    <w:p>
      <w:pPr>
        <w:pStyle w:val="ListBullet"/>
        <w:ind w:left="403" w:hanging="259"/>
      </w:pPr>
      <w:r>
        <w:t>Do not provide legal advice, diagnose accommodation needs, investigate serious complaints alone, or promise confidentiality that policy or law cannot support.</w:t>
      </w:r>
    </w:p>
    <w:p>
      <w:pPr>
        <w:pStyle w:val="ListBullet"/>
        <w:ind w:left="403" w:hanging="259"/>
      </w:pPr>
      <w:r>
        <w:t>Do not access employee records from curiosity or share information with unauthorized managers.</w:t>
      </w:r>
    </w:p>
    <w:p>
      <w:pPr>
        <w:pStyle w:val="ListBullet"/>
        <w:ind w:left="403" w:hanging="259"/>
      </w:pPr>
      <w:r>
        <w:t>Do not use AI screening, interview, or writing tools without approved governance and human review.</w:t>
      </w:r>
    </w:p>
    <w:p>
      <w:pPr>
        <w:pStyle w:val="ListBullet"/>
        <w:ind w:left="403" w:hanging="259"/>
      </w:pPr>
      <w:r>
        <w:t>Stop and escalate when evidence is missing, authority is unclear, safety may be compromised, or a regulated decision is required.</w:t>
      </w:r>
    </w:p>
    <w:p>
      <w:pPr>
        <w:pStyle w:val="ListBullet"/>
        <w:ind w:left="403" w:hanging="259"/>
      </w:pPr>
      <w:r>
        <w:t>Document facts, actions, approvals, and unresolved risk without exaggeration or retaliation.</w:t>
      </w:r>
    </w:p>
    <w:p>
      <w:pPr>
        <w:pStyle w:val="ListBullet"/>
        <w:ind w:left="403" w:hanging="259"/>
      </w:pPr>
      <w:r>
        <w:t>Do not let productivity metrics override safety, accuracy, privacy, accessibility, or lawful treatment.</w:t>
      </w:r>
    </w:p>
    <w:p>
      <w:pPr>
        <w:pStyle w:val="Heading1"/>
      </w:pPr>
      <w:r>
        <w:t>6. Pay, Benefits, and Outlook</w:t>
      </w:r>
    </w:p>
    <w:p>
      <w:pPr>
        <w:pStyle w:val="Heading2"/>
      </w:pPr>
      <w:r>
        <w:t>National context</w:t>
      </w:r>
    </w:p>
    <w:p>
      <w:r>
        <w:t>BLS does not publish one wage series that perfectly matches HR assistant roles. Human resources specialist data are generally higher-level and should not be presented as assistant pay. Use local assistant and coordinator postings, public-sector salary schedules, and state wage data.</w:t>
      </w:r>
    </w:p>
    <w:p>
      <w:r>
        <w:t>HR work is affected by automation in records and recruiting, but demand remains for accurate administration, employee support, compliance coordination, data quality, and human judgment.</w:t>
      </w:r>
    </w:p>
    <w:p>
      <w:pPr>
        <w:pStyle w:val="Heading2"/>
      </w:pPr>
      <w:r>
        <w:t>Local wage research</w:t>
      </w:r>
    </w:p>
    <w:p>
      <w:pPr>
        <w:pStyle w:val="ListBullet"/>
        <w:ind w:left="403" w:hanging="259"/>
      </w:pPr>
      <w:r>
        <w:t>Compare hourly and annual pay for the exact title and duties.</w:t>
      </w:r>
    </w:p>
    <w:p>
      <w:pPr>
        <w:pStyle w:val="ListBullet"/>
        <w:ind w:left="403" w:hanging="259"/>
      </w:pPr>
      <w:r>
        <w:t>Separate base pay from overtime, bonuses, differentials, commissions, or per-diem rates.</w:t>
      </w:r>
    </w:p>
    <w:p>
      <w:pPr>
        <w:pStyle w:val="ListBullet"/>
        <w:ind w:left="403" w:hanging="259"/>
      </w:pPr>
      <w:r>
        <w:t>Estimate health insurance, retirement, paid leave, tuition assistance, union benefits, and required unpaid costs.</w:t>
      </w:r>
    </w:p>
    <w:p>
      <w:pPr>
        <w:pStyle w:val="ListBullet"/>
        <w:ind w:left="403" w:hanging="259"/>
      </w:pPr>
      <w:r>
        <w:t>Record the posting date, location, schedule, employment status, education, experience, and software requirements.</w:t>
      </w:r>
    </w:p>
    <w:p>
      <w:pPr>
        <w:pStyle w:val="ListBullet"/>
        <w:ind w:left="403" w:hanging="259"/>
      </w:pPr>
      <w:r>
        <w:t>Do not present a broader or higher-level occupation’s wage as if it were guaranteed for this role.</w:t>
      </w:r>
    </w:p>
    <w:p>
      <w:pPr>
        <w:pStyle w:val="Heading1"/>
      </w:pPr>
      <w:r>
        <w:t>7. Education and Credentials</w:t>
      </w:r>
    </w:p>
    <w:p>
      <w:pPr>
        <w:pStyle w:val="Heading2"/>
      </w:pPr>
      <w:r>
        <w:t>Free-first pathway</w:t>
      </w:r>
    </w:p>
    <w:p>
      <w:r>
        <w:t>Assistant and coordinator requirements vary. Some employers accept a high school diploma and administrative experience; others prefer college coursework or a degree. Employer-paid HR education, public college certificates, and supervised internal mobility may be practical pathways.</w:t>
      </w:r>
    </w:p>
    <w:p>
      <w:pPr>
        <w:pStyle w:val="ListBullet"/>
        <w:ind w:left="403" w:hanging="259"/>
      </w:pPr>
      <w:r>
        <w:t>Begin with public libraries, adult education, reputable open courses, employer training, and public workforce resources.</w:t>
      </w:r>
    </w:p>
    <w:p>
      <w:pPr>
        <w:pStyle w:val="ListBullet"/>
        <w:ind w:left="403" w:hanging="259"/>
      </w:pPr>
      <w:r>
        <w:t>Compare community colleges, technical colleges, public universities, unions, registered apprenticeships, and recognized nonprofit programs.</w:t>
      </w:r>
    </w:p>
    <w:p>
      <w:pPr>
        <w:pStyle w:val="ListBullet"/>
        <w:ind w:left="403" w:hanging="259"/>
      </w:pPr>
      <w:r>
        <w:t>Pay only when the program produces a verified next step such as exam eligibility, transferable credit, supervised practice, or an employer-recognized credential.</w:t>
      </w:r>
    </w:p>
    <w:p>
      <w:pPr>
        <w:pStyle w:val="Heading2"/>
      </w:pPr>
      <w:r>
        <w:t>School and credential verification</w:t>
      </w:r>
    </w:p>
    <w:p>
      <w:pPr>
        <w:pStyle w:val="ListBullet"/>
        <w:ind w:left="403" w:hanging="259"/>
      </w:pPr>
      <w:r>
        <w:t>Verify institutional accreditation and any required programmatic accreditation.</w:t>
      </w:r>
    </w:p>
    <w:p>
      <w:pPr>
        <w:pStyle w:val="ListBullet"/>
        <w:ind w:left="403" w:hanging="259"/>
      </w:pPr>
      <w:r>
        <w:t>Confirm licensing-board or certification-body approval and exam eligibility.</w:t>
      </w:r>
    </w:p>
    <w:p>
      <w:pPr>
        <w:pStyle w:val="ListBullet"/>
        <w:ind w:left="403" w:hanging="259"/>
      </w:pPr>
      <w:r>
        <w:t>Ask whether credits, clinical hours, apprenticeship hours, and credentials transfer.</w:t>
      </w:r>
    </w:p>
    <w:p>
      <w:pPr>
        <w:pStyle w:val="ListBullet"/>
        <w:ind w:left="403" w:hanging="259"/>
      </w:pPr>
      <w:r>
        <w:t>Review total cost, completion rate, exam-pass rate, placement method, debt, refund rules, complaint procedures, and school-closure protections.</w:t>
      </w:r>
    </w:p>
    <w:p>
      <w:pPr>
        <w:pStyle w:val="ListBullet"/>
        <w:ind w:left="403" w:hanging="259"/>
      </w:pPr>
      <w:r>
        <w:t>Verify whether practical placement is guaranteed, competitive, or the student’s responsibility.</w:t>
      </w:r>
    </w:p>
    <w:p>
      <w:pPr>
        <w:pStyle w:val="Heading1"/>
      </w:pPr>
      <w:r>
        <w:t>8. Employer-Supported Learning</w:t>
      </w:r>
    </w:p>
    <w:p>
      <w:pPr>
        <w:pStyle w:val="Heading2"/>
      </w:pPr>
      <w:r>
        <w:t>Tuition benefits and repayment</w:t>
      </w:r>
    </w:p>
    <w:p>
      <w:pPr>
        <w:pStyle w:val="ListBullet"/>
        <w:ind w:left="403" w:hanging="259"/>
      </w:pPr>
      <w:r>
        <w:t>Employers may pay tuition directly, reimburse successful completion, cover certification or licensing fees, provide scholarships, or offer forgivable loans.</w:t>
      </w:r>
    </w:p>
    <w:p>
      <w:pPr>
        <w:pStyle w:val="ListBullet"/>
        <w:ind w:left="403" w:hanging="259"/>
      </w:pPr>
      <w:r>
        <w:t>Obtain written approval, coverage limits, grade or exam requirements, tax treatment, work-schedule terms, and the service-commitment start date.</w:t>
      </w:r>
    </w:p>
    <w:p>
      <w:pPr>
        <w:pStyle w:val="ListBullet"/>
        <w:ind w:left="403" w:hanging="259"/>
      </w:pPr>
      <w:r>
        <w:t>A service period may last up to two years and early voluntary departure may trigger full or prorated repayment.</w:t>
      </w:r>
    </w:p>
    <w:p>
      <w:pPr>
        <w:pStyle w:val="ListBullet"/>
        <w:ind w:left="403" w:hanging="259"/>
      </w:pPr>
      <w:r>
        <w:t>The agreement should explicitly address layoff, position elimination, closure, restructuring, disability, military activation, retirement, death, and employer-directed transfer.</w:t>
      </w:r>
    </w:p>
    <w:p>
      <w:pPr>
        <w:pStyle w:val="ListBullet"/>
        <w:ind w:left="403" w:hanging="259"/>
      </w:pPr>
      <w:r>
        <w:t>Do not assume repayment after layoff is automatically waived; seek a written waiver and verify local enforceability.</w:t>
      </w:r>
    </w:p>
    <w:p>
      <w:pPr>
        <w:pStyle w:val="Heading2"/>
      </w:pPr>
      <w:r>
        <w:t>Internships, apprenticeships, and career ladders</w:t>
      </w:r>
    </w:p>
    <w:p>
      <w:pPr>
        <w:pStyle w:val="ListBullet"/>
        <w:ind w:left="403" w:hanging="259"/>
      </w:pPr>
      <w:r>
        <w:t>Distinguish internships, externships, practicums, clinical placements, residencies, cooperative education, pre-apprenticeships, and registered apprenticeships.</w:t>
      </w:r>
    </w:p>
    <w:p>
      <w:pPr>
        <w:pStyle w:val="ListBullet"/>
        <w:ind w:left="403" w:hanging="259"/>
      </w:pPr>
      <w:r>
        <w:t>Verify pay, benefits, supervision, work hours, classroom hours, academic or licensing credit, workers’ compensation, wage progression, and portability.</w:t>
      </w:r>
    </w:p>
    <w:p>
      <w:pPr>
        <w:pStyle w:val="ListBullet"/>
        <w:ind w:left="403" w:hanging="259"/>
      </w:pPr>
      <w:r>
        <w:t>Employer mentoring, job shadowing, cross-training, rotational assignments, and bridge programs should have written learning objectives and qualified supervision.</w:t>
      </w:r>
    </w:p>
    <w:p>
      <w:pPr>
        <w:pStyle w:val="ListBullet"/>
        <w:ind w:left="403" w:hanging="259"/>
      </w:pPr>
      <w:r>
        <w:t>Healthcare employers may provide work-based internships, residencies, tuition partnerships, and bridge programs to develop more qualified employees.</w:t>
      </w:r>
    </w:p>
    <w:p>
      <w:pPr>
        <w:pStyle w:val="Heading1"/>
      </w:pPr>
      <w:r>
        <w:t>9. Accessibility and Inclusion</w:t>
      </w:r>
    </w:p>
    <w:p>
      <w:pPr>
        <w:pStyle w:val="Heading2"/>
      </w:pPr>
      <w:r>
        <w:t>Accommodations across the pathway</w:t>
      </w:r>
    </w:p>
    <w:p>
      <w:pPr>
        <w:pStyle w:val="ListBullet"/>
        <w:ind w:left="403" w:hanging="259"/>
      </w:pPr>
      <w:r>
        <w:t>Verify accommodations for admissions, online platforms, classes, laboratories, simulations, placements, apprenticeships, transportation, emergency procedures, and certification examinations.</w:t>
      </w:r>
    </w:p>
    <w:p>
      <w:pPr>
        <w:pStyle w:val="ListBullet"/>
        <w:ind w:left="403" w:hanging="259"/>
      </w:pPr>
      <w:r>
        <w:t>A school, employer, apprenticeship sponsor, clinical site, and testing body may each have a separate process.</w:t>
      </w:r>
    </w:p>
    <w:p>
      <w:pPr>
        <w:pStyle w:val="ListBullet"/>
        <w:ind w:left="403" w:hanging="259"/>
      </w:pPr>
      <w:r>
        <w:t>Ask about accessible documents, captioning, interpreters, screen-reader compatibility, quiet space, ergonomic equipment, flexible scheduling, and alternative training methods.</w:t>
      </w:r>
    </w:p>
    <w:p>
      <w:pPr>
        <w:pStyle w:val="ListBullet"/>
        <w:ind w:left="403" w:hanging="259"/>
      </w:pPr>
      <w:r>
        <w:t>Admission does not guarantee that every stage of the pathway is accessible.</w:t>
      </w:r>
    </w:p>
    <w:p>
      <w:pPr>
        <w:pStyle w:val="Heading1"/>
      </w:pPr>
      <w:r>
        <w:t>10. Privacy, Cybersecurity, and Ethical AI</w:t>
      </w:r>
    </w:p>
    <w:p>
      <w:pPr>
        <w:pStyle w:val="Heading2"/>
      </w:pPr>
      <w:r>
        <w:t>Responsible information use</w:t>
      </w:r>
    </w:p>
    <w:p>
      <w:pPr>
        <w:pStyle w:val="ListBullet"/>
        <w:ind w:left="403" w:hanging="259"/>
      </w:pPr>
      <w:r>
        <w:t>Use only approved systems, accounts, devices, storage, and communication channels.</w:t>
      </w:r>
    </w:p>
    <w:p>
      <w:pPr>
        <w:pStyle w:val="ListBullet"/>
        <w:ind w:left="403" w:hanging="259"/>
      </w:pPr>
      <w:r>
        <w:t>Do not put confidential employer, client, patient, applicant, employee, student, financial, or project information into public AI tools.</w:t>
      </w:r>
    </w:p>
    <w:p>
      <w:pPr>
        <w:pStyle w:val="ListBullet"/>
        <w:ind w:left="403" w:hanging="259"/>
      </w:pPr>
      <w:r>
        <w:t>Verify AI-generated information against authoritative sources and accountable human judgment.</w:t>
      </w:r>
    </w:p>
    <w:p>
      <w:pPr>
        <w:pStyle w:val="ListBullet"/>
        <w:ind w:left="403" w:hanging="259"/>
      </w:pPr>
      <w:r>
        <w:t>Do not fabricate credentials, references, achievements, work samples, records, or documentation.</w:t>
      </w:r>
    </w:p>
    <w:p>
      <w:pPr>
        <w:pStyle w:val="ListBullet"/>
        <w:ind w:left="403" w:hanging="259"/>
      </w:pPr>
      <w:r>
        <w:t>Protect passwords, multifactor authentication, personal identifiers, recordings, transcripts, background checks, and payment information.</w:t>
      </w:r>
    </w:p>
    <w:p>
      <w:pPr>
        <w:pStyle w:val="Heading1"/>
      </w:pPr>
      <w:r>
        <w:t>11. Build Evidence of Ability</w:t>
      </w:r>
    </w:p>
    <w:p>
      <w:pPr>
        <w:pStyle w:val="Heading2"/>
      </w:pPr>
      <w:r>
        <w:t>Portfolio projects and résumé evidence</w:t>
      </w:r>
    </w:p>
    <w:p>
      <w:pPr>
        <w:pStyle w:val="ListBullet"/>
        <w:ind w:left="403" w:hanging="259"/>
      </w:pPr>
      <w:r>
        <w:t>Create fictional onboarding, records, and training checklists with privacy controls.</w:t>
      </w:r>
    </w:p>
    <w:p>
      <w:pPr>
        <w:pStyle w:val="ListBullet"/>
        <w:ind w:left="403" w:hanging="259"/>
      </w:pPr>
      <w:r>
        <w:t>Develop an accommodation-request routing map that avoids medical judgment.</w:t>
      </w:r>
    </w:p>
    <w:p>
      <w:pPr>
        <w:pStyle w:val="ListBullet"/>
        <w:ind w:left="403" w:hanging="259"/>
      </w:pPr>
      <w:r>
        <w:t>Build a recruiting tracker that separates job-related criteria from prohibited or irrelevant information.</w:t>
      </w:r>
    </w:p>
    <w:p>
      <w:pPr>
        <w:pStyle w:val="ListBullet"/>
        <w:ind w:left="403" w:hanging="259"/>
      </w:pPr>
      <w:r>
        <w:t>Use fictional, public, or fully sanitized information.</w:t>
      </w:r>
    </w:p>
    <w:p>
      <w:pPr>
        <w:pStyle w:val="ListBullet"/>
        <w:ind w:left="403" w:hanging="259"/>
      </w:pPr>
      <w:r>
        <w:t>Explain the problem, your role, the process, the controls, the result, and what you learned.</w:t>
      </w:r>
    </w:p>
    <w:p>
      <w:pPr>
        <w:pStyle w:val="ListBullet"/>
        <w:ind w:left="403" w:hanging="259"/>
      </w:pPr>
      <w:r>
        <w:t>Do not claim team outcomes as your individual work or display proprietary materials.</w:t>
      </w:r>
    </w:p>
    <w:p>
      <w:pPr>
        <w:pStyle w:val="Heading1"/>
      </w:pPr>
      <w:r>
        <w:t>12. Interview Preparation</w:t>
      </w:r>
    </w:p>
    <w:p>
      <w:pPr>
        <w:pStyle w:val="Heading2"/>
      </w:pPr>
      <w:r>
        <w:t>Questions and answer guidance</w:t>
      </w:r>
    </w:p>
    <w:p>
      <w:pPr>
        <w:pStyle w:val="ListBullet"/>
        <w:ind w:left="403" w:hanging="259"/>
      </w:pPr>
      <w:r>
        <w:t>What would you do if a manager asks for an employee’s medical details? Build the answer with situation, responsibility, action, evidence, boundary, and result.</w:t>
      </w:r>
    </w:p>
    <w:p>
      <w:pPr>
        <w:pStyle w:val="ListBullet"/>
        <w:ind w:left="403" w:hanging="259"/>
      </w:pPr>
      <w:r>
        <w:t>How do you handle an incomplete background-check report or disputed information? Build the answer with situation, responsibility, action, evidence, boundary, and result.</w:t>
      </w:r>
    </w:p>
    <w:p>
      <w:pPr>
        <w:pStyle w:val="ListBullet"/>
        <w:ind w:left="403" w:hanging="259"/>
      </w:pPr>
      <w:r>
        <w:t>When should an HR assistant escalate rather than answer an employee question? Build the answer with situation, responsibility, action, evidence, boundary, and result.</w:t>
      </w:r>
    </w:p>
    <w:p>
      <w:pPr>
        <w:pStyle w:val="Heading1"/>
      </w:pPr>
      <w:r>
        <w:t>13. First 30, 60, and 90 Days</w:t>
      </w:r>
    </w:p>
    <w:p>
      <w:pPr>
        <w:pStyle w:val="Heading2"/>
      </w:pPr>
      <w:r>
        <w:t>Entry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top"/>
          </w:tcPr>
          <w:p>
            <w:pPr>
              <w:spacing w:after="20"/>
            </w:pPr>
            <w:r>
              <w:rPr>
                <w:b/>
                <w:sz w:val="17"/>
              </w:rPr>
              <w:t>Period</w:t>
            </w:r>
          </w:p>
        </w:tc>
        <w:tc>
          <w:tcPr>
            <w:tcW w:type="dxa" w:w="5083"/>
            <w:shd w:fill="D9EAF7"/>
            <w:vAlign w:val="top"/>
          </w:tcPr>
          <w:p>
            <w:pPr>
              <w:spacing w:after="20"/>
            </w:pPr>
            <w:r>
              <w:rPr>
                <w:b/>
                <w:sz w:val="17"/>
              </w:rPr>
              <w:t>Priorities</w:t>
            </w:r>
          </w:p>
        </w:tc>
      </w:tr>
      <w:tr>
        <w:tc>
          <w:tcPr>
            <w:tcW w:type="dxa" w:w="5083"/>
            <w:vAlign w:val="top"/>
          </w:tcPr>
          <w:p>
            <w:pPr>
              <w:spacing w:after="20"/>
            </w:pPr>
            <w:r>
              <w:rPr>
                <w:sz w:val="17"/>
              </w:rPr>
              <w:t>First 30 days</w:t>
            </w:r>
          </w:p>
        </w:tc>
        <w:tc>
          <w:tcPr>
            <w:tcW w:type="dxa" w:w="5083"/>
            <w:vAlign w:val="top"/>
          </w:tcPr>
          <w:p>
            <w:pPr>
              <w:spacing w:after="20"/>
            </w:pPr>
            <w:r>
              <w:rPr>
                <w:sz w:val="17"/>
              </w:rPr>
              <w:t>Learn policies, systems, terminology, privacy, safety, role boundaries, quality standards, escalation paths, and accommodation processes.</w:t>
            </w:r>
          </w:p>
        </w:tc>
      </w:tr>
      <w:tr>
        <w:tc>
          <w:tcPr>
            <w:tcW w:type="dxa" w:w="5083"/>
            <w:vAlign w:val="top"/>
          </w:tcPr>
          <w:p>
            <w:pPr>
              <w:spacing w:after="20"/>
            </w:pPr>
            <w:r>
              <w:rPr>
                <w:sz w:val="17"/>
              </w:rPr>
              <w:t>Days 31–60</w:t>
            </w:r>
          </w:p>
        </w:tc>
        <w:tc>
          <w:tcPr>
            <w:tcW w:type="dxa" w:w="5083"/>
            <w:vAlign w:val="top"/>
          </w:tcPr>
          <w:p>
            <w:pPr>
              <w:spacing w:after="20"/>
            </w:pPr>
            <w:r>
              <w:rPr>
                <w:sz w:val="17"/>
              </w:rPr>
              <w:t>Perform routine work with review, document decisions, strengthen accuracy, request feedback, and identify recurring exceptions.</w:t>
            </w:r>
          </w:p>
        </w:tc>
      </w:tr>
      <w:tr>
        <w:tc>
          <w:tcPr>
            <w:tcW w:type="dxa" w:w="5083"/>
            <w:vAlign w:val="top"/>
          </w:tcPr>
          <w:p>
            <w:pPr>
              <w:spacing w:after="20"/>
            </w:pPr>
            <w:r>
              <w:rPr>
                <w:sz w:val="17"/>
              </w:rPr>
              <w:t>Days 61–90</w:t>
            </w:r>
          </w:p>
        </w:tc>
        <w:tc>
          <w:tcPr>
            <w:tcW w:type="dxa" w:w="5083"/>
            <w:vAlign w:val="top"/>
          </w:tcPr>
          <w:p>
            <w:pPr>
              <w:spacing w:after="20"/>
            </w:pPr>
            <w:r>
              <w:rPr>
                <w:sz w:val="17"/>
              </w:rPr>
              <w:t>Handle a broader workload within authority, propose one evidence-based improvement, document development goals, and verify the next training step.</w:t>
            </w:r>
          </w:p>
        </w:tc>
      </w:tr>
    </w:tbl>
    <w:p>
      <w:pPr>
        <w:pStyle w:val="Heading1"/>
      </w:pPr>
      <w:r>
        <w:t>14. Advancement, Portability, and Exit Planning</w:t>
      </w:r>
    </w:p>
    <w:p>
      <w:pPr>
        <w:pStyle w:val="Heading2"/>
      </w:pPr>
      <w:r>
        <w:t>Career movement and retained value</w:t>
      </w:r>
    </w:p>
    <w:p>
      <w:pPr>
        <w:pStyle w:val="ListBullet"/>
        <w:ind w:left="403" w:hanging="259"/>
      </w:pPr>
      <w:r>
        <w:t>Map entry, intermediate, specialist, supervisory, teaching, and adjacent roles.</w:t>
      </w:r>
    </w:p>
    <w:p>
      <w:pPr>
        <w:pStyle w:val="ListBullet"/>
        <w:ind w:left="403" w:hanging="259"/>
      </w:pPr>
      <w:r>
        <w:t>Verify what education, experience, license, portfolio evidence, and salary change each step requires.</w:t>
      </w:r>
    </w:p>
    <w:p>
      <w:pPr>
        <w:pStyle w:val="ListBullet"/>
        <w:ind w:left="403" w:hanging="259"/>
      </w:pPr>
      <w:r>
        <w:t>Keep transcripts, licenses, certification records, apprenticeship hours, evaluations, tax forms, repayment agreements, and accommodation decisions.</w:t>
      </w:r>
    </w:p>
    <w:p>
      <w:pPr>
        <w:pStyle w:val="ListBullet"/>
        <w:ind w:left="403" w:hanging="259"/>
      </w:pPr>
      <w:r>
        <w:t>Identify what skills and credentials remain useful if you pause, transfer, relocate, or leave the occupation.</w:t>
      </w:r>
    </w:p>
    <w:p>
      <w:pPr>
        <w:pStyle w:val="ListBullet"/>
        <w:ind w:left="403" w:hanging="259"/>
      </w:pPr>
      <w:r>
        <w:t>For self-employment, research registration, taxes, contracts, insurance, pricing, recordkeeping, marketing, and unpaid administration.</w:t>
      </w:r>
    </w:p>
    <w:p>
      <w:pPr>
        <w:pStyle w:val="Heading1"/>
      </w:pPr>
      <w:r>
        <w:t>15. Before You Enroll or Sign</w:t>
      </w:r>
    </w:p>
    <w:p>
      <w:pPr>
        <w:pStyle w:val="Heading2"/>
      </w:pPr>
      <w:r>
        <w:t>Verification checklist</w:t>
      </w:r>
    </w:p>
    <w:p>
      <w:pPr>
        <w:pStyle w:val="ListBullet"/>
        <w:ind w:left="403" w:hanging="259"/>
      </w:pPr>
      <w:r>
        <w:t>Exact legal and employer requirements for the role.</w:t>
      </w:r>
    </w:p>
    <w:p>
      <w:pPr>
        <w:pStyle w:val="ListBullet"/>
        <w:ind w:left="403" w:hanging="259"/>
      </w:pPr>
      <w:r>
        <w:t>Complete cost including tools, exams, travel, childcare, and lost wages.</w:t>
      </w:r>
    </w:p>
    <w:p>
      <w:pPr>
        <w:pStyle w:val="ListBullet"/>
        <w:ind w:left="403" w:hanging="259"/>
      </w:pPr>
      <w:r>
        <w:t>Accreditation, program approval, exam eligibility, transfer, and portability.</w:t>
      </w:r>
    </w:p>
    <w:p>
      <w:pPr>
        <w:pStyle w:val="ListBullet"/>
        <w:ind w:left="403" w:hanging="259"/>
      </w:pPr>
      <w:r>
        <w:t>Placement terms, outcome data, refunds, complaints, closure, and transcript access.</w:t>
      </w:r>
    </w:p>
    <w:p>
      <w:pPr>
        <w:pStyle w:val="ListBullet"/>
        <w:ind w:left="403" w:hanging="259"/>
      </w:pPr>
      <w:r>
        <w:t>Employer coverage, service period, prorated repayment, layoff language, and final-wage deductions.</w:t>
      </w:r>
    </w:p>
    <w:p>
      <w:pPr>
        <w:pStyle w:val="ListBullet"/>
        <w:ind w:left="403" w:hanging="259"/>
      </w:pPr>
      <w:r>
        <w:t>Schedule, travel, caregiving, accessibility, health, and safety impact.</w:t>
      </w:r>
    </w:p>
    <w:p>
      <w:pPr>
        <w:pStyle w:val="ListBullet"/>
        <w:ind w:left="403" w:hanging="259"/>
      </w:pPr>
      <w:r>
        <w:t>What you retain and owe if you cannot finish.</w:t>
      </w:r>
    </w:p>
    <w:p>
      <w:pPr>
        <w:pStyle w:val="Heading1"/>
      </w:pPr>
      <w:r>
        <w:t>16. Is This Career Right for Me?</w:t>
      </w:r>
    </w:p>
    <w:p>
      <w:pPr>
        <w:pStyle w:val="Heading2"/>
      </w:pPr>
      <w:r>
        <w:t>Decision scorecard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top"/>
          </w:tcPr>
          <w:p>
            <w:pPr>
              <w:spacing w:after="20"/>
            </w:pPr>
            <w:r>
              <w:rPr>
                <w:b/>
                <w:sz w:val="17"/>
              </w:rPr>
              <w:t>Question</w:t>
            </w:r>
          </w:p>
        </w:tc>
        <w:tc>
          <w:tcPr>
            <w:tcW w:type="dxa" w:w="2541"/>
            <w:shd w:fill="D9EAF7"/>
            <w:vAlign w:val="top"/>
          </w:tcPr>
          <w:p>
            <w:pPr>
              <w:spacing w:after="20"/>
            </w:pPr>
            <w:r>
              <w:rPr>
                <w:b/>
                <w:sz w:val="17"/>
              </w:rPr>
              <w:t>Yes</w:t>
            </w:r>
          </w:p>
        </w:tc>
        <w:tc>
          <w:tcPr>
            <w:tcW w:type="dxa" w:w="2541"/>
            <w:shd w:fill="D9EAF7"/>
            <w:vAlign w:val="top"/>
          </w:tcPr>
          <w:p>
            <w:pPr>
              <w:spacing w:after="20"/>
            </w:pPr>
            <w:r>
              <w:rPr>
                <w:b/>
                <w:sz w:val="17"/>
              </w:rPr>
              <w:t>Not yet</w:t>
            </w:r>
          </w:p>
        </w:tc>
        <w:tc>
          <w:tcPr>
            <w:tcW w:type="dxa" w:w="2541"/>
            <w:shd w:fill="D9EAF7"/>
            <w:vAlign w:val="top"/>
          </w:tcPr>
          <w:p>
            <w:pPr>
              <w:spacing w:after="20"/>
            </w:pPr>
            <w:r>
              <w:rPr>
                <w:b/>
                <w:sz w:val="17"/>
              </w:rPr>
              <w:t>Major concern</w:t>
            </w:r>
          </w:p>
        </w:tc>
      </w:tr>
      <w:tr>
        <w:tc>
          <w:tcPr>
            <w:tcW w:type="dxa" w:w="2541"/>
            <w:vAlign w:val="top"/>
          </w:tcPr>
          <w:p>
            <w:pPr>
              <w:spacing w:after="20"/>
            </w:pPr>
            <w:r>
              <w:rPr>
                <w:sz w:val="17"/>
              </w:rPr>
              <w:t>I understand the real work and tested my interest.</w:t>
            </w:r>
          </w:p>
        </w:tc>
        <w:tc>
          <w:tcPr>
            <w:tcW w:type="dxa" w:w="2541"/>
            <w:vAlign w:val="top"/>
          </w:tcPr>
          <w:p>
            <w:pPr>
              <w:spacing w:after="20"/>
            </w:pPr>
            <w:r>
              <w:rPr>
                <w:sz w:val="17"/>
              </w:rPr>
              <w:t>☐</w:t>
            </w:r>
          </w:p>
        </w:tc>
        <w:tc>
          <w:tcPr>
            <w:tcW w:type="dxa" w:w="2541"/>
            <w:vAlign w:val="top"/>
          </w:tcPr>
          <w:p>
            <w:pPr>
              <w:spacing w:after="20"/>
            </w:pPr>
            <w:r>
              <w:rPr>
                <w:sz w:val="17"/>
              </w:rPr>
              <w:t>☐</w:t>
            </w:r>
          </w:p>
        </w:tc>
        <w:tc>
          <w:tcPr>
            <w:tcW w:type="dxa" w:w="2541"/>
            <w:vAlign w:val="top"/>
          </w:tcPr>
          <w:p>
            <w:pPr>
              <w:spacing w:after="20"/>
            </w:pPr>
            <w:r>
              <w:rPr>
                <w:sz w:val="17"/>
              </w:rPr>
              <w:t>☐</w:t>
            </w:r>
          </w:p>
        </w:tc>
      </w:tr>
      <w:tr>
        <w:tc>
          <w:tcPr>
            <w:tcW w:type="dxa" w:w="2541"/>
            <w:vAlign w:val="top"/>
          </w:tcPr>
          <w:p>
            <w:pPr>
              <w:spacing w:after="20"/>
            </w:pPr>
            <w:r>
              <w:rPr>
                <w:sz w:val="17"/>
              </w:rPr>
              <w:t>I verified local requirements and wages.</w:t>
            </w:r>
          </w:p>
        </w:tc>
        <w:tc>
          <w:tcPr>
            <w:tcW w:type="dxa" w:w="2541"/>
            <w:vAlign w:val="top"/>
          </w:tcPr>
          <w:p>
            <w:pPr>
              <w:spacing w:after="20"/>
            </w:pPr>
            <w:r>
              <w:rPr>
                <w:sz w:val="17"/>
              </w:rPr>
              <w:t>☐</w:t>
            </w:r>
          </w:p>
        </w:tc>
        <w:tc>
          <w:tcPr>
            <w:tcW w:type="dxa" w:w="2541"/>
            <w:vAlign w:val="top"/>
          </w:tcPr>
          <w:p>
            <w:pPr>
              <w:spacing w:after="20"/>
            </w:pPr>
            <w:r>
              <w:rPr>
                <w:sz w:val="17"/>
              </w:rPr>
              <w:t>☐</w:t>
            </w:r>
          </w:p>
        </w:tc>
        <w:tc>
          <w:tcPr>
            <w:tcW w:type="dxa" w:w="2541"/>
            <w:vAlign w:val="top"/>
          </w:tcPr>
          <w:p>
            <w:pPr>
              <w:spacing w:after="20"/>
            </w:pPr>
            <w:r>
              <w:rPr>
                <w:sz w:val="17"/>
              </w:rPr>
              <w:t>☐</w:t>
            </w:r>
          </w:p>
        </w:tc>
      </w:tr>
      <w:tr>
        <w:tc>
          <w:tcPr>
            <w:tcW w:type="dxa" w:w="2541"/>
            <w:vAlign w:val="top"/>
          </w:tcPr>
          <w:p>
            <w:pPr>
              <w:spacing w:after="20"/>
            </w:pPr>
            <w:r>
              <w:rPr>
                <w:sz w:val="17"/>
              </w:rPr>
              <w:t>The total pathway is affordable.</w:t>
            </w:r>
          </w:p>
        </w:tc>
        <w:tc>
          <w:tcPr>
            <w:tcW w:type="dxa" w:w="2541"/>
            <w:vAlign w:val="top"/>
          </w:tcPr>
          <w:p>
            <w:pPr>
              <w:spacing w:after="20"/>
            </w:pPr>
            <w:r>
              <w:rPr>
                <w:sz w:val="17"/>
              </w:rPr>
              <w:t>☐</w:t>
            </w:r>
          </w:p>
        </w:tc>
        <w:tc>
          <w:tcPr>
            <w:tcW w:type="dxa" w:w="2541"/>
            <w:vAlign w:val="top"/>
          </w:tcPr>
          <w:p>
            <w:pPr>
              <w:spacing w:after="20"/>
            </w:pPr>
            <w:r>
              <w:rPr>
                <w:sz w:val="17"/>
              </w:rPr>
              <w:t>☐</w:t>
            </w:r>
          </w:p>
        </w:tc>
        <w:tc>
          <w:tcPr>
            <w:tcW w:type="dxa" w:w="2541"/>
            <w:vAlign w:val="top"/>
          </w:tcPr>
          <w:p>
            <w:pPr>
              <w:spacing w:after="20"/>
            </w:pPr>
            <w:r>
              <w:rPr>
                <w:sz w:val="17"/>
              </w:rPr>
              <w:t>☐</w:t>
            </w:r>
          </w:p>
        </w:tc>
      </w:tr>
      <w:tr>
        <w:tc>
          <w:tcPr>
            <w:tcW w:type="dxa" w:w="2541"/>
            <w:vAlign w:val="top"/>
          </w:tcPr>
          <w:p>
            <w:pPr>
              <w:spacing w:after="20"/>
            </w:pPr>
            <w:r>
              <w:rPr>
                <w:sz w:val="17"/>
              </w:rPr>
              <w:t>I understand employer repayment terms.</w:t>
            </w:r>
          </w:p>
        </w:tc>
        <w:tc>
          <w:tcPr>
            <w:tcW w:type="dxa" w:w="2541"/>
            <w:vAlign w:val="top"/>
          </w:tcPr>
          <w:p>
            <w:pPr>
              <w:spacing w:after="20"/>
            </w:pPr>
            <w:r>
              <w:rPr>
                <w:sz w:val="17"/>
              </w:rPr>
              <w:t>☐</w:t>
            </w:r>
          </w:p>
        </w:tc>
        <w:tc>
          <w:tcPr>
            <w:tcW w:type="dxa" w:w="2541"/>
            <w:vAlign w:val="top"/>
          </w:tcPr>
          <w:p>
            <w:pPr>
              <w:spacing w:after="20"/>
            </w:pPr>
            <w:r>
              <w:rPr>
                <w:sz w:val="17"/>
              </w:rPr>
              <w:t>☐</w:t>
            </w:r>
          </w:p>
        </w:tc>
        <w:tc>
          <w:tcPr>
            <w:tcW w:type="dxa" w:w="2541"/>
            <w:vAlign w:val="top"/>
          </w:tcPr>
          <w:p>
            <w:pPr>
              <w:spacing w:after="20"/>
            </w:pPr>
            <w:r>
              <w:rPr>
                <w:sz w:val="17"/>
              </w:rPr>
              <w:t>☐</w:t>
            </w:r>
          </w:p>
        </w:tc>
      </w:tr>
      <w:tr>
        <w:tc>
          <w:tcPr>
            <w:tcW w:type="dxa" w:w="2541"/>
            <w:vAlign w:val="top"/>
          </w:tcPr>
          <w:p>
            <w:pPr>
              <w:spacing w:after="20"/>
            </w:pPr>
            <w:r>
              <w:rPr>
                <w:sz w:val="17"/>
              </w:rPr>
              <w:t>The full pathway is accessible.</w:t>
            </w:r>
          </w:p>
        </w:tc>
        <w:tc>
          <w:tcPr>
            <w:tcW w:type="dxa" w:w="2541"/>
            <w:vAlign w:val="top"/>
          </w:tcPr>
          <w:p>
            <w:pPr>
              <w:spacing w:after="20"/>
            </w:pPr>
            <w:r>
              <w:rPr>
                <w:sz w:val="17"/>
              </w:rPr>
              <w:t>☐</w:t>
            </w:r>
          </w:p>
        </w:tc>
        <w:tc>
          <w:tcPr>
            <w:tcW w:type="dxa" w:w="2541"/>
            <w:vAlign w:val="top"/>
          </w:tcPr>
          <w:p>
            <w:pPr>
              <w:spacing w:after="20"/>
            </w:pPr>
            <w:r>
              <w:rPr>
                <w:sz w:val="17"/>
              </w:rPr>
              <w:t>☐</w:t>
            </w:r>
          </w:p>
        </w:tc>
        <w:tc>
          <w:tcPr>
            <w:tcW w:type="dxa" w:w="2541"/>
            <w:vAlign w:val="top"/>
          </w:tcPr>
          <w:p>
            <w:pPr>
              <w:spacing w:after="20"/>
            </w:pPr>
            <w:r>
              <w:rPr>
                <w:sz w:val="17"/>
              </w:rPr>
              <w:t>☐</w:t>
            </w:r>
          </w:p>
        </w:tc>
      </w:tr>
      <w:tr>
        <w:tc>
          <w:tcPr>
            <w:tcW w:type="dxa" w:w="2541"/>
            <w:vAlign w:val="top"/>
          </w:tcPr>
          <w:p>
            <w:pPr>
              <w:spacing w:after="20"/>
            </w:pPr>
            <w:r>
              <w:rPr>
                <w:sz w:val="17"/>
              </w:rPr>
              <w:t>The schedule and family impact are workable.</w:t>
            </w:r>
          </w:p>
        </w:tc>
        <w:tc>
          <w:tcPr>
            <w:tcW w:type="dxa" w:w="2541"/>
            <w:vAlign w:val="top"/>
          </w:tcPr>
          <w:p>
            <w:pPr>
              <w:spacing w:after="20"/>
            </w:pPr>
            <w:r>
              <w:rPr>
                <w:sz w:val="17"/>
              </w:rPr>
              <w:t>☐</w:t>
            </w:r>
          </w:p>
        </w:tc>
        <w:tc>
          <w:tcPr>
            <w:tcW w:type="dxa" w:w="2541"/>
            <w:vAlign w:val="top"/>
          </w:tcPr>
          <w:p>
            <w:pPr>
              <w:spacing w:after="20"/>
            </w:pPr>
            <w:r>
              <w:rPr>
                <w:sz w:val="17"/>
              </w:rPr>
              <w:t>☐</w:t>
            </w:r>
          </w:p>
        </w:tc>
        <w:tc>
          <w:tcPr>
            <w:tcW w:type="dxa" w:w="2541"/>
            <w:vAlign w:val="top"/>
          </w:tcPr>
          <w:p>
            <w:pPr>
              <w:spacing w:after="20"/>
            </w:pPr>
            <w:r>
              <w:rPr>
                <w:sz w:val="17"/>
              </w:rPr>
              <w:t>☐</w:t>
            </w:r>
          </w:p>
        </w:tc>
      </w:tr>
      <w:tr>
        <w:tc>
          <w:tcPr>
            <w:tcW w:type="dxa" w:w="2541"/>
            <w:vAlign w:val="top"/>
          </w:tcPr>
          <w:p>
            <w:pPr>
              <w:spacing w:after="20"/>
            </w:pPr>
            <w:r>
              <w:rPr>
                <w:sz w:val="17"/>
              </w:rPr>
              <w:t>I have a realistic advancement and exit plan.</w:t>
            </w:r>
          </w:p>
        </w:tc>
        <w:tc>
          <w:tcPr>
            <w:tcW w:type="dxa" w:w="2541"/>
            <w:vAlign w:val="top"/>
          </w:tcPr>
          <w:p>
            <w:pPr>
              <w:spacing w:after="20"/>
            </w:pPr>
            <w:r>
              <w:rPr>
                <w:sz w:val="17"/>
              </w:rPr>
              <w:t>☐</w:t>
            </w:r>
          </w:p>
        </w:tc>
        <w:tc>
          <w:tcPr>
            <w:tcW w:type="dxa" w:w="2541"/>
            <w:vAlign w:val="top"/>
          </w:tcPr>
          <w:p>
            <w:pPr>
              <w:spacing w:after="20"/>
            </w:pPr>
            <w:r>
              <w:rPr>
                <w:sz w:val="17"/>
              </w:rPr>
              <w:t>☐</w:t>
            </w:r>
          </w:p>
        </w:tc>
        <w:tc>
          <w:tcPr>
            <w:tcW w:type="dxa" w:w="2541"/>
            <w:vAlign w:val="top"/>
          </w:tcPr>
          <w:p>
            <w:pPr>
              <w:spacing w:after="20"/>
            </w:pPr>
            <w:r>
              <w:rPr>
                <w:sz w:val="17"/>
              </w:rPr>
              <w:t>☐</w:t>
            </w:r>
          </w:p>
        </w:tc>
      </w:tr>
    </w:tbl>
    <w:p>
      <w:pPr>
        <w:pStyle w:val="Heading1"/>
      </w:pPr>
      <w:r>
        <w:t>17. Twelve-Week Action Plan</w:t>
      </w:r>
    </w:p>
    <w:p>
      <w:pPr>
        <w:pStyle w:val="Heading2"/>
      </w:pPr>
      <w:r>
        <w:t>Sequential plan</w:t>
      </w:r>
    </w:p>
    <w:p>
      <w:pPr>
        <w:pStyle w:val="ListNumber"/>
      </w:pPr>
      <w:r>
        <w:t>Weeks 1–2: Define strengths, constraints, access needs, and nonnegotiable conditions.</w:t>
      </w:r>
    </w:p>
    <w:p>
      <w:pPr>
        <w:pStyle w:val="ListNumber"/>
      </w:pPr>
      <w:r>
        <w:t>Weeks 3–4: Study duties, settings, tools, workflows, safety, and boundaries.</w:t>
      </w:r>
    </w:p>
    <w:p>
      <w:pPr>
        <w:pStyle w:val="ListNumber"/>
      </w:pPr>
      <w:r>
        <w:t>Weeks 5–6: Review local postings, wages, benefits, schedules, and common requirements.</w:t>
      </w:r>
    </w:p>
    <w:p>
      <w:pPr>
        <w:pStyle w:val="ListNumber"/>
      </w:pPr>
      <w:r>
        <w:t>Weeks 7–8: Compare schools, apprenticeships, employer pathways, credentials, and complete costs.</w:t>
      </w:r>
    </w:p>
    <w:p>
      <w:pPr>
        <w:pStyle w:val="ListNumber"/>
      </w:pPr>
      <w:r>
        <w:t>Weeks 9–10: Verify funding, tax questions, service agreements, accommodations, and exit consequences.</w:t>
      </w:r>
    </w:p>
    <w:p>
      <w:pPr>
        <w:pStyle w:val="ListNumber"/>
      </w:pPr>
      <w:r>
        <w:t>Weeks 11–12: Complete ethical work samples, prepare résumé evidence and interview stories, and decide whether to proceed, pause, or change direction.</w:t>
      </w:r>
    </w:p>
    <w:p>
      <w:pPr>
        <w:pStyle w:val="Heading1"/>
      </w:pPr>
      <w:r>
        <w:t>18. Worksheets</w:t>
      </w:r>
    </w:p>
    <w:p>
      <w:pPr>
        <w:pStyle w:val="Heading2"/>
      </w:pPr>
      <w:r>
        <w:t>Cost and agreement worksheets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top"/>
          </w:tcPr>
          <w:p>
            <w:pPr>
              <w:spacing w:after="20"/>
            </w:pPr>
            <w:r>
              <w:rPr>
                <w:b/>
                <w:sz w:val="17"/>
              </w:rPr>
              <w:t>Cost category</w:t>
            </w:r>
          </w:p>
        </w:tc>
        <w:tc>
          <w:tcPr>
            <w:tcW w:type="dxa" w:w="2541"/>
            <w:shd w:fill="D9EAF7"/>
            <w:vAlign w:val="top"/>
          </w:tcPr>
          <w:p>
            <w:pPr>
              <w:spacing w:after="20"/>
            </w:pPr>
            <w:r>
              <w:rPr>
                <w:b/>
                <w:sz w:val="17"/>
              </w:rPr>
              <w:t>Estimate</w:t>
            </w:r>
          </w:p>
        </w:tc>
        <w:tc>
          <w:tcPr>
            <w:tcW w:type="dxa" w:w="2541"/>
            <w:shd w:fill="D9EAF7"/>
            <w:vAlign w:val="top"/>
          </w:tcPr>
          <w:p>
            <w:pPr>
              <w:spacing w:after="20"/>
            </w:pPr>
            <w:r>
              <w:rPr>
                <w:b/>
                <w:sz w:val="17"/>
              </w:rPr>
              <w:t>Who may pay?</w:t>
            </w:r>
          </w:p>
        </w:tc>
        <w:tc>
          <w:tcPr>
            <w:tcW w:type="dxa" w:w="2541"/>
            <w:shd w:fill="D9EAF7"/>
            <w:vAlign w:val="top"/>
          </w:tcPr>
          <w:p>
            <w:pPr>
              <w:spacing w:after="20"/>
            </w:pPr>
            <w:r>
              <w:rPr>
                <w:b/>
                <w:sz w:val="17"/>
              </w:rPr>
              <w:t>Verified source/date</w:t>
            </w:r>
          </w:p>
        </w:tc>
      </w:tr>
      <w:tr>
        <w:tc>
          <w:tcPr>
            <w:tcW w:type="dxa" w:w="2541"/>
            <w:vAlign w:val="top"/>
          </w:tcPr>
          <w:p>
            <w:pPr>
              <w:spacing w:after="20"/>
            </w:pPr>
            <w:r>
              <w:rPr>
                <w:sz w:val="17"/>
              </w:rPr>
              <w:t>Tuition and fees</w:t>
            </w:r>
          </w:p>
        </w:tc>
        <w:tc>
          <w:tcPr>
            <w:tcW w:type="dxa" w:w="2541"/>
            <w:vAlign w:val="top"/>
          </w:tcPr>
          <w:p>
            <w:pPr>
              <w:spacing w:after="20"/>
            </w:pPr>
            <w:r>
              <w:rPr>
                <w:sz w:val="17"/>
              </w:rPr>
            </w:r>
          </w:p>
        </w:tc>
        <w:tc>
          <w:tcPr>
            <w:tcW w:type="dxa" w:w="2541"/>
            <w:vAlign w:val="top"/>
          </w:tcPr>
          <w:p>
            <w:pPr>
              <w:spacing w:after="20"/>
            </w:pPr>
            <w:r>
              <w:rPr>
                <w:sz w:val="17"/>
              </w:rPr>
            </w:r>
          </w:p>
        </w:tc>
        <w:tc>
          <w:tcPr>
            <w:tcW w:type="dxa" w:w="2541"/>
            <w:vAlign w:val="top"/>
          </w:tcPr>
          <w:p>
            <w:pPr>
              <w:spacing w:after="20"/>
            </w:pPr>
            <w:r>
              <w:rPr>
                <w:sz w:val="17"/>
              </w:rPr>
            </w:r>
          </w:p>
        </w:tc>
      </w:tr>
      <w:tr>
        <w:tc>
          <w:tcPr>
            <w:tcW w:type="dxa" w:w="2541"/>
            <w:vAlign w:val="top"/>
          </w:tcPr>
          <w:p>
            <w:pPr>
              <w:spacing w:after="20"/>
            </w:pPr>
            <w:r>
              <w:rPr>
                <w:sz w:val="17"/>
              </w:rPr>
              <w:t>Books, software, tools, and equipment</w:t>
            </w:r>
          </w:p>
        </w:tc>
        <w:tc>
          <w:tcPr>
            <w:tcW w:type="dxa" w:w="2541"/>
            <w:vAlign w:val="top"/>
          </w:tcPr>
          <w:p>
            <w:pPr>
              <w:spacing w:after="20"/>
            </w:pPr>
            <w:r>
              <w:rPr>
                <w:sz w:val="17"/>
              </w:rPr>
            </w:r>
          </w:p>
        </w:tc>
        <w:tc>
          <w:tcPr>
            <w:tcW w:type="dxa" w:w="2541"/>
            <w:vAlign w:val="top"/>
          </w:tcPr>
          <w:p>
            <w:pPr>
              <w:spacing w:after="20"/>
            </w:pPr>
            <w:r>
              <w:rPr>
                <w:sz w:val="17"/>
              </w:rPr>
            </w:r>
          </w:p>
        </w:tc>
        <w:tc>
          <w:tcPr>
            <w:tcW w:type="dxa" w:w="2541"/>
            <w:vAlign w:val="top"/>
          </w:tcPr>
          <w:p>
            <w:pPr>
              <w:spacing w:after="20"/>
            </w:pPr>
            <w:r>
              <w:rPr>
                <w:sz w:val="17"/>
              </w:rPr>
            </w:r>
          </w:p>
        </w:tc>
      </w:tr>
      <w:tr>
        <w:tc>
          <w:tcPr>
            <w:tcW w:type="dxa" w:w="2541"/>
            <w:vAlign w:val="top"/>
          </w:tcPr>
          <w:p>
            <w:pPr>
              <w:spacing w:after="20"/>
            </w:pPr>
            <w:r>
              <w:rPr>
                <w:sz w:val="17"/>
              </w:rPr>
              <w:t>Exams, licenses, and renewals</w:t>
            </w:r>
          </w:p>
        </w:tc>
        <w:tc>
          <w:tcPr>
            <w:tcW w:type="dxa" w:w="2541"/>
            <w:vAlign w:val="top"/>
          </w:tcPr>
          <w:p>
            <w:pPr>
              <w:spacing w:after="20"/>
            </w:pPr>
            <w:r>
              <w:rPr>
                <w:sz w:val="17"/>
              </w:rPr>
            </w:r>
          </w:p>
        </w:tc>
        <w:tc>
          <w:tcPr>
            <w:tcW w:type="dxa" w:w="2541"/>
            <w:vAlign w:val="top"/>
          </w:tcPr>
          <w:p>
            <w:pPr>
              <w:spacing w:after="20"/>
            </w:pPr>
            <w:r>
              <w:rPr>
                <w:sz w:val="17"/>
              </w:rPr>
            </w:r>
          </w:p>
        </w:tc>
        <w:tc>
          <w:tcPr>
            <w:tcW w:type="dxa" w:w="2541"/>
            <w:vAlign w:val="top"/>
          </w:tcPr>
          <w:p>
            <w:pPr>
              <w:spacing w:after="20"/>
            </w:pPr>
            <w:r>
              <w:rPr>
                <w:sz w:val="17"/>
              </w:rPr>
            </w:r>
          </w:p>
        </w:tc>
      </w:tr>
      <w:tr>
        <w:tc>
          <w:tcPr>
            <w:tcW w:type="dxa" w:w="2541"/>
            <w:vAlign w:val="top"/>
          </w:tcPr>
          <w:p>
            <w:pPr>
              <w:spacing w:after="20"/>
            </w:pPr>
            <w:r>
              <w:rPr>
                <w:sz w:val="17"/>
              </w:rPr>
              <w:t>Travel, parking, housing, and meals</w:t>
            </w:r>
          </w:p>
        </w:tc>
        <w:tc>
          <w:tcPr>
            <w:tcW w:type="dxa" w:w="2541"/>
            <w:vAlign w:val="top"/>
          </w:tcPr>
          <w:p>
            <w:pPr>
              <w:spacing w:after="20"/>
            </w:pPr>
            <w:r>
              <w:rPr>
                <w:sz w:val="17"/>
              </w:rPr>
            </w:r>
          </w:p>
        </w:tc>
        <w:tc>
          <w:tcPr>
            <w:tcW w:type="dxa" w:w="2541"/>
            <w:vAlign w:val="top"/>
          </w:tcPr>
          <w:p>
            <w:pPr>
              <w:spacing w:after="20"/>
            </w:pPr>
            <w:r>
              <w:rPr>
                <w:sz w:val="17"/>
              </w:rPr>
            </w:r>
          </w:p>
        </w:tc>
        <w:tc>
          <w:tcPr>
            <w:tcW w:type="dxa" w:w="2541"/>
            <w:vAlign w:val="top"/>
          </w:tcPr>
          <w:p>
            <w:pPr>
              <w:spacing w:after="20"/>
            </w:pPr>
            <w:r>
              <w:rPr>
                <w:sz w:val="17"/>
              </w:rPr>
            </w:r>
          </w:p>
        </w:tc>
      </w:tr>
      <w:tr>
        <w:tc>
          <w:tcPr>
            <w:tcW w:type="dxa" w:w="2541"/>
            <w:vAlign w:val="top"/>
          </w:tcPr>
          <w:p>
            <w:pPr>
              <w:spacing w:after="20"/>
            </w:pPr>
            <w:r>
              <w:rPr>
                <w:sz w:val="17"/>
              </w:rPr>
              <w:t>Childcare or eldercare</w:t>
            </w:r>
          </w:p>
        </w:tc>
        <w:tc>
          <w:tcPr>
            <w:tcW w:type="dxa" w:w="2541"/>
            <w:vAlign w:val="top"/>
          </w:tcPr>
          <w:p>
            <w:pPr>
              <w:spacing w:after="20"/>
            </w:pPr>
            <w:r>
              <w:rPr>
                <w:sz w:val="17"/>
              </w:rPr>
            </w:r>
          </w:p>
        </w:tc>
        <w:tc>
          <w:tcPr>
            <w:tcW w:type="dxa" w:w="2541"/>
            <w:vAlign w:val="top"/>
          </w:tcPr>
          <w:p>
            <w:pPr>
              <w:spacing w:after="20"/>
            </w:pPr>
            <w:r>
              <w:rPr>
                <w:sz w:val="17"/>
              </w:rPr>
            </w:r>
          </w:p>
        </w:tc>
        <w:tc>
          <w:tcPr>
            <w:tcW w:type="dxa" w:w="2541"/>
            <w:vAlign w:val="top"/>
          </w:tcPr>
          <w:p>
            <w:pPr>
              <w:spacing w:after="20"/>
            </w:pPr>
            <w:r>
              <w:rPr>
                <w:sz w:val="17"/>
              </w:rPr>
            </w:r>
          </w:p>
        </w:tc>
      </w:tr>
      <w:tr>
        <w:tc>
          <w:tcPr>
            <w:tcW w:type="dxa" w:w="2541"/>
            <w:vAlign w:val="top"/>
          </w:tcPr>
          <w:p>
            <w:pPr>
              <w:spacing w:after="20"/>
            </w:pPr>
            <w:r>
              <w:rPr>
                <w:sz w:val="17"/>
              </w:rPr>
              <w:t>Lost wages or reduced hours</w:t>
            </w:r>
          </w:p>
        </w:tc>
        <w:tc>
          <w:tcPr>
            <w:tcW w:type="dxa" w:w="2541"/>
            <w:vAlign w:val="top"/>
          </w:tcPr>
          <w:p>
            <w:pPr>
              <w:spacing w:after="20"/>
            </w:pPr>
            <w:r>
              <w:rPr>
                <w:sz w:val="17"/>
              </w:rPr>
            </w:r>
          </w:p>
        </w:tc>
        <w:tc>
          <w:tcPr>
            <w:tcW w:type="dxa" w:w="2541"/>
            <w:vAlign w:val="top"/>
          </w:tcPr>
          <w:p>
            <w:pPr>
              <w:spacing w:after="20"/>
            </w:pPr>
            <w:r>
              <w:rPr>
                <w:sz w:val="17"/>
              </w:rPr>
            </w:r>
          </w:p>
        </w:tc>
        <w:tc>
          <w:tcPr>
            <w:tcW w:type="dxa" w:w="2541"/>
            <w:vAlign w:val="top"/>
          </w:tcPr>
          <w:p>
            <w:pPr>
              <w:spacing w:after="20"/>
            </w:pPr>
            <w:r>
              <w:rPr>
                <w:sz w:val="17"/>
              </w:rPr>
            </w:r>
          </w:p>
        </w:tc>
      </w:tr>
      <w:tr>
        <w:tc>
          <w:tcPr>
            <w:tcW w:type="dxa" w:w="2541"/>
            <w:vAlign w:val="top"/>
          </w:tcPr>
          <w:p>
            <w:pPr>
              <w:spacing w:after="20"/>
            </w:pPr>
            <w:r>
              <w:rPr>
                <w:sz w:val="17"/>
              </w:rPr>
              <w:t>Other costs</w:t>
            </w:r>
          </w:p>
        </w:tc>
        <w:tc>
          <w:tcPr>
            <w:tcW w:type="dxa" w:w="2541"/>
            <w:vAlign w:val="top"/>
          </w:tcPr>
          <w:p>
            <w:pPr>
              <w:spacing w:after="20"/>
            </w:pPr>
            <w:r>
              <w:rPr>
                <w:sz w:val="17"/>
              </w:rPr>
            </w:r>
          </w:p>
        </w:tc>
        <w:tc>
          <w:tcPr>
            <w:tcW w:type="dxa" w:w="2541"/>
            <w:vAlign w:val="top"/>
          </w:tcPr>
          <w:p>
            <w:pPr>
              <w:spacing w:after="20"/>
            </w:pPr>
            <w:r>
              <w:rPr>
                <w:sz w:val="17"/>
              </w:rPr>
            </w:r>
          </w:p>
        </w:tc>
        <w:tc>
          <w:tcPr>
            <w:tcW w:type="dxa" w:w="2541"/>
            <w:vAlign w:val="top"/>
          </w:tcPr>
          <w:p>
            <w:pPr>
              <w:spacing w:after="20"/>
            </w:pPr>
            <w:r>
              <w:rPr>
                <w:sz w:val="17"/>
              </w:rPr>
            </w:r>
          </w:p>
        </w:tc>
      </w:tr>
    </w:tbl>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top"/>
          </w:tcPr>
          <w:p>
            <w:pPr>
              <w:spacing w:after="20"/>
            </w:pPr>
            <w:r>
              <w:rPr>
                <w:b/>
                <w:sz w:val="17"/>
              </w:rPr>
              <w:t>Employer education question</w:t>
            </w:r>
          </w:p>
        </w:tc>
        <w:tc>
          <w:tcPr>
            <w:tcW w:type="dxa" w:w="5083"/>
            <w:shd w:fill="D9EAF7"/>
            <w:vAlign w:val="top"/>
          </w:tcPr>
          <w:p>
            <w:pPr>
              <w:spacing w:after="20"/>
            </w:pPr>
            <w:r>
              <w:rPr>
                <w:b/>
                <w:sz w:val="17"/>
              </w:rPr>
              <w:t>Written answer</w:t>
            </w:r>
          </w:p>
        </w:tc>
      </w:tr>
      <w:tr>
        <w:tc>
          <w:tcPr>
            <w:tcW w:type="dxa" w:w="5083"/>
            <w:vAlign w:val="top"/>
          </w:tcPr>
          <w:p>
            <w:pPr>
              <w:spacing w:after="20"/>
            </w:pPr>
            <w:r>
              <w:rPr>
                <w:sz w:val="17"/>
              </w:rPr>
              <w:t>What is covered?</w:t>
            </w:r>
          </w:p>
        </w:tc>
        <w:tc>
          <w:tcPr>
            <w:tcW w:type="dxa" w:w="5083"/>
            <w:vAlign w:val="top"/>
          </w:tcPr>
          <w:p>
            <w:pPr>
              <w:spacing w:after="20"/>
            </w:pPr>
            <w:r>
              <w:rPr>
                <w:sz w:val="17"/>
              </w:rPr>
            </w:r>
          </w:p>
        </w:tc>
      </w:tr>
      <w:tr>
        <w:tc>
          <w:tcPr>
            <w:tcW w:type="dxa" w:w="5083"/>
            <w:vAlign w:val="top"/>
          </w:tcPr>
          <w:p>
            <w:pPr>
              <w:spacing w:after="20"/>
            </w:pPr>
            <w:r>
              <w:rPr>
                <w:sz w:val="17"/>
              </w:rPr>
              <w:t>Direct payment or reimbursement?</w:t>
            </w:r>
          </w:p>
        </w:tc>
        <w:tc>
          <w:tcPr>
            <w:tcW w:type="dxa" w:w="5083"/>
            <w:vAlign w:val="top"/>
          </w:tcPr>
          <w:p>
            <w:pPr>
              <w:spacing w:after="20"/>
            </w:pPr>
            <w:r>
              <w:rPr>
                <w:sz w:val="17"/>
              </w:rPr>
            </w:r>
          </w:p>
        </w:tc>
      </w:tr>
      <w:tr>
        <w:tc>
          <w:tcPr>
            <w:tcW w:type="dxa" w:w="5083"/>
            <w:vAlign w:val="top"/>
          </w:tcPr>
          <w:p>
            <w:pPr>
              <w:spacing w:after="20"/>
            </w:pPr>
            <w:r>
              <w:rPr>
                <w:sz w:val="17"/>
              </w:rPr>
              <w:t>Grade, exam, or performance requirement?</w:t>
            </w:r>
          </w:p>
        </w:tc>
        <w:tc>
          <w:tcPr>
            <w:tcW w:type="dxa" w:w="5083"/>
            <w:vAlign w:val="top"/>
          </w:tcPr>
          <w:p>
            <w:pPr>
              <w:spacing w:after="20"/>
            </w:pPr>
            <w:r>
              <w:rPr>
                <w:sz w:val="17"/>
              </w:rPr>
            </w:r>
          </w:p>
        </w:tc>
      </w:tr>
      <w:tr>
        <w:tc>
          <w:tcPr>
            <w:tcW w:type="dxa" w:w="5083"/>
            <w:vAlign w:val="top"/>
          </w:tcPr>
          <w:p>
            <w:pPr>
              <w:spacing w:after="20"/>
            </w:pPr>
            <w:r>
              <w:rPr>
                <w:sz w:val="17"/>
              </w:rPr>
              <w:t>Required employment period?</w:t>
            </w:r>
          </w:p>
        </w:tc>
        <w:tc>
          <w:tcPr>
            <w:tcW w:type="dxa" w:w="5083"/>
            <w:vAlign w:val="top"/>
          </w:tcPr>
          <w:p>
            <w:pPr>
              <w:spacing w:after="20"/>
            </w:pPr>
            <w:r>
              <w:rPr>
                <w:sz w:val="17"/>
              </w:rPr>
            </w:r>
          </w:p>
        </w:tc>
      </w:tr>
      <w:tr>
        <w:tc>
          <w:tcPr>
            <w:tcW w:type="dxa" w:w="5083"/>
            <w:vAlign w:val="top"/>
          </w:tcPr>
          <w:p>
            <w:pPr>
              <w:spacing w:after="20"/>
            </w:pPr>
            <w:r>
              <w:rPr>
                <w:sz w:val="17"/>
              </w:rPr>
              <w:t>Prorated repayment formula?</w:t>
            </w:r>
          </w:p>
        </w:tc>
        <w:tc>
          <w:tcPr>
            <w:tcW w:type="dxa" w:w="5083"/>
            <w:vAlign w:val="top"/>
          </w:tcPr>
          <w:p>
            <w:pPr>
              <w:spacing w:after="20"/>
            </w:pPr>
            <w:r>
              <w:rPr>
                <w:sz w:val="17"/>
              </w:rPr>
            </w:r>
          </w:p>
        </w:tc>
      </w:tr>
      <w:tr>
        <w:tc>
          <w:tcPr>
            <w:tcW w:type="dxa" w:w="5083"/>
            <w:vAlign w:val="top"/>
          </w:tcPr>
          <w:p>
            <w:pPr>
              <w:spacing w:after="20"/>
            </w:pPr>
            <w:r>
              <w:rPr>
                <w:sz w:val="17"/>
              </w:rPr>
              <w:t>Layoff and position-elimination treatment?</w:t>
            </w:r>
          </w:p>
        </w:tc>
        <w:tc>
          <w:tcPr>
            <w:tcW w:type="dxa" w:w="5083"/>
            <w:vAlign w:val="top"/>
          </w:tcPr>
          <w:p>
            <w:pPr>
              <w:spacing w:after="20"/>
            </w:pPr>
            <w:r>
              <w:rPr>
                <w:sz w:val="17"/>
              </w:rPr>
            </w:r>
          </w:p>
        </w:tc>
      </w:tr>
      <w:tr>
        <w:tc>
          <w:tcPr>
            <w:tcW w:type="dxa" w:w="5083"/>
            <w:vAlign w:val="top"/>
          </w:tcPr>
          <w:p>
            <w:pPr>
              <w:spacing w:after="20"/>
            </w:pPr>
            <w:r>
              <w:rPr>
                <w:sz w:val="17"/>
              </w:rPr>
              <w:t>Disability, military, retirement, transfer, or closure treatment?</w:t>
            </w:r>
          </w:p>
        </w:tc>
        <w:tc>
          <w:tcPr>
            <w:tcW w:type="dxa" w:w="5083"/>
            <w:vAlign w:val="top"/>
          </w:tcPr>
          <w:p>
            <w:pPr>
              <w:spacing w:after="20"/>
            </w:pPr>
            <w:r>
              <w:rPr>
                <w:sz w:val="17"/>
              </w:rPr>
            </w:r>
          </w:p>
        </w:tc>
      </w:tr>
      <w:tr>
        <w:tc>
          <w:tcPr>
            <w:tcW w:type="dxa" w:w="5083"/>
            <w:vAlign w:val="top"/>
          </w:tcPr>
          <w:p>
            <w:pPr>
              <w:spacing w:after="20"/>
            </w:pPr>
            <w:r>
              <w:rPr>
                <w:sz w:val="17"/>
              </w:rPr>
              <w:t>Final-wage deduction authority?</w:t>
            </w:r>
          </w:p>
        </w:tc>
        <w:tc>
          <w:tcPr>
            <w:tcW w:type="dxa" w:w="5083"/>
            <w:vAlign w:val="top"/>
          </w:tcPr>
          <w:p>
            <w:pPr>
              <w:spacing w:after="20"/>
            </w:pPr>
            <w:r>
              <w:rPr>
                <w:sz w:val="17"/>
              </w:rPr>
            </w:r>
          </w:p>
        </w:tc>
      </w:tr>
      <w:tr>
        <w:tc>
          <w:tcPr>
            <w:tcW w:type="dxa" w:w="5083"/>
            <w:vAlign w:val="top"/>
          </w:tcPr>
          <w:p>
            <w:pPr>
              <w:spacing w:after="20"/>
            </w:pPr>
            <w:r>
              <w:rPr>
                <w:sz w:val="17"/>
              </w:rPr>
              <w:t>Credential and record ownership?</w:t>
            </w:r>
          </w:p>
        </w:tc>
        <w:tc>
          <w:tcPr>
            <w:tcW w:type="dxa" w:w="5083"/>
            <w:vAlign w:val="top"/>
          </w:tcPr>
          <w:p>
            <w:pPr>
              <w:spacing w:after="20"/>
            </w:pPr>
            <w:r>
              <w:rPr>
                <w:sz w:val="17"/>
              </w:rPr>
            </w:r>
          </w:p>
        </w:tc>
      </w:tr>
    </w:tbl>
    <w:p>
      <w:pPr>
        <w:pStyle w:val="Heading1"/>
      </w:pPr>
      <w:r>
        <w:t>19. Sources, Versioning, and Maintenance</w:t>
      </w:r>
    </w:p>
    <w:p>
      <w:pPr>
        <w:pStyle w:val="Heading2"/>
      </w:pPr>
      <w:r>
        <w:t>Official sources and review policy</w:t>
      </w:r>
    </w:p>
    <w:p>
      <w:pPr>
        <w:pStyle w:val="ListBullet"/>
        <w:ind w:left="403" w:hanging="259"/>
      </w:pPr>
      <w:r>
        <w:t>U.S. Bureau of Labor Statistics occupation context: https://www.bls.gov/ooh/business-and-financial/human-resources-specialists.htm</w:t>
      </w:r>
    </w:p>
    <w:p>
      <w:pPr>
        <w:pStyle w:val="ListBullet"/>
        <w:ind w:left="403" w:hanging="259"/>
      </w:pPr>
      <w:r>
        <w:t>IRS education credits: https://www.irs.gov/credits-deductions/individuals/education-credits-aotc-and-llc</w:t>
      </w:r>
    </w:p>
    <w:p>
      <w:pPr>
        <w:pStyle w:val="ListBullet"/>
        <w:ind w:left="403" w:hanging="259"/>
      </w:pPr>
      <w:r>
        <w:t>IRS Section 127 educational assistance: https://www.irs.gov/newsroom/irs-updates-frequently-asked-questions-about-section-127-educational-assistance-programs</w:t>
      </w:r>
    </w:p>
    <w:p>
      <w:pPr>
        <w:pStyle w:val="ListBullet"/>
        <w:ind w:left="403" w:hanging="259"/>
      </w:pPr>
      <w:r>
        <w:t>Apprenticeship.gov: https://www.apprenticeship.gov/</w:t>
      </w:r>
    </w:p>
    <w:p>
      <w:pPr>
        <w:pStyle w:val="ListBullet"/>
        <w:ind w:left="403" w:hanging="259"/>
      </w:pPr>
      <w:r>
        <w:t>U.S. Department of Education accreditation information: https://www.ed.gov/accreditation</w:t>
      </w:r>
    </w:p>
    <w:p>
      <w:pPr>
        <w:pStyle w:val="ListBullet"/>
        <w:ind w:left="403" w:hanging="259"/>
      </w:pPr>
      <w:r>
        <w:t>EEOC disability discrimination guidance: https://www.eeoc.gov/disability-discrimination</w:t>
      </w:r>
    </w:p>
    <w:p>
      <w:pPr>
        <w:pStyle w:val="ListBullet"/>
        <w:ind w:left="403" w:hanging="259"/>
      </w:pPr>
      <w:r>
        <w:t>U.S. Department of Labor worker resources: https://www.dol.gov/general/topic</w:t>
      </w:r>
    </w:p>
    <w:p>
      <w:pPr>
        <w:pStyle w:val="ListBullet"/>
        <w:ind w:left="403" w:hanging="259"/>
      </w:pPr>
      <w:r>
        <w:t>Version 1.0 is the first public edition only after factual, ethical, accessibility, editorial, rendering, PDF-readability, and owner-review gates pass.</w:t>
      </w:r>
    </w:p>
    <w:p>
      <w:pPr>
        <w:pStyle w:val="ListBullet"/>
        <w:ind w:left="403" w:hanging="259"/>
      </w:pPr>
      <w:r>
        <w:t>Review wage, outlook, tax, licensing, education, apprenticeship, and link information at least annually.</w:t>
      </w:r>
    </w:p>
    <w:p>
      <w:pPr>
        <w:pStyle w:val="ListBullet"/>
        <w:ind w:left="403" w:hanging="259"/>
      </w:pPr>
      <w:r>
        <w:t>Mark uncertain or jurisdiction-dependent information for verification instead of guessing.</w:t>
      </w:r>
    </w:p>
    <w:p>
      <w:pPr>
        <w:pStyle w:val="ListBullet"/>
        <w:ind w:left="403" w:hanging="259"/>
      </w:pPr>
      <w:r>
        <w:t>Use GitHub issues or the project correction process for errors, broken links, accessibility barriers, or outdated information.</w:t>
      </w:r>
    </w:p>
    <w:p>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Lifelong Opportunity Guides | Human Resources Assistant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Human Resources Assistant Guide English v1.0</dc:title>
  <dc:subject>Career exploration, education pathways, accessibility, ethical employment guidance</dc:subject>
  <dc:creator>Alberto (Al) Leiva</dc:creator>
  <cp:keywords>Human Resources Assistant, career guide, accessibility, education, apprenticeship, tuition assistance</cp:keywords>
  <dc:description>generated by python-docx</dc:description>
  <cp:lastModifiedBy/>
  <cp:revision>1</cp:revision>
  <dcterms:created xsi:type="dcterms:W3CDTF">2013-12-23T23:15:00Z</dcterms:created>
  <dcterms:modified xsi:type="dcterms:W3CDTF">2013-12-23T23:15:00Z</dcterms:modified>
  <cp:category/>
</cp:coreProperties>
</file>