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1630eca63cae14e81d4f8ee0f8f24306c759f75"/>
    <w:p>
      <w:pPr>
        <w:pStyle w:val="Heading1"/>
      </w:pPr>
      <w:r>
        <w:t xml:space="preserve">Guia 23 — Gestor de imóveis e de associações condominiais</w:t>
      </w:r>
    </w:p>
    <w:p>
      <w:pPr>
        <w:pStyle w:val="FirstParagraph"/>
      </w:pPr>
      <w:r>
        <w:rPr>
          <w:bCs/>
          <w:b/>
        </w:rPr>
        <w:t xml:space="preserve">Edição:</w:t>
      </w:r>
      <w:r>
        <w:t xml:space="preserve"> </w:t>
      </w:r>
      <w:r>
        <w:t xml:space="preserve">Português do Brasil (pt-BR)</w:t>
      </w:r>
      <w:r>
        <w:br/>
      </w:r>
      <w:r>
        <w:rPr>
          <w:bCs/>
          <w:b/>
        </w:rPr>
        <w:t xml:space="preserve">Versão:</w:t>
      </w:r>
      <w:r>
        <w:t xml:space="preserve"> </w:t>
      </w:r>
      <w:r>
        <w:t xml:space="preserve">2.0 mestre de trabalho</w:t>
      </w:r>
      <w:r>
        <w:br/>
      </w:r>
      <w:r>
        <w:rPr>
          <w:bCs/>
          <w:b/>
        </w:rPr>
        <w:t xml:space="preserve">Data da revisão controlada:</w:t>
      </w:r>
      <w:r>
        <w:t xml:space="preserve"> </w:t>
      </w:r>
      <w:r>
        <w:t xml:space="preserve">2026-08-10</w:t>
      </w:r>
      <w:r>
        <w:br/>
      </w:r>
      <w:r>
        <w:rPr>
          <w:bCs/>
          <w:b/>
        </w:rPr>
        <w:t xml:space="preserve">Fonte:</w:t>
      </w:r>
      <w:r>
        <w:t xml:space="preserve"> </w:t>
      </w:r>
      <w:r>
        <w:t xml:space="preserve">Inglês v2 congelado, blob</w:t>
      </w:r>
      <w:r>
        <w:t xml:space="preserve"> </w:t>
      </w:r>
      <w:r>
        <w:rPr>
          <w:rStyle w:val="VerbatimChar"/>
        </w:rPr>
        <w:t xml:space="preserve">9176295ea37d7b88c938c1f743b6af26e0be8273</w:t>
      </w:r>
      <w:r>
        <w:br/>
      </w:r>
      <w:r>
        <w:rPr>
          <w:bCs/>
          <w:b/>
        </w:rPr>
        <w:t xml:space="preserve">Licença:</w:t>
      </w:r>
      <w:r>
        <w:t xml:space="preserve"> </w:t>
      </w:r>
      <w:r>
        <w:t xml:space="preserve">CC BY-NC-SA 4.0</w:t>
      </w:r>
    </w:p>
    <w:bookmarkStart w:id="20" w:name="objetivo"/>
    <w:p>
      <w:pPr>
        <w:pStyle w:val="Heading2"/>
      </w:pPr>
      <w:r>
        <w:t xml:space="preserve">Objetivo</w:t>
      </w:r>
    </w:p>
    <w:p>
      <w:pPr>
        <w:pStyle w:val="FirstParagraph"/>
      </w:pPr>
      <w:r>
        <w:t xml:space="preserve">A gestão de imóveis e de associações condominiais pode oferecer uma rota prática para operações de moradia, atendimento ao cliente, coordenação de instalações, orçamento, fornecedores, relações com moradores e administração imobiliária. Ao mesmo tempo, pode envolver atividades reguladas, deveres de habitação justa, documentos de governança, dados pessoais e financeiros, controles de acesso, emergências e assuntos jurídicos ou técnicos que ultrapassam a autoridade do cargo.</w:t>
      </w:r>
    </w:p>
    <w:p>
      <w:pPr>
        <w:pStyle w:val="BodyText"/>
      </w:pPr>
      <w:r>
        <w:t xml:space="preserve">Este guia ajuda o leitor a desenvolver habilidades empregáveis sem confundir tarefas operacionais com atividades que podem exigir licença imobiliária, credencial específica para gestão condominial, autoridade jurídica, habilitação contábil, profissão técnica licenciada, qualificação de segurança ou outra permissão definida pela jurisdição.</w:t>
      </w:r>
    </w:p>
    <w:p>
      <w:pPr>
        <w:pStyle w:val="BodyText"/>
      </w:pPr>
      <w:r>
        <w:t xml:space="preserve">Este guia é educacional. Não constitui aconselhamento jurídico, imobiliário, contábil, tributário, de seguros, engenharia, código de obras, segurança, habitação justa ou investimento. Os requisitos variam conforme país, estado ou província, município, empregador, tipo de imóvel, documentos de governança e funções atribuídas. Verifique as regras aplicáveis antes de pagar por treinamento ou assumir responsabilidades reguladas.</w:t>
      </w:r>
    </w:p>
    <w:bookmarkEnd w:id="20"/>
    <w:bookmarkStart w:id="21" w:name="Xbe4a2945400cb92037f18d7f45132908984562a"/>
    <w:p>
      <w:pPr>
        <w:pStyle w:val="Heading2"/>
      </w:pPr>
      <w:r>
        <w:t xml:space="preserve">1. O que esses trabalhos envolvem</w:t>
      </w:r>
    </w:p>
    <w:p>
      <w:pPr>
        <w:pStyle w:val="FirstParagraph"/>
      </w:pPr>
      <w:r>
        <w:t xml:space="preserve">Conforme o empregador e a jurisdição, as atividades podem incluir:</w:t>
      </w:r>
    </w:p>
    <w:p>
      <w:pPr>
        <w:numPr>
          <w:ilvl w:val="0"/>
          <w:numId w:val="1001"/>
        </w:numPr>
        <w:pStyle w:val="Compact"/>
      </w:pPr>
      <w:r>
        <w:t xml:space="preserve">atendimento a proprietários, moradores, locatários, candidatos, conselhos e fornecedores;</w:t>
      </w:r>
    </w:p>
    <w:p>
      <w:pPr>
        <w:numPr>
          <w:ilvl w:val="0"/>
          <w:numId w:val="1001"/>
        </w:numPr>
        <w:pStyle w:val="Compact"/>
      </w:pPr>
      <w:r>
        <w:t xml:space="preserve">coordenação de manutenção, inspeções, reparos e trabalho preventivo;</w:t>
      </w:r>
    </w:p>
    <w:p>
      <w:pPr>
        <w:numPr>
          <w:ilvl w:val="0"/>
          <w:numId w:val="1001"/>
        </w:numPr>
        <w:pStyle w:val="Compact"/>
      </w:pPr>
      <w:r>
        <w:t xml:space="preserve">administração de locações, regras comunitárias, solicitações de serviço e procedimentos aprovados;</w:t>
      </w:r>
    </w:p>
    <w:p>
      <w:pPr>
        <w:numPr>
          <w:ilvl w:val="0"/>
          <w:numId w:val="1001"/>
        </w:numPr>
        <w:pStyle w:val="Compact"/>
      </w:pPr>
      <w:r>
        <w:t xml:space="preserve">preparação de orçamentos, acompanhamento de faturas, cobrança de valores autorizados e explicação de variações;</w:t>
      </w:r>
    </w:p>
    <w:p>
      <w:pPr>
        <w:numPr>
          <w:ilvl w:val="0"/>
          <w:numId w:val="1001"/>
        </w:numPr>
        <w:pStyle w:val="Compact"/>
      </w:pPr>
      <w:r>
        <w:t xml:space="preserve">manutenção de registros, contratos, certificados, incidentes e documentação de fornecedores;</w:t>
      </w:r>
    </w:p>
    <w:p>
      <w:pPr>
        <w:numPr>
          <w:ilvl w:val="0"/>
          <w:numId w:val="1001"/>
        </w:numPr>
        <w:pStyle w:val="Compact"/>
      </w:pPr>
      <w:r>
        <w:t xml:space="preserve">apoio a locação, renovação, entrada e saída de moradores e comunicações operacionais;</w:t>
      </w:r>
    </w:p>
    <w:p>
      <w:pPr>
        <w:numPr>
          <w:ilvl w:val="0"/>
          <w:numId w:val="1001"/>
        </w:numPr>
        <w:pStyle w:val="Compact"/>
      </w:pPr>
      <w:r>
        <w:t xml:space="preserve">coordenação de segurança, limpeza, jardinagem, manutenção e prestadores;</w:t>
      </w:r>
    </w:p>
    <w:p>
      <w:pPr>
        <w:numPr>
          <w:ilvl w:val="0"/>
          <w:numId w:val="1001"/>
        </w:numPr>
        <w:pStyle w:val="Compact"/>
      </w:pPr>
      <w:r>
        <w:t xml:space="preserve">preparação de materiais para assembleias ou reuniões e acompanhamento de decisões válidas;</w:t>
      </w:r>
    </w:p>
    <w:p>
      <w:pPr>
        <w:numPr>
          <w:ilvl w:val="0"/>
          <w:numId w:val="1001"/>
        </w:numPr>
        <w:pStyle w:val="Compact"/>
      </w:pPr>
      <w:r>
        <w:t xml:space="preserve">controle operacional de chaves, credenciais, estacionamento, áreas comuns e contatos de emergência;</w:t>
      </w:r>
    </w:p>
    <w:p>
      <w:pPr>
        <w:numPr>
          <w:ilvl w:val="0"/>
          <w:numId w:val="1001"/>
        </w:numPr>
        <w:pStyle w:val="Compact"/>
      </w:pPr>
      <w:r>
        <w:t xml:space="preserve">acompanhamento de seguros, inspeções ou conformidade dentro da autoridade atribuída.</w:t>
      </w:r>
    </w:p>
    <w:p>
      <w:pPr>
        <w:pStyle w:val="FirstParagraph"/>
      </w:pPr>
      <w:r>
        <w:t xml:space="preserve">Os títulos dos cargos não são equivalentes entre países. O nome da função, por si só, não cria autoridade legal.</w:t>
      </w:r>
    </w:p>
    <w:bookmarkEnd w:id="21"/>
    <w:bookmarkStart w:id="22" w:name="X63d9c249487cc1fe07b07589fcdc6ab35e0b426"/>
    <w:p>
      <w:pPr>
        <w:pStyle w:val="Heading2"/>
      </w:pPr>
      <w:r>
        <w:t xml:space="preserve">2. Habilidades transferíveis</w:t>
      </w:r>
    </w:p>
    <w:p>
      <w:pPr>
        <w:pStyle w:val="FirstParagraph"/>
      </w:pPr>
      <w:r>
        <w:t xml:space="preserve">Habilidades úteis incluem:</w:t>
      </w:r>
    </w:p>
    <w:p>
      <w:pPr>
        <w:numPr>
          <w:ilvl w:val="0"/>
          <w:numId w:val="1002"/>
        </w:numPr>
        <w:pStyle w:val="Compact"/>
      </w:pPr>
      <w:r>
        <w:t xml:space="preserve">comunicação profissional oral e escrita;</w:t>
      </w:r>
    </w:p>
    <w:p>
      <w:pPr>
        <w:numPr>
          <w:ilvl w:val="0"/>
          <w:numId w:val="1002"/>
        </w:numPr>
        <w:pStyle w:val="Compact"/>
      </w:pPr>
      <w:r>
        <w:t xml:space="preserve">atendimento a clientes e moradores;</w:t>
      </w:r>
    </w:p>
    <w:p>
      <w:pPr>
        <w:numPr>
          <w:ilvl w:val="0"/>
          <w:numId w:val="1002"/>
        </w:numPr>
        <w:pStyle w:val="Compact"/>
      </w:pPr>
      <w:r>
        <w:t xml:space="preserve">desescalada de conflitos e tratamento de reclamações;</w:t>
      </w:r>
    </w:p>
    <w:p>
      <w:pPr>
        <w:numPr>
          <w:ilvl w:val="0"/>
          <w:numId w:val="1002"/>
        </w:numPr>
        <w:pStyle w:val="Compact"/>
      </w:pPr>
      <w:r>
        <w:t xml:space="preserve">coordenação de ordens de serviço e agendas;</w:t>
      </w:r>
    </w:p>
    <w:p>
      <w:pPr>
        <w:numPr>
          <w:ilvl w:val="0"/>
          <w:numId w:val="1002"/>
        </w:numPr>
        <w:pStyle w:val="Compact"/>
      </w:pPr>
      <w:r>
        <w:t xml:space="preserve">planilhas e alfabetização financeira básica;</w:t>
      </w:r>
    </w:p>
    <w:p>
      <w:pPr>
        <w:numPr>
          <w:ilvl w:val="0"/>
          <w:numId w:val="1002"/>
        </w:numPr>
        <w:pStyle w:val="Compact"/>
      </w:pPr>
      <w:r>
        <w:t xml:space="preserve">revisão de faturas e ordens de compra;</w:t>
      </w:r>
    </w:p>
    <w:p>
      <w:pPr>
        <w:numPr>
          <w:ilvl w:val="0"/>
          <w:numId w:val="1002"/>
        </w:numPr>
        <w:pStyle w:val="Compact"/>
      </w:pPr>
      <w:r>
        <w:t xml:space="preserve">gestão documental e controle de registros;</w:t>
      </w:r>
    </w:p>
    <w:p>
      <w:pPr>
        <w:numPr>
          <w:ilvl w:val="0"/>
          <w:numId w:val="1002"/>
        </w:numPr>
        <w:pStyle w:val="Compact"/>
      </w:pPr>
      <w:r>
        <w:t xml:space="preserve">integração e acompanhamento de fornecedores;</w:t>
      </w:r>
    </w:p>
    <w:p>
      <w:pPr>
        <w:numPr>
          <w:ilvl w:val="0"/>
          <w:numId w:val="1002"/>
        </w:numPr>
        <w:pStyle w:val="Compact"/>
      </w:pPr>
      <w:r>
        <w:t xml:space="preserve">apoio à administração de contratos;</w:t>
      </w:r>
    </w:p>
    <w:p>
      <w:pPr>
        <w:numPr>
          <w:ilvl w:val="0"/>
          <w:numId w:val="1002"/>
        </w:numPr>
        <w:pStyle w:val="Compact"/>
      </w:pPr>
      <w:r>
        <w:t xml:space="preserve">vocabulário básico de instalações e manutenção preventiva;</w:t>
      </w:r>
    </w:p>
    <w:p>
      <w:pPr>
        <w:numPr>
          <w:ilvl w:val="0"/>
          <w:numId w:val="1002"/>
        </w:numPr>
        <w:pStyle w:val="Compact"/>
      </w:pPr>
      <w:r>
        <w:t xml:space="preserve">preparação de reuniões e acompanhamento de ações;</w:t>
      </w:r>
    </w:p>
    <w:p>
      <w:pPr>
        <w:numPr>
          <w:ilvl w:val="0"/>
          <w:numId w:val="1002"/>
        </w:numPr>
        <w:pStyle w:val="Compact"/>
      </w:pPr>
      <w:r>
        <w:t xml:space="preserve">aplicação consistente de políticas aprovadas;</w:t>
      </w:r>
    </w:p>
    <w:p>
      <w:pPr>
        <w:numPr>
          <w:ilvl w:val="0"/>
          <w:numId w:val="1002"/>
        </w:numPr>
        <w:pStyle w:val="Compact"/>
      </w:pPr>
      <w:r>
        <w:t xml:space="preserve">tratamento responsável de dados de identidade, contratos, pagamentos, câmeras, acesso, reclamações e emergências;</w:t>
      </w:r>
    </w:p>
    <w:p>
      <w:pPr>
        <w:numPr>
          <w:ilvl w:val="0"/>
          <w:numId w:val="1002"/>
        </w:numPr>
        <w:pStyle w:val="Compact"/>
      </w:pPr>
      <w:r>
        <w:t xml:space="preserve">comunicação acessível com pessoas com diferentes necessidades linguísticas, físicas, sensoriais ou cognitivas;</w:t>
      </w:r>
    </w:p>
    <w:p>
      <w:pPr>
        <w:numPr>
          <w:ilvl w:val="0"/>
          <w:numId w:val="1002"/>
        </w:numPr>
        <w:pStyle w:val="Compact"/>
      </w:pPr>
      <w:r>
        <w:t xml:space="preserve">escalonamento de incidentes e documentação factual;</w:t>
      </w:r>
    </w:p>
    <w:p>
      <w:pPr>
        <w:numPr>
          <w:ilvl w:val="0"/>
          <w:numId w:val="1002"/>
        </w:numPr>
        <w:pStyle w:val="Compact"/>
      </w:pPr>
      <w:r>
        <w:t xml:space="preserve">autenticação forte, compartilhamento seguro de arquivos e acesso com privilégio mínimo.</w:t>
      </w:r>
    </w:p>
    <w:bookmarkEnd w:id="22"/>
    <w:bookmarkStart w:id="27" w:name="X9b27b52f264e663e9d6d8493012003afc581b2c"/>
    <w:p>
      <w:pPr>
        <w:pStyle w:val="Heading2"/>
      </w:pPr>
      <w:r>
        <w:t xml:space="preserve">3. Caminho nos Estados Unidos</w:t>
      </w:r>
    </w:p>
    <w:bookmarkStart w:id="23" w:name="ocupação-e-entrada"/>
    <w:p>
      <w:pPr>
        <w:pStyle w:val="Heading3"/>
      </w:pPr>
      <w:r>
        <w:t xml:space="preserve">Ocupação e entrada</w:t>
      </w:r>
    </w:p>
    <w:p>
      <w:pPr>
        <w:pStyle w:val="FirstParagraph"/>
      </w:pPr>
      <w:r>
        <w:t xml:space="preserve">O O*NET classifica</w:t>
      </w:r>
      <w:r>
        <w:t xml:space="preserve"> </w:t>
      </w:r>
      <w:r>
        <w:rPr>
          <w:bCs/>
          <w:b/>
        </w:rPr>
        <w:t xml:space="preserve">Property, Real Estate, and Community Association Managers</w:t>
      </w:r>
      <w:r>
        <w:t xml:space="preserve"> </w:t>
      </w:r>
      <w:r>
        <w:t xml:space="preserve">em 11-9141.00. O trabalho pode envolver locação, orçamento, manutenção, contratos, comunicação com moradores e proprietários, registros, cobranças, inspeções e administração de associações comunitárias.</w:t>
      </w:r>
    </w:p>
    <w:p>
      <w:pPr>
        <w:pStyle w:val="BodyText"/>
      </w:pPr>
      <w:r>
        <w:t xml:space="preserve">O Bureau of Labor Statistics dos Estados Unidos (BLS) apresenta ensino médio ou equivalente como escolaridade típica de entrada, juntamente com vários anos de experiência relacionada e treinamento de curto prazo no trabalho. Diploma universitário não é requisito nacional universal para todos os cargos.</w:t>
      </w:r>
    </w:p>
    <w:p>
      <w:pPr>
        <w:pStyle w:val="BodyText"/>
      </w:pPr>
      <w:r>
        <w:t xml:space="preserve">Uma entrada de menor risco pode ocorrer por funções como assistente de gestão de imóveis, administração de locação, atendimento a moradores, coordenação de manutenção, contas a receber, fornecedores ou apoio de escritório enquanto se aprende o marco local.</w:t>
      </w:r>
    </w:p>
    <w:bookmarkEnd w:id="23"/>
    <w:bookmarkStart w:id="24" w:name="licenças-e-limites-de-autoridade"/>
    <w:p>
      <w:pPr>
        <w:pStyle w:val="Heading3"/>
      </w:pPr>
      <w:r>
        <w:t xml:space="preserve">Licenças e limites de autoridade</w:t>
      </w:r>
    </w:p>
    <w:p>
      <w:pPr>
        <w:pStyle w:val="FirstParagraph"/>
      </w:pPr>
      <w:r>
        <w:t xml:space="preserve">Os requisitos variam por estado e pela função real. Atividades reguladas de locação, corretagem, cobrança de aluguel, contas fiduciárias ou transações imobiliárias podem exigir licença, supervisão de corretor ou exceção específica. Alguns estados regulam separadamente gestores de associações comunitárias.</w:t>
      </w:r>
    </w:p>
    <w:p>
      <w:pPr>
        <w:pStyle w:val="BodyText"/>
      </w:pPr>
      <w:r>
        <w:t xml:space="preserve">Um certificado genérico de gestão de imóveis não autoriza automaticamente a:</w:t>
      </w:r>
    </w:p>
    <w:p>
      <w:pPr>
        <w:numPr>
          <w:ilvl w:val="0"/>
          <w:numId w:val="1003"/>
        </w:numPr>
        <w:pStyle w:val="Compact"/>
      </w:pPr>
      <w:r>
        <w:t xml:space="preserve">negociar ou executar transações imobiliárias reguladas;</w:t>
      </w:r>
    </w:p>
    <w:p>
      <w:pPr>
        <w:numPr>
          <w:ilvl w:val="0"/>
          <w:numId w:val="1003"/>
        </w:numPr>
        <w:pStyle w:val="Compact"/>
      </w:pPr>
      <w:r>
        <w:t xml:space="preserve">custodiar ou desembolsar fundos fiduciários ou de garantia;</w:t>
      </w:r>
    </w:p>
    <w:p>
      <w:pPr>
        <w:numPr>
          <w:ilvl w:val="0"/>
          <w:numId w:val="1003"/>
        </w:numPr>
        <w:pStyle w:val="Compact"/>
      </w:pPr>
      <w:r>
        <w:t xml:space="preserve">prestar assessoria jurídica ou representar uma parte em tribunal;</w:t>
      </w:r>
    </w:p>
    <w:p>
      <w:pPr>
        <w:numPr>
          <w:ilvl w:val="0"/>
          <w:numId w:val="1003"/>
        </w:numPr>
        <w:pStyle w:val="Compact"/>
      </w:pPr>
      <w:r>
        <w:t xml:space="preserve">realizar serviços de elétrica, gás, hidráulica, engenharia, elevadores, proteção contra incêndio ou outras atividades técnicas reguladas;</w:t>
      </w:r>
    </w:p>
    <w:p>
      <w:pPr>
        <w:numPr>
          <w:ilvl w:val="0"/>
          <w:numId w:val="1003"/>
        </w:numPr>
        <w:pStyle w:val="Compact"/>
      </w:pPr>
      <w:r>
        <w:t xml:space="preserve">tomar decisões profissionais de contabilidade, tributos, seguros ou investimentos fora do escopo do cargo.</w:t>
      </w:r>
    </w:p>
    <w:p>
      <w:pPr>
        <w:pStyle w:val="FirstParagraph"/>
      </w:pPr>
      <w:r>
        <w:t xml:space="preserve">Antes de pagar por treinamento para licença, confirme diretamente as exigências junto à comissão imobiliária, regulador de associações, autoridade habitacional ou órgão competente do estado.</w:t>
      </w:r>
    </w:p>
    <w:bookmarkEnd w:id="24"/>
    <w:bookmarkStart w:id="25" w:name="renda-oficial-nos-estados-unidos"/>
    <w:p>
      <w:pPr>
        <w:pStyle w:val="Heading3"/>
      </w:pPr>
      <w:r>
        <w:t xml:space="preserve">Renda oficial nos Estados Unidos</w:t>
      </w:r>
    </w:p>
    <w:p>
      <w:pPr>
        <w:pStyle w:val="FirstParagraph"/>
      </w:pPr>
      <w:r>
        <w:t xml:space="preserve">A visão salarial atual do O*NET, incorporando dados BLS de 2025, informa mediana nacional de</w:t>
      </w:r>
      <w:r>
        <w:t xml:space="preserve"> </w:t>
      </w:r>
      <w:r>
        <w:rPr>
          <w:bCs/>
          <w:b/>
        </w:rPr>
        <w:t xml:space="preserve">US$ 69.990 por ano / US$ 33,65 por hora</w:t>
      </w:r>
      <w:r>
        <w:t xml:space="preserve">, aproximadamente</w:t>
      </w:r>
      <w:r>
        <w:t xml:space="preserve"> </w:t>
      </w:r>
      <w:r>
        <w:rPr>
          <w:bCs/>
          <w:b/>
        </w:rPr>
        <w:t xml:space="preserve">US$ 41.010</w:t>
      </w:r>
      <w:r>
        <w:t xml:space="preserve"> </w:t>
      </w:r>
      <w:r>
        <w:t xml:space="preserve">no percentil 10 e</w:t>
      </w:r>
      <w:r>
        <w:t xml:space="preserve"> </w:t>
      </w:r>
      <w:r>
        <w:rPr>
          <w:bCs/>
          <w:b/>
        </w:rPr>
        <w:t xml:space="preserve">US$ 139.680</w:t>
      </w:r>
      <w:r>
        <w:t xml:space="preserve"> </w:t>
      </w:r>
      <w:r>
        <w:t xml:space="preserve">no percentil 90.</w:t>
      </w:r>
    </w:p>
    <w:p>
      <w:pPr>
        <w:pStyle w:val="BodyText"/>
      </w:pPr>
      <w:r>
        <w:t xml:space="preserve">O Occupational Outlook Handbook do BLS informa separadamente mediana anual de</w:t>
      </w:r>
      <w:r>
        <w:t xml:space="preserve"> </w:t>
      </w:r>
      <w:r>
        <w:rPr>
          <w:bCs/>
          <w:b/>
        </w:rPr>
        <w:t xml:space="preserve">US$ 66.700 em maio de 2024</w:t>
      </w:r>
      <w:r>
        <w:t xml:space="preserve">, cerca de</w:t>
      </w:r>
      <w:r>
        <w:t xml:space="preserve"> </w:t>
      </w:r>
      <w:r>
        <w:rPr>
          <w:bCs/>
          <w:b/>
        </w:rPr>
        <w:t xml:space="preserve">466.100 empregos</w:t>
      </w:r>
      <w:r>
        <w:t xml:space="preserve">, crescimento projetado de</w:t>
      </w:r>
      <w:r>
        <w:t xml:space="preserve"> </w:t>
      </w:r>
      <w:r>
        <w:rPr>
          <w:bCs/>
          <w:b/>
        </w:rPr>
        <w:t xml:space="preserve">4% de 2024 a 2034</w:t>
      </w:r>
      <w:r>
        <w:t xml:space="preserve"> </w:t>
      </w:r>
      <w:r>
        <w:t xml:space="preserve">e aproximadamente</w:t>
      </w:r>
      <w:r>
        <w:t xml:space="preserve"> </w:t>
      </w:r>
      <w:r>
        <w:rPr>
          <w:bCs/>
          <w:b/>
        </w:rPr>
        <w:t xml:space="preserve">39.000 vagas por ano</w:t>
      </w:r>
      <w:r>
        <w:t xml:space="preserve"> </w:t>
      </w:r>
      <w:r>
        <w:t xml:space="preserve">em média no período.</w:t>
      </w:r>
    </w:p>
    <w:p>
      <w:pPr>
        <w:pStyle w:val="BodyText"/>
      </w:pPr>
      <w:r>
        <w:t xml:space="preserve">Esses valores são estimativas ocupacionais, não promessa de renda.</w:t>
      </w:r>
    </w:p>
    <w:bookmarkEnd w:id="25"/>
    <w:bookmarkStart w:id="26" w:name="Xee677828ee9af4f4c32edb718e69651c25d06ba"/>
    <w:p>
      <w:pPr>
        <w:pStyle w:val="Heading3"/>
      </w:pPr>
      <w:r>
        <w:t xml:space="preserve">Estimativas privadas atuais nos Estados Unidos</w:t>
      </w:r>
    </w:p>
    <w:p>
      <w:pPr>
        <w:numPr>
          <w:ilvl w:val="0"/>
          <w:numId w:val="1004"/>
        </w:numPr>
        <w:pStyle w:val="Compact"/>
      </w:pPr>
      <w:r>
        <w:t xml:space="preserve">A Indeed informou salário-base médio de aproximadamente</w:t>
      </w:r>
      <w:r>
        <w:t xml:space="preserve"> </w:t>
      </w:r>
      <w:r>
        <w:rPr>
          <w:bCs/>
          <w:b/>
        </w:rPr>
        <w:t xml:space="preserve">US$ 66.189 por ano para Property Manager</w:t>
      </w:r>
      <w:r>
        <w:t xml:space="preserve">, com faixa exibida de cerca de</w:t>
      </w:r>
      <w:r>
        <w:t xml:space="preserve"> </w:t>
      </w:r>
      <w:r>
        <w:rPr>
          <w:bCs/>
          <w:b/>
        </w:rPr>
        <w:t xml:space="preserve">US$ 43.430 a US$ 100.875</w:t>
      </w:r>
      <w:r>
        <w:t xml:space="preserve">, atualização em</w:t>
      </w:r>
      <w:r>
        <w:t xml:space="preserve"> </w:t>
      </w:r>
      <w:r>
        <w:rPr>
          <w:bCs/>
          <w:b/>
        </w:rPr>
        <w:t xml:space="preserve">20 de julho de 2026</w:t>
      </w:r>
      <w:r>
        <w:t xml:space="preserve">.</w:t>
      </w:r>
    </w:p>
    <w:p>
      <w:pPr>
        <w:numPr>
          <w:ilvl w:val="0"/>
          <w:numId w:val="1004"/>
        </w:numPr>
        <w:pStyle w:val="Compact"/>
      </w:pPr>
      <w:r>
        <w:t xml:space="preserve">A ZipRecruiter informou aproximadamente</w:t>
      </w:r>
      <w:r>
        <w:t xml:space="preserve"> </w:t>
      </w:r>
      <w:r>
        <w:rPr>
          <w:bCs/>
          <w:b/>
        </w:rPr>
        <w:t xml:space="preserve">US$ 58.335 por ano / US$ 28,05 por hora</w:t>
      </w:r>
      <w:r>
        <w:t xml:space="preserve"> </w:t>
      </w:r>
      <w:r>
        <w:t xml:space="preserve">para Property Manager em</w:t>
      </w:r>
      <w:r>
        <w:t xml:space="preserve"> </w:t>
      </w:r>
      <w:r>
        <w:rPr>
          <w:bCs/>
          <w:b/>
        </w:rPr>
        <w:t xml:space="preserve">19 de julho de 2026</w:t>
      </w:r>
      <w:r>
        <w:t xml:space="preserve">, com faixa majoritária de aproximadamente</w:t>
      </w:r>
      <w:r>
        <w:t xml:space="preserve"> </w:t>
      </w:r>
      <w:r>
        <w:rPr>
          <w:bCs/>
          <w:b/>
        </w:rPr>
        <w:t xml:space="preserve">US$ 44.000 a US$ 68.000</w:t>
      </w:r>
      <w:r>
        <w:t xml:space="preserve"> </w:t>
      </w:r>
      <w:r>
        <w:t xml:space="preserve">e maiores rendimentos em torno de</w:t>
      </w:r>
      <w:r>
        <w:t xml:space="preserve"> </w:t>
      </w:r>
      <w:r>
        <w:rPr>
          <w:bCs/>
          <w:b/>
        </w:rPr>
        <w:t xml:space="preserve">US$ 83.500</w:t>
      </w:r>
      <w:r>
        <w:t xml:space="preserve">.</w:t>
      </w:r>
    </w:p>
    <w:p>
      <w:pPr>
        <w:pStyle w:val="FirstParagraph"/>
      </w:pPr>
      <w:r>
        <w:t xml:space="preserve">Não faça média entre estimativas privadas e dados governamentais. Compare vagas locais, remuneração total, bônus, benefícios de moradia e obrigações de plantão.</w:t>
      </w:r>
    </w:p>
    <w:bookmarkEnd w:id="26"/>
    <w:bookmarkEnd w:id="27"/>
    <w:bookmarkStart w:id="28" w:name="X4d5d610e7e5cb71e1c13da818d641d08bc8f755"/>
    <w:p>
      <w:pPr>
        <w:pStyle w:val="Heading2"/>
      </w:pPr>
      <w:r>
        <w:t xml:space="preserve">4. Habitação justa e atendimento igualitário nos Estados Unidos</w:t>
      </w:r>
    </w:p>
    <w:p>
      <w:pPr>
        <w:pStyle w:val="FirstParagraph"/>
      </w:pPr>
      <w:r>
        <w:t xml:space="preserve">A Fair Housing Act federal proíbe discriminação habitacional por raça, cor, origem nacional, religião, sexo, situação familiar ou deficiência. Leis estaduais e locais podem proteger categorias adicionais.</w:t>
      </w:r>
    </w:p>
    <w:p>
      <w:pPr>
        <w:pStyle w:val="BodyText"/>
      </w:pPr>
      <w:r>
        <w:t xml:space="preserve">Use procedimentos escritos e consistentes para publicidade, consultas, locação, triagem, taxas, manutenção, regras, acesso a instalações, acomodações e reclamações. Não aplique padrões diferentes com base em características protegidas.</w:t>
      </w:r>
    </w:p>
    <w:p>
      <w:pPr>
        <w:pStyle w:val="BodyText"/>
      </w:pPr>
      <w:r>
        <w:t xml:space="preserve">Solicitações relacionadas a deficiência exigem cuidado. Siga os procedimentos do empregador, documente fatos e encaminhe questões que exigem interpretação jurídica.</w:t>
      </w:r>
    </w:p>
    <w:bookmarkEnd w:id="28"/>
    <w:bookmarkStart w:id="29" w:name="X9a3eed0ec5f04133644c49bd73c858f3ae00eb8"/>
    <w:p>
      <w:pPr>
        <w:pStyle w:val="Heading2"/>
      </w:pPr>
      <w:r>
        <w:t xml:space="preserve">5. Financiamento e aprendizagem de menor custo nos Estados Unidos</w:t>
      </w:r>
    </w:p>
    <w:p>
      <w:pPr>
        <w:pStyle w:val="FirstParagraph"/>
      </w:pPr>
      <w:r>
        <w:t xml:space="preserve">Antes de pagar um programa caro:</w:t>
      </w:r>
    </w:p>
    <w:p>
      <w:pPr>
        <w:numPr>
          <w:ilvl w:val="0"/>
          <w:numId w:val="1005"/>
        </w:numPr>
        <w:pStyle w:val="Compact"/>
      </w:pPr>
      <w:r>
        <w:t xml:space="preserve">Verifique se as funções-alvo exigem licença ou credencial estadual.</w:t>
      </w:r>
    </w:p>
    <w:p>
      <w:pPr>
        <w:numPr>
          <w:ilvl w:val="0"/>
          <w:numId w:val="1005"/>
        </w:numPr>
        <w:pStyle w:val="Compact"/>
      </w:pPr>
      <w:r>
        <w:t xml:space="preserve">Consulte um American Job Center sobre elegibilidade para WIOA ou outros serviços públicos de força de trabalho.</w:t>
      </w:r>
    </w:p>
    <w:p>
      <w:pPr>
        <w:numPr>
          <w:ilvl w:val="0"/>
          <w:numId w:val="1005"/>
        </w:numPr>
        <w:pStyle w:val="Compact"/>
      </w:pPr>
      <w:r>
        <w:t xml:space="preserve">Pergunte ao empregador se paga treinamento em software, habitação justa, instalações, contabilidade básica, segurança, associações ou preparação para licença.</w:t>
      </w:r>
    </w:p>
    <w:p>
      <w:pPr>
        <w:numPr>
          <w:ilvl w:val="0"/>
          <w:numId w:val="1005"/>
        </w:numPr>
        <w:pStyle w:val="Compact"/>
      </w:pPr>
      <w:r>
        <w:t xml:space="preserve">Pesquise no Apprenticeship.gov oportunidades atuais de aprendizagem baseada no trabalho em instalações, manutenção, moradia, administração ou atendimento ao cliente; não presuma que exista aprendizagem registrada específica para gestor de imóveis em sua região.</w:t>
      </w:r>
    </w:p>
    <w:p>
      <w:pPr>
        <w:numPr>
          <w:ilvl w:val="0"/>
          <w:numId w:val="1005"/>
        </w:numPr>
        <w:pStyle w:val="Compact"/>
      </w:pPr>
      <w:r>
        <w:t xml:space="preserve">Compare community colleges, bibliotecas, materiais de reguladores e treinamento do empregador antes de programas comerciais.</w:t>
      </w:r>
    </w:p>
    <w:p>
      <w:pPr>
        <w:numPr>
          <w:ilvl w:val="0"/>
          <w:numId w:val="1005"/>
        </w:numPr>
        <w:pStyle w:val="Compact"/>
      </w:pPr>
      <w:r>
        <w:t xml:space="preserve">Obtenha por escrito regras de reembolso ou devolução de auxílio educacional.</w:t>
      </w:r>
    </w:p>
    <w:bookmarkEnd w:id="29"/>
    <w:bookmarkStart w:id="31" w:name="X29b362502bbf028eed95ce8f1ee953d9ee76127"/>
    <w:p>
      <w:pPr>
        <w:pStyle w:val="Heading2"/>
      </w:pPr>
      <w:r>
        <w:t xml:space="preserve">6. Caminho no Canadá</w:t>
      </w:r>
    </w:p>
    <w:p>
      <w:pPr>
        <w:pStyle w:val="FirstParagraph"/>
      </w:pPr>
      <w:r>
        <w:t xml:space="preserve">O Government of Canada Job Bank mapeia trabalho prático de administração residencial para</w:t>
      </w:r>
      <w:r>
        <w:t xml:space="preserve"> </w:t>
      </w:r>
      <w:r>
        <w:rPr>
          <w:bCs/>
          <w:b/>
        </w:rPr>
        <w:t xml:space="preserve">NOC 13101</w:t>
      </w:r>
      <w:r>
        <w:t xml:space="preserve">. Ensino médio costuma ser exigido; cursos de propriedade, strata ou mercado imobiliário e experiência administrativa podem ser necessários.</w:t>
      </w:r>
    </w:p>
    <w:p>
      <w:pPr>
        <w:pStyle w:val="BodyText"/>
      </w:pPr>
      <w:r>
        <w:t xml:space="preserve">O Job Bank informa especificamente que</w:t>
      </w:r>
      <w:r>
        <w:t xml:space="preserve"> </w:t>
      </w:r>
      <w:r>
        <w:rPr>
          <w:bCs/>
          <w:b/>
        </w:rPr>
        <w:t xml:space="preserve">strata property managers na British Columbia precisam de licença</w:t>
      </w:r>
      <w:r>
        <w:t xml:space="preserve">. Outras províncias e territórios podem ter regras diferentes.</w:t>
      </w:r>
    </w:p>
    <w:bookmarkStart w:id="30" w:name="renda-no-canadá"/>
    <w:p>
      <w:pPr>
        <w:pStyle w:val="Heading3"/>
      </w:pPr>
      <w:r>
        <w:t xml:space="preserve">Renda no Canadá</w:t>
      </w:r>
    </w:p>
    <w:p>
      <w:pPr>
        <w:pStyle w:val="FirstParagraph"/>
      </w:pPr>
      <w:r>
        <w:t xml:space="preserve">O Job Bank exibe atualmente aproximadamente</w:t>
      </w:r>
      <w:r>
        <w:t xml:space="preserve"> </w:t>
      </w:r>
      <w:r>
        <w:rPr>
          <w:bCs/>
          <w:b/>
        </w:rPr>
        <w:t xml:space="preserve">CAD 18,46 por hora</w:t>
      </w:r>
      <w:r>
        <w:t xml:space="preserve"> </w:t>
      </w:r>
      <w:r>
        <w:t xml:space="preserve">no nível baixo,</w:t>
      </w:r>
      <w:r>
        <w:t xml:space="preserve"> </w:t>
      </w:r>
      <w:r>
        <w:rPr>
          <w:bCs/>
          <w:b/>
        </w:rPr>
        <w:t xml:space="preserve">CAD 31,25</w:t>
      </w:r>
      <w:r>
        <w:t xml:space="preserve"> </w:t>
      </w:r>
      <w:r>
        <w:t xml:space="preserve">de mediana e</w:t>
      </w:r>
      <w:r>
        <w:t xml:space="preserve"> </w:t>
      </w:r>
      <w:r>
        <w:rPr>
          <w:bCs/>
          <w:b/>
        </w:rPr>
        <w:t xml:space="preserve">CAD 56,41</w:t>
      </w:r>
      <w:r>
        <w:t xml:space="preserve"> </w:t>
      </w:r>
      <w:r>
        <w:t xml:space="preserve">no nível alto para essa rota NOC, com atualização da página salarial em</w:t>
      </w:r>
      <w:r>
        <w:t xml:space="preserve"> </w:t>
      </w:r>
      <w:r>
        <w:rPr>
          <w:bCs/>
          <w:b/>
        </w:rPr>
        <w:t xml:space="preserve">19 de novembro de 2025</w:t>
      </w:r>
      <w:r>
        <w:t xml:space="preserve">.</w:t>
      </w:r>
    </w:p>
    <w:p>
      <w:pPr>
        <w:pStyle w:val="BodyText"/>
      </w:pPr>
      <w:r>
        <w:t xml:space="preserve">Use esses números como contexto, não como previsão pessoal. Antes de comprar uma credencial privada, avalie serviços provinciais de emprego, instituições públicas, programas aprovados pelo regulador, bolsas, auxílio estudantil, treinamento do empregador e aprendizagem baseada no trabalho.</w:t>
      </w:r>
    </w:p>
    <w:bookmarkEnd w:id="30"/>
    <w:bookmarkEnd w:id="31"/>
    <w:bookmarkStart w:id="33" w:name="X0d5a316dea9a1a1e611e9585022aafbbfef0dcb"/>
    <w:p>
      <w:pPr>
        <w:pStyle w:val="Heading2"/>
      </w:pPr>
      <w:r>
        <w:t xml:space="preserve">7. Caminho na Colômbia — propriedade horizontal</w:t>
      </w:r>
    </w:p>
    <w:p>
      <w:pPr>
        <w:pStyle w:val="FirstParagraph"/>
      </w:pPr>
      <w:r>
        <w:t xml:space="preserve">A</w:t>
      </w:r>
      <w:r>
        <w:t xml:space="preserve"> </w:t>
      </w:r>
      <w:r>
        <w:rPr>
          <w:bCs/>
          <w:b/>
        </w:rPr>
        <w:t xml:space="preserve">Ley 675 de 2001</w:t>
      </w:r>
      <w:r>
        <w:t xml:space="preserve"> </w:t>
      </w:r>
      <w:r>
        <w:t xml:space="preserve">regula o régimen de propiedad horizontal na Colômbia. Ela distribui funções de governança e administração entre a assembleia de proprietários, o conselho quando aplicável e o administrador.</w:t>
      </w:r>
    </w:p>
    <w:p>
      <w:pPr>
        <w:pStyle w:val="BodyText"/>
      </w:pPr>
      <w:r>
        <w:t xml:space="preserve">A autoridade do administrador deriva da lei aplicável, do regulamento de propriedade horizontal, das decisões válidas dos órgãos competentes e da nomeação ou contrato. O cargo não cria autoridade ilimitada.</w:t>
      </w:r>
    </w:p>
    <w:p>
      <w:pPr>
        <w:pStyle w:val="BodyText"/>
      </w:pPr>
      <w:r>
        <w:t xml:space="preserve">Um administrador de propriedade horizontal não deve se apresentar automaticamente como autorizado a exercer corretagem imobiliária, assessoria jurídica, funções notariais ou registrais, auditoria ou prática contábil independente, nem serviços técnicos regulados de engenharia, eletricidade, gás, elevadores, estruturas, incêndio ou segurança e saúde ocupacional.</w:t>
      </w:r>
    </w:p>
    <w:p>
      <w:pPr>
        <w:pStyle w:val="BodyText"/>
      </w:pPr>
      <w:r>
        <w:t xml:space="preserve">Antes de assumir o cargo, verifique a lei vigente, regulamento, nomeação, contratos, seguros, regras municipais, proteção de dados, segurança e saúde no trabalho e autorizações financeiras.</w:t>
      </w:r>
    </w:p>
    <w:bookmarkStart w:id="32" w:name="X285faefd7db920f31af61940a4bda90c1f1d4bc"/>
    <w:p>
      <w:pPr>
        <w:pStyle w:val="Heading3"/>
      </w:pPr>
      <w:r>
        <w:t xml:space="preserve">Rotas gratuitas ou de baixo custo na Colômbia</w:t>
      </w:r>
    </w:p>
    <w:p>
      <w:pPr>
        <w:pStyle w:val="FirstParagraph"/>
      </w:pPr>
      <w:r>
        <w:t xml:space="preserve">O SENA é uma fonte pública prioritária. A</w:t>
      </w:r>
      <w:r>
        <w:t xml:space="preserve"> </w:t>
      </w:r>
      <w:r>
        <w:rPr>
          <w:bCs/>
          <w:b/>
        </w:rPr>
        <w:t xml:space="preserve">Agencia Pública de Empleo (APE)</w:t>
      </w:r>
      <w:r>
        <w:t xml:space="preserve"> </w:t>
      </w:r>
      <w:r>
        <w:t xml:space="preserve">oferece serviços gratuitos e vagas atuais ajudam a entender demandas como atendimento a moradores, cobrança autorizada, supervisão de segurança, manutenção e limpeza, coordenação de contratos, reuniões e controle de inventário.</w:t>
      </w:r>
    </w:p>
    <w:p>
      <w:pPr>
        <w:pStyle w:val="BodyText"/>
      </w:pPr>
      <w:r>
        <w:t xml:space="preserve">Use</w:t>
      </w:r>
      <w:r>
        <w:t xml:space="preserve"> </w:t>
      </w:r>
      <w:r>
        <w:rPr>
          <w:bCs/>
          <w:b/>
        </w:rPr>
        <w:t xml:space="preserve">SENA / Betowa</w:t>
      </w:r>
      <w:r>
        <w:t xml:space="preserve"> </w:t>
      </w:r>
      <w:r>
        <w:t xml:space="preserve">para buscar ofertas vigentes em administração, contabilidade básica, Excel, atendimento ao cliente, gestão documental, conflitos, instalações, habilidades digitais e segurança e saúde no trabalho.</w:t>
      </w:r>
    </w:p>
    <w:p>
      <w:pPr>
        <w:pStyle w:val="BodyText"/>
      </w:pPr>
      <w:r>
        <w:t xml:space="preserve">Nesta revisão não foi verificado um curso vigente SENA/Betowa com o título específico de “administración de propiedad horizontal”. Não planeje custos ou matrícula presumindo sua disponibilidade sem confirmar novamente.</w:t>
      </w:r>
    </w:p>
    <w:bookmarkEnd w:id="32"/>
    <w:bookmarkEnd w:id="33"/>
    <w:bookmarkStart w:id="34" w:name="X774f11d9607038ccd5b70753086cd7840e73f9f"/>
    <w:p>
      <w:pPr>
        <w:pStyle w:val="Heading2"/>
      </w:pPr>
      <w:r>
        <w:t xml:space="preserve">8. Outros países da América Latina</w:t>
      </w:r>
    </w:p>
    <w:p>
      <w:pPr>
        <w:pStyle w:val="FirstParagraph"/>
      </w:pPr>
      <w:r>
        <w:t xml:space="preserve">As regras de condomínio, copropriedade, propriedade horizontal, locação, defesa do consumidor, trabalho, tributos, privacidade, incêndio, construção e imóveis variam significativamente.</w:t>
      </w:r>
    </w:p>
    <w:p>
      <w:pPr>
        <w:pStyle w:val="BodyText"/>
      </w:pPr>
      <w:r>
        <w:t xml:space="preserve">Antes de pagar por treinamento ou assumir responsabilidade:</w:t>
      </w:r>
    </w:p>
    <w:p>
      <w:pPr>
        <w:numPr>
          <w:ilvl w:val="0"/>
          <w:numId w:val="1006"/>
        </w:numPr>
        <w:pStyle w:val="Compact"/>
      </w:pPr>
      <w:r>
        <w:t xml:space="preserve">Identifique as autoridades competentes do país e do município.</w:t>
      </w:r>
    </w:p>
    <w:p>
      <w:pPr>
        <w:numPr>
          <w:ilvl w:val="0"/>
          <w:numId w:val="1006"/>
        </w:numPr>
        <w:pStyle w:val="Compact"/>
      </w:pPr>
      <w:r>
        <w:t xml:space="preserve">Verifique licenças, registros, seguros ou supervisão exigidos.</w:t>
      </w:r>
    </w:p>
    <w:p>
      <w:pPr>
        <w:numPr>
          <w:ilvl w:val="0"/>
          <w:numId w:val="1006"/>
        </w:numPr>
        <w:pStyle w:val="Compact"/>
      </w:pPr>
      <w:r>
        <w:t xml:space="preserve">Revise os documentos de governança e a personalidade jurídica da propriedade ou associação.</w:t>
      </w:r>
    </w:p>
    <w:p>
      <w:pPr>
        <w:numPr>
          <w:ilvl w:val="0"/>
          <w:numId w:val="1006"/>
        </w:numPr>
        <w:pStyle w:val="Compact"/>
      </w:pPr>
      <w:r>
        <w:t xml:space="preserve">Confirme como fundos de moradores, proprietários ou empregados devem ser tratados.</w:t>
      </w:r>
    </w:p>
    <w:p>
      <w:pPr>
        <w:numPr>
          <w:ilvl w:val="0"/>
          <w:numId w:val="1006"/>
        </w:numPr>
        <w:pStyle w:val="Compact"/>
      </w:pPr>
      <w:r>
        <w:t xml:space="preserve">Verifique obrigações técnicas com especialistas autorizados.</w:t>
      </w:r>
    </w:p>
    <w:p>
      <w:pPr>
        <w:numPr>
          <w:ilvl w:val="0"/>
          <w:numId w:val="1006"/>
        </w:numPr>
        <w:pStyle w:val="Compact"/>
      </w:pPr>
      <w:r>
        <w:t xml:space="preserve">Priorize instituições públicas, universidades, serviços nacionais de emprego, bolsas oficiais e treinamento do empregador antes de programas privados caros.</w:t>
      </w:r>
    </w:p>
    <w:p>
      <w:pPr>
        <w:pStyle w:val="FirstParagraph"/>
      </w:pPr>
      <w:r>
        <w:t xml:space="preserve">Desconfie de uma única “certificação latino-americana” se o fornecedor não identificar claramente a jurisdição e o reconhecimento legal.</w:t>
      </w:r>
    </w:p>
    <w:bookmarkEnd w:id="34"/>
    <w:bookmarkStart w:id="35" w:name="X838a68cb53b30c16798786170968ede10529b55"/>
    <w:p>
      <w:pPr>
        <w:pStyle w:val="Heading2"/>
      </w:pPr>
      <w:r>
        <w:t xml:space="preserve">9. Plano prático de 12 semanas</w:t>
      </w:r>
    </w:p>
    <w:p>
      <w:pPr>
        <w:pStyle w:val="FirstParagraph"/>
      </w:pPr>
      <w:r>
        <w:rPr>
          <w:bCs/>
          <w:b/>
        </w:rPr>
        <w:t xml:space="preserve">Semanas 1–2:</w:t>
      </w:r>
      <w:r>
        <w:t xml:space="preserve"> </w:t>
      </w:r>
      <w:r>
        <w:t xml:space="preserve">identifique jurisdição, tipo de imóvel e limites legais do cargo.</w:t>
      </w:r>
      <w:r>
        <w:br/>
      </w:r>
      <w:r>
        <w:rPr>
          <w:bCs/>
          <w:b/>
        </w:rPr>
        <w:t xml:space="preserve">Semanas 3–4:</w:t>
      </w:r>
      <w:r>
        <w:t xml:space="preserve"> </w:t>
      </w:r>
      <w:r>
        <w:t xml:space="preserve">pratique comunicações, ordens de serviço e gestão documental.</w:t>
      </w:r>
      <w:r>
        <w:br/>
      </w:r>
      <w:r>
        <w:rPr>
          <w:bCs/>
          <w:b/>
        </w:rPr>
        <w:t xml:space="preserve">Semanas 5–6:</w:t>
      </w:r>
      <w:r>
        <w:t xml:space="preserve"> </w:t>
      </w:r>
      <w:r>
        <w:t xml:space="preserve">pratique com orçamento fictício, faturas, contas a receber e variações, sem confundir apoio contábil com exercício profissional.</w:t>
      </w:r>
      <w:r>
        <w:br/>
      </w:r>
      <w:r>
        <w:rPr>
          <w:bCs/>
          <w:b/>
        </w:rPr>
        <w:t xml:space="preserve">Semanas 7–8:</w:t>
      </w:r>
      <w:r>
        <w:t xml:space="preserve"> </w:t>
      </w:r>
      <w:r>
        <w:t xml:space="preserve">crie portfólio fictício sem dados pessoais: calendário de manutenção, checklist de fornecedores, matriz de escalonamento, painel mensal, acompanhamento de reuniões e relatório de incidentes.</w:t>
      </w:r>
      <w:r>
        <w:br/>
      </w:r>
      <w:r>
        <w:rPr>
          <w:bCs/>
          <w:b/>
        </w:rPr>
        <w:t xml:space="preserve">Semanas 9–10:</w:t>
      </w:r>
      <w:r>
        <w:t xml:space="preserve"> </w:t>
      </w:r>
      <w:r>
        <w:t xml:space="preserve">verifique financiamento público, bolsas, SENA quando aplicável, apoio do empregador e aprendizagem baseada no trabalho antes de pagar.</w:t>
      </w:r>
      <w:r>
        <w:br/>
      </w:r>
      <w:r>
        <w:rPr>
          <w:bCs/>
          <w:b/>
        </w:rPr>
        <w:t xml:space="preserve">Semanas 11–12:</w:t>
      </w:r>
      <w:r>
        <w:t xml:space="preserve"> </w:t>
      </w:r>
      <w:r>
        <w:t xml:space="preserve">candidate-se a funções delimitadas como assistente de gestão, administrador de imóveis, atendimento a moradores, coordenação de instalações, associações ou fornecedores.</w:t>
      </w:r>
    </w:p>
    <w:p>
      <w:pPr>
        <w:pStyle w:val="BodyText"/>
      </w:pPr>
      <w:r>
        <w:t xml:space="preserve">Se um empregador exigir assessoria jurídica sem autorização, manipulação de registros, discriminação, trabalho técnico sem licença, ocultação de incidentes ou desvio de controles de segurança, peça esclarecimento ou recuse a tarefa.</w:t>
      </w:r>
    </w:p>
    <w:bookmarkEnd w:id="35"/>
    <w:bookmarkStart w:id="36" w:name="X4e8b1a2e63465d548941ebf05911d98ec6d349f"/>
    <w:p>
      <w:pPr>
        <w:pStyle w:val="Heading2"/>
      </w:pPr>
      <w:r>
        <w:t xml:space="preserve">10. Como avaliar fornecedores de treinamento</w:t>
      </w:r>
    </w:p>
    <w:p>
      <w:pPr>
        <w:pStyle w:val="FirstParagraph"/>
      </w:pPr>
      <w:r>
        <w:t xml:space="preserve">Um fornecedor sério deve explicar conteúdo, reconhecimento, jurisdição, custo total, cobranças recorrentes, reembolso, instrutores, acessibilidade e se o curso atende a uma exigência legal específica.</w:t>
      </w:r>
    </w:p>
    <w:p>
      <w:pPr>
        <w:pStyle w:val="BodyText"/>
      </w:pPr>
      <w:r>
        <w:t xml:space="preserve">Sinais de alerta:</w:t>
      </w:r>
    </w:p>
    <w:p>
      <w:pPr>
        <w:numPr>
          <w:ilvl w:val="0"/>
          <w:numId w:val="1007"/>
        </w:numPr>
        <w:pStyle w:val="Compact"/>
      </w:pPr>
      <w:r>
        <w:t xml:space="preserve">emprego, salário ou clientes “garantidos”;</w:t>
      </w:r>
    </w:p>
    <w:p>
      <w:pPr>
        <w:numPr>
          <w:ilvl w:val="0"/>
          <w:numId w:val="1007"/>
        </w:numPr>
        <w:pStyle w:val="Compact"/>
      </w:pPr>
      <w:r>
        <w:t xml:space="preserve">“acreditação internacional” sem indicar o acreditador;</w:t>
      </w:r>
    </w:p>
    <w:p>
      <w:pPr>
        <w:numPr>
          <w:ilvl w:val="0"/>
          <w:numId w:val="1007"/>
        </w:numPr>
        <w:pStyle w:val="Compact"/>
      </w:pPr>
      <w:r>
        <w:t xml:space="preserve">pressão para pagamento imediato;</w:t>
      </w:r>
    </w:p>
    <w:p>
      <w:pPr>
        <w:numPr>
          <w:ilvl w:val="0"/>
          <w:numId w:val="1007"/>
        </w:numPr>
        <w:pStyle w:val="Compact"/>
      </w:pPr>
      <w:r>
        <w:t xml:space="preserve">afirmações de que licenças ou leis locais não importam;</w:t>
      </w:r>
    </w:p>
    <w:p>
      <w:pPr>
        <w:numPr>
          <w:ilvl w:val="0"/>
          <w:numId w:val="1007"/>
        </w:numPr>
        <w:pStyle w:val="Compact"/>
      </w:pPr>
      <w:r>
        <w:t xml:space="preserve">promessa de que certificado privado substitui licença ou nomeação oficial;</w:t>
      </w:r>
    </w:p>
    <w:p>
      <w:pPr>
        <w:numPr>
          <w:ilvl w:val="0"/>
          <w:numId w:val="1007"/>
        </w:numPr>
        <w:pStyle w:val="Compact"/>
      </w:pPr>
      <w:r>
        <w:t xml:space="preserve">cobranças recorrentes pouco claras;</w:t>
      </w:r>
    </w:p>
    <w:p>
      <w:pPr>
        <w:numPr>
          <w:ilvl w:val="0"/>
          <w:numId w:val="1007"/>
        </w:numPr>
        <w:pStyle w:val="Compact"/>
      </w:pPr>
      <w:r>
        <w:t xml:space="preserve">pedidos para falsificar experiência, inspeções, orçamentos, faturas, dados de moradores ou evidências de conformidade.</w:t>
      </w:r>
    </w:p>
    <w:bookmarkEnd w:id="36"/>
    <w:bookmarkStart w:id="37" w:name="Xc6445dbb11d8d9563a34fe3df8b9449540e5919"/>
    <w:p>
      <w:pPr>
        <w:pStyle w:val="Heading2"/>
      </w:pPr>
      <w:r>
        <w:t xml:space="preserve">11. Privacidade, cibersegurança, acesso e finanças</w:t>
      </w:r>
    </w:p>
    <w:p>
      <w:pPr>
        <w:pStyle w:val="FirstParagraph"/>
      </w:pPr>
      <w:r>
        <w:t xml:space="preserve">Gestores podem lidar com dados sensíveis de moradores, proprietários, candidatos, empregados, visitantes, fornecedores, contas bancárias, pagamentos, contratos, reclamações, câmeras, credenciais, veículos, contatos de emergência, pedidos de acomodação e segurança do prédio.</w:t>
      </w:r>
    </w:p>
    <w:p>
      <w:pPr>
        <w:pStyle w:val="BodyText"/>
      </w:pPr>
      <w:r>
        <w:t xml:space="preserve">Aplique minimização de dados e privilégio mínimo. Use sistemas aprovados, autenticação forte, compartilhamento seguro e retenção controlada. Não armazene informações sensíveis em dispositivos pessoais nem use serviços não autorizados.</w:t>
      </w:r>
    </w:p>
    <w:p>
      <w:pPr>
        <w:pStyle w:val="BodyText"/>
      </w:pPr>
      <w:r>
        <w:t xml:space="preserve">Mudanças de dados bancários de fornecedores, transferências urgentes, redefinições de senha e instruções incomuns de pagamento podem indicar fraude. Verifique por um segundo canal aprovado.</w:t>
      </w:r>
    </w:p>
    <w:p>
      <w:pPr>
        <w:pStyle w:val="BodyText"/>
      </w:pPr>
      <w:r>
        <w:t xml:space="preserve">Nunca altere registros financeiros, de acesso, incidentes, manutenção, inspeções, contratos ou conformidade para ocultar erro ou disputa.</w:t>
      </w:r>
    </w:p>
    <w:bookmarkEnd w:id="37"/>
    <w:bookmarkStart w:id="38" w:name="Xc60643e39ee2f5b7a67e668dd0ecd38bb030360"/>
    <w:p>
      <w:pPr>
        <w:pStyle w:val="Heading2"/>
      </w:pPr>
      <w:r>
        <w:t xml:space="preserve">12. Uso responsável de IA</w:t>
      </w:r>
    </w:p>
    <w:p>
      <w:pPr>
        <w:pStyle w:val="FirstParagraph"/>
      </w:pPr>
      <w:r>
        <w:t xml:space="preserve">IA pode ajudar com planos de estudo, explicações gerais, rascunhos de comunicação, categorização de manutenção, checklists e exercícios fictícios.</w:t>
      </w:r>
    </w:p>
    <w:p>
      <w:pPr>
        <w:pStyle w:val="BodyText"/>
      </w:pPr>
      <w:r>
        <w:t xml:space="preserve">Não deve ser tratada como fonte autorizada para direitos legais, despejo, interpretação contratual, habitação justa, acomodações por deficiência, triagem de candidatos, emergências, segurança de vida, estruturas, eletricidade, gás, incêndio, elevadores, engenharia, orçamentos, fundos fiduciários, tributos, auditorias ou autoridade de órgãos de governança.</w:t>
      </w:r>
    </w:p>
    <w:p>
      <w:pPr>
        <w:pStyle w:val="BodyText"/>
      </w:pPr>
      <w:r>
        <w:t xml:space="preserve">Fatos de alto impacto devem ser confirmados em documentos oficiais e encaminhados ao gerente, conselho, advogado, contador, regulador, prestador licenciado ou profissional competente.</w:t>
      </w:r>
    </w:p>
    <w:p>
      <w:pPr>
        <w:pStyle w:val="BodyText"/>
      </w:pPr>
      <w:r>
        <w:t xml:space="preserve">Não envie dados sensíveis de moradores, pagamentos, controle de acesso, câmeras, segurança predial, reclamações ou emergências para ferramentas externas de IA sem autorização organizacional explícita e cumprimento de requisitos de privacidade, confidencialidade, segurança, contratos, retenção e fornecedor.</w:t>
      </w:r>
    </w:p>
    <w:bookmarkEnd w:id="38"/>
    <w:bookmarkStart w:id="39" w:name="Xcc976618931de4b882bc0ac6482bc6a37a0708b"/>
    <w:p>
      <w:pPr>
        <w:pStyle w:val="Heading2"/>
      </w:pPr>
      <w:r>
        <w:t xml:space="preserve">13. Acessibilidade e atendimento inclusivo</w:t>
      </w:r>
    </w:p>
    <w:p>
      <w:pPr>
        <w:pStyle w:val="FirstParagraph"/>
      </w:pPr>
      <w:r>
        <w:t xml:space="preserve">Use linguagem clara, documentos legíveis, títulos descritivos e formulários digitais acessíveis quando possível. Não dependa apenas de cor, texto pequeno, imagens digitalizadas inacessíveis ou siglas sem explicação.</w:t>
      </w:r>
    </w:p>
    <w:p>
      <w:pPr>
        <w:pStyle w:val="BodyText"/>
      </w:pPr>
      <w:r>
        <w:t xml:space="preserve">Não presuma que deficiência, idioma, idade, situação familiar ou familiaridade tecnológica definem a capacidade de uma pessoa. Siga procedimentos de acomodação e encaminhe questões especializadas.</w:t>
      </w:r>
    </w:p>
    <w:bookmarkEnd w:id="39"/>
    <w:bookmarkStart w:id="40" w:name="Xc41e96505f57d4de77959e850621545c3189d92"/>
    <w:p>
      <w:pPr>
        <w:pStyle w:val="Heading2"/>
      </w:pPr>
      <w:r>
        <w:t xml:space="preserve">14. Quando parar ou escalar</w:t>
      </w:r>
    </w:p>
    <w:p>
      <w:pPr>
        <w:pStyle w:val="FirstParagraph"/>
      </w:pPr>
      <w:r>
        <w:t xml:space="preserve">Pare e busque orientação autorizada quando a tarefa parecer exigir licença, opinião jurídica, julgamento contábil ou qualificação técnica que você não possui; quando instruções conflitarem com lei, documentos de governança ou segurança; quando pedirem alteração de registros; quando pagamento parecer fraudulento; quando houver risco de discriminação; quando emergência ultrapassar seu treinamento; ou quando dados sensíveis precisarem sair por canal não aprovado.</w:t>
      </w:r>
    </w:p>
    <w:bookmarkEnd w:id="40"/>
    <w:bookmarkStart w:id="55" w:name="X87207d6574efc0fd044c555354dc843e536c376"/>
    <w:p>
      <w:pPr>
        <w:pStyle w:val="Heading2"/>
      </w:pPr>
      <w:r>
        <w:t xml:space="preserve">15. Fontes principais verificadas</w:t>
      </w:r>
    </w:p>
    <w:p>
      <w:pPr>
        <w:numPr>
          <w:ilvl w:val="0"/>
          <w:numId w:val="1008"/>
        </w:numPr>
        <w:pStyle w:val="Compact"/>
      </w:pPr>
      <w:r>
        <w:t xml:space="preserve">O*NET 11-9141.00:</w:t>
      </w:r>
      <w:r>
        <w:t xml:space="preserve"> </w:t>
      </w:r>
      <w:hyperlink r:id="rId41">
        <w:r>
          <w:rPr>
            <w:rStyle w:val="Hyperlink"/>
          </w:rPr>
          <w:t xml:space="preserve">https://www.onetonline.org/link/summary/11-9141.00</w:t>
        </w:r>
      </w:hyperlink>
    </w:p>
    <w:p>
      <w:pPr>
        <w:numPr>
          <w:ilvl w:val="0"/>
          <w:numId w:val="1008"/>
        </w:numPr>
        <w:pStyle w:val="Compact"/>
      </w:pPr>
      <w:r>
        <w:t xml:space="preserve">O*NET salários:</w:t>
      </w:r>
      <w:r>
        <w:t xml:space="preserve"> </w:t>
      </w:r>
      <w:hyperlink r:id="rId42">
        <w:r>
          <w:rPr>
            <w:rStyle w:val="Hyperlink"/>
          </w:rPr>
          <w:t xml:space="preserve">https://www.onetonline.org/link/localwages/11-9141.00</w:t>
        </w:r>
      </w:hyperlink>
    </w:p>
    <w:p>
      <w:pPr>
        <w:numPr>
          <w:ilvl w:val="0"/>
          <w:numId w:val="1008"/>
        </w:numPr>
        <w:pStyle w:val="Compact"/>
      </w:pPr>
      <w:r>
        <w:t xml:space="preserve">BLS Occupational Outlook Handbook:</w:t>
      </w:r>
      <w:r>
        <w:t xml:space="preserve"> </w:t>
      </w:r>
      <w:hyperlink r:id="rId43">
        <w:r>
          <w:rPr>
            <w:rStyle w:val="Hyperlink"/>
          </w:rPr>
          <w:t xml:space="preserve">https://www.bls.gov/ooh/management/property-real-estate-and-community-association-managers.htm</w:t>
        </w:r>
      </w:hyperlink>
    </w:p>
    <w:p>
      <w:pPr>
        <w:numPr>
          <w:ilvl w:val="0"/>
          <w:numId w:val="1008"/>
        </w:numPr>
        <w:pStyle w:val="Compact"/>
      </w:pPr>
      <w:r>
        <w:t xml:space="preserve">HUD Fair Housing Act:</w:t>
      </w:r>
      <w:r>
        <w:t xml:space="preserve"> </w:t>
      </w:r>
      <w:hyperlink r:id="rId44">
        <w:r>
          <w:rPr>
            <w:rStyle w:val="Hyperlink"/>
          </w:rPr>
          <w:t xml:space="preserve">https://www.hud.gov/helping-americans/fair-housing-act-overview</w:t>
        </w:r>
      </w:hyperlink>
    </w:p>
    <w:p>
      <w:pPr>
        <w:numPr>
          <w:ilvl w:val="0"/>
          <w:numId w:val="1008"/>
        </w:numPr>
        <w:pStyle w:val="Compact"/>
      </w:pPr>
      <w:r>
        <w:t xml:space="preserve">CareerOneStop WIOA:</w:t>
      </w:r>
      <w:r>
        <w:t xml:space="preserve"> </w:t>
      </w:r>
      <w:hyperlink r:id="rId45">
        <w:r>
          <w:rPr>
            <w:rStyle w:val="Hyperlink"/>
          </w:rPr>
          <w:t xml:space="preserve">https://www.careeronestop.org/LocalHelp/EmploymentAndTraining/find-WIOA-training-programs.aspx</w:t>
        </w:r>
      </w:hyperlink>
    </w:p>
    <w:p>
      <w:pPr>
        <w:numPr>
          <w:ilvl w:val="0"/>
          <w:numId w:val="1008"/>
        </w:numPr>
        <w:pStyle w:val="Compact"/>
      </w:pPr>
      <w:r>
        <w:t xml:space="preserve">Apprenticeship.gov:</w:t>
      </w:r>
      <w:r>
        <w:t xml:space="preserve"> </w:t>
      </w:r>
      <w:hyperlink r:id="rId46">
        <w:r>
          <w:rPr>
            <w:rStyle w:val="Hyperlink"/>
          </w:rPr>
          <w:t xml:space="preserve">https://www.apprenticeship.gov/</w:t>
        </w:r>
      </w:hyperlink>
    </w:p>
    <w:p>
      <w:pPr>
        <w:numPr>
          <w:ilvl w:val="0"/>
          <w:numId w:val="1008"/>
        </w:numPr>
        <w:pStyle w:val="Compact"/>
      </w:pPr>
      <w:r>
        <w:t xml:space="preserve">Indeed:</w:t>
      </w:r>
      <w:r>
        <w:t xml:space="preserve"> </w:t>
      </w:r>
      <w:hyperlink r:id="rId47">
        <w:r>
          <w:rPr>
            <w:rStyle w:val="Hyperlink"/>
          </w:rPr>
          <w:t xml:space="preserve">https://www.indeed.com/career/property-manager/salaries</w:t>
        </w:r>
      </w:hyperlink>
    </w:p>
    <w:p>
      <w:pPr>
        <w:numPr>
          <w:ilvl w:val="0"/>
          <w:numId w:val="1008"/>
        </w:numPr>
        <w:pStyle w:val="Compact"/>
      </w:pPr>
      <w:r>
        <w:t xml:space="preserve">ZipRecruiter:</w:t>
      </w:r>
      <w:r>
        <w:t xml:space="preserve"> </w:t>
      </w:r>
      <w:hyperlink r:id="rId48">
        <w:r>
          <w:rPr>
            <w:rStyle w:val="Hyperlink"/>
          </w:rPr>
          <w:t xml:space="preserve">https://www.ziprecruiter.com/Salaries/Property-Manager-Salary</w:t>
        </w:r>
      </w:hyperlink>
    </w:p>
    <w:p>
      <w:pPr>
        <w:numPr>
          <w:ilvl w:val="0"/>
          <w:numId w:val="1008"/>
        </w:numPr>
        <w:pStyle w:val="Compact"/>
      </w:pPr>
      <w:r>
        <w:t xml:space="preserve">Job Bank NOC 13101 requisitos:</w:t>
      </w:r>
      <w:r>
        <w:t xml:space="preserve"> </w:t>
      </w:r>
      <w:hyperlink r:id="rId49">
        <w:r>
          <w:rPr>
            <w:rStyle w:val="Hyperlink"/>
          </w:rPr>
          <w:t xml:space="preserve">https://www.jobbank.gc.ca/marketreport/requirements/17717/ca</w:t>
        </w:r>
      </w:hyperlink>
    </w:p>
    <w:p>
      <w:pPr>
        <w:numPr>
          <w:ilvl w:val="0"/>
          <w:numId w:val="1008"/>
        </w:numPr>
        <w:pStyle w:val="Compact"/>
      </w:pPr>
      <w:r>
        <w:t xml:space="preserve">Job Bank NOC 13101 salários:</w:t>
      </w:r>
      <w:r>
        <w:t xml:space="preserve"> </w:t>
      </w:r>
      <w:hyperlink r:id="rId50">
        <w:r>
          <w:rPr>
            <w:rStyle w:val="Hyperlink"/>
          </w:rPr>
          <w:t xml:space="preserve">https://www.jobbank.gc.ca/marketreport/wages-occupation/17717/ca</w:t>
        </w:r>
      </w:hyperlink>
    </w:p>
    <w:p>
      <w:pPr>
        <w:numPr>
          <w:ilvl w:val="0"/>
          <w:numId w:val="1008"/>
        </w:numPr>
        <w:pStyle w:val="Compact"/>
      </w:pPr>
      <w:r>
        <w:t xml:space="preserve">Ley 675 de 2001:</w:t>
      </w:r>
      <w:r>
        <w:t xml:space="preserve"> </w:t>
      </w:r>
      <w:hyperlink r:id="rId51">
        <w:r>
          <w:rPr>
            <w:rStyle w:val="Hyperlink"/>
          </w:rPr>
          <w:t xml:space="preserve">https://www.secretariasenado.gov.co/senado/basedoc/ley_0675_2001.html</w:t>
        </w:r>
      </w:hyperlink>
    </w:p>
    <w:p>
      <w:pPr>
        <w:numPr>
          <w:ilvl w:val="0"/>
          <w:numId w:val="1008"/>
        </w:numPr>
        <w:pStyle w:val="Compact"/>
      </w:pPr>
      <w:r>
        <w:t xml:space="preserve">SUIN-Juriscol:</w:t>
      </w:r>
      <w:r>
        <w:t xml:space="preserve"> </w:t>
      </w:r>
      <w:hyperlink r:id="rId52">
        <w:r>
          <w:rPr>
            <w:rStyle w:val="Hyperlink"/>
          </w:rPr>
          <w:t xml:space="preserve">https://suin-juriscol.gov.co/viewDocument.asp?id=1665811</w:t>
        </w:r>
      </w:hyperlink>
    </w:p>
    <w:p>
      <w:pPr>
        <w:numPr>
          <w:ilvl w:val="0"/>
          <w:numId w:val="1008"/>
        </w:numPr>
        <w:pStyle w:val="Compact"/>
      </w:pPr>
      <w:r>
        <w:t xml:space="preserve">SENA APE:</w:t>
      </w:r>
      <w:r>
        <w:t xml:space="preserve"> </w:t>
      </w:r>
      <w:hyperlink r:id="rId53">
        <w:r>
          <w:rPr>
            <w:rStyle w:val="Hyperlink"/>
          </w:rPr>
          <w:t xml:space="preserve">https://ape.sena.edu.co/</w:t>
        </w:r>
      </w:hyperlink>
    </w:p>
    <w:p>
      <w:pPr>
        <w:numPr>
          <w:ilvl w:val="0"/>
          <w:numId w:val="1008"/>
        </w:numPr>
        <w:pStyle w:val="Compact"/>
      </w:pPr>
      <w:r>
        <w:t xml:space="preserve">SENA Betowa:</w:t>
      </w:r>
      <w:r>
        <w:t xml:space="preserve"> </w:t>
      </w:r>
      <w:hyperlink r:id="rId54">
        <w:r>
          <w:rPr>
            <w:rStyle w:val="Hyperlink"/>
          </w:rPr>
          <w:t xml:space="preserve">https://betowa.sena.edu.co/</w:t>
        </w:r>
      </w:hyperlink>
    </w:p>
    <w:p>
      <w:pPr>
        <w:pStyle w:val="FirstParagraph"/>
      </w:pPr>
      <w:r>
        <w:rPr>
          <w:bCs/>
          <w:b/>
        </w:rPr>
        <w:t xml:space="preserve">Data de verificação das fontes:</w:t>
      </w:r>
      <w:r>
        <w:t xml:space="preserve"> </w:t>
      </w:r>
      <w:r>
        <w:t xml:space="preserve">2026-08-10. Verifique novamente links, disponibilidade de treinamento e requisitos antes de matrícula, licenciamento ou decisão de conformidade.</w:t>
      </w:r>
    </w:p>
    <w:bookmarkEnd w:id="55"/>
    <w:bookmarkStart w:id="56" w:name="nota-final"/>
    <w:p>
      <w:pPr>
        <w:pStyle w:val="Heading2"/>
      </w:pPr>
      <w:r>
        <w:t xml:space="preserve">Nota final</w:t>
      </w:r>
    </w:p>
    <w:p>
      <w:pPr>
        <w:pStyle w:val="FirstParagraph"/>
      </w:pPr>
      <w:r>
        <w:t xml:space="preserve">Este guia é um recurso educacional controlado. Não certifica autoridade legal, licença, acreditação, tradução profissional, conformidade de acessibilidade, revisão humana independente, emprego ou renda.</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pe.sena.edu.co/" TargetMode="External" /><Relationship Type="http://schemas.openxmlformats.org/officeDocument/2006/relationships/hyperlink" Id="rId54" Target="https://betowa.sena.edu.co/" TargetMode="External" /><Relationship Type="http://schemas.openxmlformats.org/officeDocument/2006/relationships/hyperlink" Id="rId52" Target="https://suin-juriscol.gov.co/viewDocument.asp?id=1665811" TargetMode="External" /><Relationship Type="http://schemas.openxmlformats.org/officeDocument/2006/relationships/hyperlink" Id="rId46" Target="https://www.apprenticeship.gov/" TargetMode="External" /><Relationship Type="http://schemas.openxmlformats.org/officeDocument/2006/relationships/hyperlink" Id="rId43" Target="https://www.bls.gov/ooh/management/property-real-estate-and-community-association-managers.htm" TargetMode="External" /><Relationship Type="http://schemas.openxmlformats.org/officeDocument/2006/relationships/hyperlink" Id="rId45" Target="https://www.careeronestop.org/LocalHelp/EmploymentAndTraining/find-WIOA-training-programs.aspx" TargetMode="External" /><Relationship Type="http://schemas.openxmlformats.org/officeDocument/2006/relationships/hyperlink" Id="rId44" Target="https://www.hud.gov/helping-americans/fair-housing-act-overview" TargetMode="External" /><Relationship Type="http://schemas.openxmlformats.org/officeDocument/2006/relationships/hyperlink" Id="rId47" Target="https://www.indeed.com/career/property-manager/salaries" TargetMode="External" /><Relationship Type="http://schemas.openxmlformats.org/officeDocument/2006/relationships/hyperlink" Id="rId49" Target="https://www.jobbank.gc.ca/marketreport/requirements/17717/ca" TargetMode="External" /><Relationship Type="http://schemas.openxmlformats.org/officeDocument/2006/relationships/hyperlink" Id="rId50" Target="https://www.jobbank.gc.ca/marketreport/wages-occupation/17717/ca" TargetMode="External" /><Relationship Type="http://schemas.openxmlformats.org/officeDocument/2006/relationships/hyperlink" Id="rId42" Target="https://www.onetonline.org/link/localwages/11-9141.00" TargetMode="External" /><Relationship Type="http://schemas.openxmlformats.org/officeDocument/2006/relationships/hyperlink" Id="rId41" Target="https://www.onetonline.org/link/summary/11-9141.00" TargetMode="External" /><Relationship Type="http://schemas.openxmlformats.org/officeDocument/2006/relationships/hyperlink" Id="rId51" Target="https://www.secretariasenado.gov.co/senado/basedoc/ley_0675_2001.html" TargetMode="External" /><Relationship Type="http://schemas.openxmlformats.org/officeDocument/2006/relationships/hyperlink" Id="rId48" Target="https://www.ziprecruiter.com/Salaries/Property-Manager-Salary" TargetMode="External" /></Relationships>
</file>

<file path=word/_rels/footnotes.xml.rels><?xml version="1.0" encoding="UTF-8"?><Relationships xmlns="http://schemas.openxmlformats.org/package/2006/relationships"><Relationship Type="http://schemas.openxmlformats.org/officeDocument/2006/relationships/hyperlink" Id="rId53" Target="https://ape.sena.edu.co/" TargetMode="External" /><Relationship Type="http://schemas.openxmlformats.org/officeDocument/2006/relationships/hyperlink" Id="rId54" Target="https://betowa.sena.edu.co/" TargetMode="External" /><Relationship Type="http://schemas.openxmlformats.org/officeDocument/2006/relationships/hyperlink" Id="rId52" Target="https://suin-juriscol.gov.co/viewDocument.asp?id=1665811" TargetMode="External" /><Relationship Type="http://schemas.openxmlformats.org/officeDocument/2006/relationships/hyperlink" Id="rId46" Target="https://www.apprenticeship.gov/" TargetMode="External" /><Relationship Type="http://schemas.openxmlformats.org/officeDocument/2006/relationships/hyperlink" Id="rId43" Target="https://www.bls.gov/ooh/management/property-real-estate-and-community-association-managers.htm" TargetMode="External" /><Relationship Type="http://schemas.openxmlformats.org/officeDocument/2006/relationships/hyperlink" Id="rId45" Target="https://www.careeronestop.org/LocalHelp/EmploymentAndTraining/find-WIOA-training-programs.aspx" TargetMode="External" /><Relationship Type="http://schemas.openxmlformats.org/officeDocument/2006/relationships/hyperlink" Id="rId44" Target="https://www.hud.gov/helping-americans/fair-housing-act-overview" TargetMode="External" /><Relationship Type="http://schemas.openxmlformats.org/officeDocument/2006/relationships/hyperlink" Id="rId47" Target="https://www.indeed.com/career/property-manager/salaries" TargetMode="External" /><Relationship Type="http://schemas.openxmlformats.org/officeDocument/2006/relationships/hyperlink" Id="rId49" Target="https://www.jobbank.gc.ca/marketreport/requirements/17717/ca" TargetMode="External" /><Relationship Type="http://schemas.openxmlformats.org/officeDocument/2006/relationships/hyperlink" Id="rId50" Target="https://www.jobbank.gc.ca/marketreport/wages-occupation/17717/ca" TargetMode="External" /><Relationship Type="http://schemas.openxmlformats.org/officeDocument/2006/relationships/hyperlink" Id="rId42" Target="https://www.onetonline.org/link/localwages/11-9141.00" TargetMode="External" /><Relationship Type="http://schemas.openxmlformats.org/officeDocument/2006/relationships/hyperlink" Id="rId41" Target="https://www.onetonline.org/link/summary/11-9141.00" TargetMode="External" /><Relationship Type="http://schemas.openxmlformats.org/officeDocument/2006/relationships/hyperlink" Id="rId51" Target="https://www.secretariasenado.gov.co/senado/basedoc/ley_0675_2001.html" TargetMode="External" /><Relationship Type="http://schemas.openxmlformats.org/officeDocument/2006/relationships/hyperlink" Id="rId48" Target="https://www.ziprecruiter.com/Salaries/Property-Manag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2026-08-10T11:07:34Z</dcterms:created>
  <dcterms:modified xsi:type="dcterms:W3CDTF">2026-08-10T11:07:34Z</dcterms:modified>
</cp:coreProperties>
</file>

<file path=docProps/custom.xml><?xml version="1.0" encoding="utf-8"?>
<Properties xmlns="http://schemas.openxmlformats.org/officeDocument/2006/custom-properties" xmlns:vt="http://schemas.openxmlformats.org/officeDocument/2006/docPropsVTypes"/>
</file>