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2" w:name="X0e5f13612bf47742994f578cb02725d3c83df1d"/>
    <w:p>
      <w:pPr>
        <w:pStyle w:val="Heading1"/>
      </w:pPr>
      <w:r>
        <w:t xml:space="preserve">Guia 42 — Pintor e trabalhador de revestimentos</w:t>
      </w:r>
    </w:p>
    <w:p>
      <w:pPr>
        <w:pStyle w:val="FirstParagraph"/>
      </w:pPr>
      <w:r>
        <w:rPr>
          <w:bCs/>
          <w:b/>
        </w:rPr>
        <w:t xml:space="preserve">Mestre de trabalho controlado em português brasileiro — versão 2.0</w:t>
      </w:r>
      <w:r>
        <w:br/>
      </w:r>
      <w:r>
        <w:rPr>
          <w:bCs/>
          <w:b/>
        </w:rPr>
        <w:t xml:space="preserve">Data de revisão:</w:t>
      </w:r>
      <w:r>
        <w:t xml:space="preserve"> </w:t>
      </w:r>
      <w:r>
        <w:t xml:space="preserve">16 de agosto de 2026</w:t>
      </w:r>
      <w:r>
        <w:br/>
      </w:r>
      <w:r>
        <w:rPr>
          <w:bCs/>
          <w:b/>
        </w:rPr>
        <w:t xml:space="preserve">Licença:</w:t>
      </w:r>
      <w:r>
        <w:t xml:space="preserve"> </w:t>
      </w:r>
      <w:r>
        <w:t xml:space="preserve">CC BY-NC-SA 4.0</w:t>
      </w:r>
    </w:p>
    <w:bookmarkStart w:id="20" w:name="o-que-é-este-trabalho"/>
    <w:p>
      <w:pPr>
        <w:pStyle w:val="Heading2"/>
      </w:pPr>
      <w:r>
        <w:t xml:space="preserve">O que é este trabalho</w:t>
      </w:r>
    </w:p>
    <w:p>
      <w:pPr>
        <w:pStyle w:val="FirstParagraph"/>
      </w:pPr>
      <w:r>
        <w:t xml:space="preserve">O trabalho com pintura e revestimentos inclui mais de uma trajetória ocupacional. Este guia separa duas formas de trabalho relacionadas para evitar que o leitor suponha que a mesma formação, os mesmos riscos, salários ou credenciais se apliquem a todos os contextos.</w:t>
      </w:r>
    </w:p>
    <w:p>
      <w:pPr>
        <w:pStyle w:val="BodyText"/>
      </w:pPr>
      <w:r>
        <w:rPr>
          <w:bCs/>
          <w:b/>
        </w:rPr>
        <w:t xml:space="preserve">Pintores de construção e manutenção</w:t>
      </w:r>
      <w:r>
        <w:t xml:space="preserve"> </w:t>
      </w:r>
      <w:r>
        <w:t xml:space="preserve">preparam e revestem paredes, tetos, edifícios, pontes, máquinas, equipamentos e outras estruturas. Podem trabalhar em ambientes internos ou externos, no nível do solo ou em altura, em construção nova, reforma, manutenção ou infraestrutura.</w:t>
      </w:r>
    </w:p>
    <w:p>
      <w:pPr>
        <w:pStyle w:val="BodyText"/>
      </w:pPr>
      <w:r>
        <w:rPr>
          <w:bCs/>
          <w:b/>
        </w:rPr>
        <w:t xml:space="preserve">Trabalhadores de pintura e revestimento industrial</w:t>
      </w:r>
      <w:r>
        <w:t xml:space="preserve"> </w:t>
      </w:r>
      <w:r>
        <w:t xml:space="preserve">podem usar pistolas de pulverização, sistemas de rolos, máquinas de revestimento, equipamentos de pintura a pó ou outros processos de produção para aplicar acabamentos protetivos ou decorativos em metal, madeira, plástico, equipamentos de transporte, produtos manufaturados e outras superfícies.</w:t>
      </w:r>
    </w:p>
    <w:p>
      <w:pPr>
        <w:pStyle w:val="BodyText"/>
      </w:pPr>
      <w:r>
        <w:t xml:space="preserve">Os empregadores podem usar cargos como pintor, pintor de construção, pintor de manutenção, pintor industrial, pintor por pulverização, aplicador de pintura a pó, pintor automotivo, operador de revestimento, técnico de pintura, trabalhador de preparação de superfícies, pintor-decorador ou operador de acabamento. O escopo exato varia conforme o empregador e a jurisdição.</w:t>
      </w:r>
    </w:p>
    <w:p>
      <w:pPr>
        <w:pStyle w:val="BodyText"/>
      </w:pPr>
      <w:r>
        <w:t xml:space="preserve">Este guia é destinado à exploração e preparação profissional. Verifique os requisitos locais vigentes, regras de licenciamento ou certificação, requisitos de segurança e disponibilidade de treinamento antes de pagar por um programa ou aceitar um trabalho.</w:t>
      </w:r>
    </w:p>
    <w:bookmarkEnd w:id="20"/>
    <w:bookmarkStart w:id="21" w:name="o-que-você-pode-fazer"/>
    <w:p>
      <w:pPr>
        <w:pStyle w:val="Heading2"/>
      </w:pPr>
      <w:r>
        <w:t xml:space="preserve">O que você pode fazer</w:t>
      </w:r>
    </w:p>
    <w:p>
      <w:pPr>
        <w:pStyle w:val="FirstParagraph"/>
      </w:pPr>
      <w:r>
        <w:t xml:space="preserve">Dependendo da trajetória e do empregador, as responsabilidades podem incluir:</w:t>
      </w:r>
    </w:p>
    <w:p>
      <w:pPr>
        <w:numPr>
          <w:ilvl w:val="0"/>
          <w:numId w:val="1001"/>
        </w:numPr>
        <w:pStyle w:val="Compact"/>
      </w:pPr>
      <w:r>
        <w:t xml:space="preserve">inspecionar superfícies e identificar necessidades de preparação;</w:t>
      </w:r>
    </w:p>
    <w:p>
      <w:pPr>
        <w:numPr>
          <w:ilvl w:val="0"/>
          <w:numId w:val="1001"/>
        </w:numPr>
        <w:pStyle w:val="Compact"/>
      </w:pPr>
      <w:r>
        <w:t xml:space="preserve">proteger áreas próximas, equipamentos, acessórios ou produtos contra excesso de pulverização ou contaminação;</w:t>
      </w:r>
    </w:p>
    <w:p>
      <w:pPr>
        <w:numPr>
          <w:ilvl w:val="0"/>
          <w:numId w:val="1001"/>
        </w:numPr>
        <w:pStyle w:val="Compact"/>
      </w:pPr>
      <w:r>
        <w:t xml:space="preserve">limpar, mascarar, raspar, lixar, abrasionar, aplicar primer, selar ou preparar de outra forma superfícies aprovadas usando métodos autorizados pelo empregador;</w:t>
      </w:r>
    </w:p>
    <w:p>
      <w:pPr>
        <w:numPr>
          <w:ilvl w:val="0"/>
          <w:numId w:val="1001"/>
        </w:numPr>
        <w:pStyle w:val="Compact"/>
      </w:pPr>
      <w:r>
        <w:t xml:space="preserve">selecionar ou preparar materiais de revestimento conforme especificações e instruções do fabricante;</w:t>
      </w:r>
    </w:p>
    <w:p>
      <w:pPr>
        <w:numPr>
          <w:ilvl w:val="0"/>
          <w:numId w:val="1001"/>
        </w:numPr>
        <w:pStyle w:val="Compact"/>
      </w:pPr>
      <w:r>
        <w:t xml:space="preserve">aplicar tinta, primer, stain, verniz, laca, revestimentos protetivos ou acabamentos relacionados usando pincéis, rolos, equipamentos de pulverização ou máquinas de produção;</w:t>
      </w:r>
    </w:p>
    <w:p>
      <w:pPr>
        <w:numPr>
          <w:ilvl w:val="0"/>
          <w:numId w:val="1001"/>
        </w:numPr>
        <w:pStyle w:val="Compact"/>
      </w:pPr>
      <w:r>
        <w:t xml:space="preserve">operar ou acompanhar equipamentos de revestimento, pulverização, rolagem, cura ou acabamento quando treinado e autorizado;</w:t>
      </w:r>
    </w:p>
    <w:p>
      <w:pPr>
        <w:numPr>
          <w:ilvl w:val="0"/>
          <w:numId w:val="1001"/>
        </w:numPr>
        <w:pStyle w:val="Compact"/>
      </w:pPr>
      <w:r>
        <w:t xml:space="preserve">verificar cor, cobertura, espessura, aderência, qualidade do acabamento, defeitos ou consistência de produção;</w:t>
      </w:r>
    </w:p>
    <w:p>
      <w:pPr>
        <w:numPr>
          <w:ilvl w:val="0"/>
          <w:numId w:val="1001"/>
        </w:numPr>
        <w:pStyle w:val="Compact"/>
      </w:pPr>
      <w:r>
        <w:t xml:space="preserve">manter áreas de trabalho e ferramentas ou equipamentos autorizados;</w:t>
      </w:r>
    </w:p>
    <w:p>
      <w:pPr>
        <w:numPr>
          <w:ilvl w:val="0"/>
          <w:numId w:val="1001"/>
        </w:numPr>
        <w:pStyle w:val="Compact"/>
      </w:pPr>
      <w:r>
        <w:t xml:space="preserve">ler ordens de serviço, rótulos de produtos, fichas de dados de segurança, fichas de dados técnicos, desenhos e especificações de revestimento;</w:t>
      </w:r>
    </w:p>
    <w:p>
      <w:pPr>
        <w:numPr>
          <w:ilvl w:val="0"/>
          <w:numId w:val="1001"/>
        </w:numPr>
        <w:pStyle w:val="Compact"/>
      </w:pPr>
      <w:r>
        <w:t xml:space="preserve">registrar materiais, lotes, observações de qualidade, conclusão do trabalho ou resultados de inspeção; e</w:t>
      </w:r>
    </w:p>
    <w:p>
      <w:pPr>
        <w:numPr>
          <w:ilvl w:val="0"/>
          <w:numId w:val="1001"/>
        </w:numPr>
        <w:pStyle w:val="Compact"/>
      </w:pPr>
      <w:r>
        <w:t xml:space="preserve">interromper e escalar a situação quando o substrato, revestimento, ambiente, ventilação, equipamento, condição de material perigoso ou trabalho em altura estiver inseguro ou fora de sua autorização.</w:t>
      </w:r>
    </w:p>
    <w:p>
      <w:pPr>
        <w:pStyle w:val="FirstParagraph"/>
      </w:pPr>
      <w:r>
        <w:t xml:space="preserve">Pintores de construção podem passar mais tempo em canteiros variáveis, escadas, andaimes, trabalhos externos, reformas, superfícies de edifícios e atividades voltadas ao cliente. Trabalhadores de revestimento industrial podem passar mais tempo em fábricas, cabines de pintura, linhas de produção, instalações de repintura, áreas controladas de revestimento ou ambientes de manufatura.</w:t>
      </w:r>
    </w:p>
    <w:bookmarkEnd w:id="21"/>
    <w:bookmarkStart w:id="22" w:name="Xe910fcca8e617bb66b2fa01d48f99900a5d6cdf"/>
    <w:p>
      <w:pPr>
        <w:pStyle w:val="Heading2"/>
      </w:pPr>
      <w:r>
        <w:t xml:space="preserve">Ambiente de trabalho e exigências físicas</w:t>
      </w:r>
    </w:p>
    <w:p>
      <w:pPr>
        <w:pStyle w:val="FirstParagraph"/>
      </w:pPr>
      <w:r>
        <w:t xml:space="preserve">O trabalho com pintura e revestimentos pode exigir ficar em pé, curvar-se, ajoelhar-se, alcançar, levantar peso, subir, realizar movimentos repetitivos dos braços, fazer inspeção visual cuidadosa e trabalhar em ambientes quentes, frios, empoeirados, ruidosos, úmidos ou confinados. Alguns empregos exigem viagens ou trabalho externo sazonal.</w:t>
      </w:r>
    </w:p>
    <w:p>
      <w:pPr>
        <w:pStyle w:val="BodyText"/>
      </w:pPr>
      <w:r>
        <w:t xml:space="preserve">O BLS observa que pintores de construção e manutenção podem trabalhar em alturas extremas ou em posições desconfortáveis e podem ficar expostos a quedas, distensões, poeira e outros irritantes. O revestimento industrial pode acrescentar riscos ligados a máquinas, sistemas pressurizados, materiais de acabamento inflamáveis ou combustíveis, pós, solventes, processos de cura e linhas de produção.</w:t>
      </w:r>
    </w:p>
    <w:p>
      <w:pPr>
        <w:pStyle w:val="BodyText"/>
      </w:pPr>
      <w:r>
        <w:t xml:space="preserve">O leitor deve avaliar as exigências físicas e ambientais reais de um emprego específico. Quando aplicável, trabalhadores podem solicitar adaptações legalmente permitidas, mas a viabilidade de uma adaptação depende das funções essenciais e dos requisitos de segurança do cargo.</w:t>
      </w:r>
    </w:p>
    <w:bookmarkEnd w:id="22"/>
    <w:bookmarkStart w:id="23" w:name="segurança-vem-antes-da-velocidade"/>
    <w:p>
      <w:pPr>
        <w:pStyle w:val="Heading2"/>
      </w:pPr>
      <w:r>
        <w:t xml:space="preserve">Segurança vem antes da velocidade</w:t>
      </w:r>
    </w:p>
    <w:p>
      <w:pPr>
        <w:pStyle w:val="FirstParagraph"/>
      </w:pPr>
      <w:r>
        <w:t xml:space="preserve">Pintura e revestimentos podem se tornar perigosos rapidamente quando o trabalho envolve revestimentos antigos desconhecidos, jateamento abrasivo, acabamento por pulverização, materiais inflamáveis, riscos respiratórios, trabalho em altura, espaços confinados, equipamentos elétricos ou ventilação mal controlada.</w:t>
      </w:r>
    </w:p>
    <w:p>
      <w:pPr>
        <w:pStyle w:val="BodyText"/>
      </w:pPr>
      <w:r>
        <w:t xml:space="preserve">Não improvise cabine de pulverização, programa de respiradores, sistema de ventilação, método de proteção contra quedas, andaime, montagem de escada, procedimento para espaço confinado, processo de jateamento abrasivo nem remoção de revestimento perigoso. Siga os procedimentos do empregador, instruções do fabricante, fichas de dados de segurança, fichas de dados técnicos e os regulamentos aplicáveis onde você trabalha.</w:t>
      </w:r>
    </w:p>
    <w:p>
      <w:pPr>
        <w:pStyle w:val="BodyText"/>
      </w:pPr>
      <w:r>
        <w:t xml:space="preserve">Pare e escale a situação se:</w:t>
      </w:r>
    </w:p>
    <w:p>
      <w:pPr>
        <w:numPr>
          <w:ilvl w:val="0"/>
          <w:numId w:val="1002"/>
        </w:numPr>
        <w:pStyle w:val="Compact"/>
      </w:pPr>
      <w:r>
        <w:t xml:space="preserve">uma superfície puder conter chumbo, amianto ou outro material perigoso antigo e sua condição não tiver sido avaliada;</w:t>
      </w:r>
    </w:p>
    <w:p>
      <w:pPr>
        <w:numPr>
          <w:ilvl w:val="0"/>
          <w:numId w:val="1002"/>
        </w:numPr>
        <w:pStyle w:val="Compact"/>
      </w:pPr>
      <w:r>
        <w:t xml:space="preserve">ventilação, proteção respiratória, aterramento, proteção contra incêndio ou EPI exigido estiver ausente ou pouco claro;</w:t>
      </w:r>
    </w:p>
    <w:p>
      <w:pPr>
        <w:numPr>
          <w:ilvl w:val="0"/>
          <w:numId w:val="1002"/>
        </w:numPr>
        <w:pStyle w:val="Compact"/>
      </w:pPr>
      <w:r>
        <w:t xml:space="preserve">escada, andaime, ancoragem, guarda-corpo, sistema de arnês ou método de acesso parecer inseguro;</w:t>
      </w:r>
    </w:p>
    <w:p>
      <w:pPr>
        <w:numPr>
          <w:ilvl w:val="0"/>
          <w:numId w:val="1002"/>
        </w:numPr>
        <w:pStyle w:val="Compact"/>
      </w:pPr>
      <w:r>
        <w:t xml:space="preserve">um revestimento ou solvente estiver sem rótulo ou sem as informações de segurança exigidas;</w:t>
      </w:r>
    </w:p>
    <w:p>
      <w:pPr>
        <w:numPr>
          <w:ilvl w:val="0"/>
          <w:numId w:val="1002"/>
        </w:numPr>
        <w:pStyle w:val="Compact"/>
      </w:pPr>
      <w:r>
        <w:t xml:space="preserve">materiais incompatíveis puderem ser misturados ou usados na mesma área;</w:t>
      </w:r>
    </w:p>
    <w:p>
      <w:pPr>
        <w:numPr>
          <w:ilvl w:val="0"/>
          <w:numId w:val="1002"/>
        </w:numPr>
        <w:pStyle w:val="Compact"/>
      </w:pPr>
      <w:r>
        <w:t xml:space="preserve">uma área de pulverização tiver fonte de ignição, falha de ventilação ou acúmulo não controlado de vapor ou pó;</w:t>
      </w:r>
    </w:p>
    <w:p>
      <w:pPr>
        <w:numPr>
          <w:ilvl w:val="0"/>
          <w:numId w:val="1002"/>
        </w:numPr>
        <w:pStyle w:val="Compact"/>
      </w:pPr>
      <w:r>
        <w:t xml:space="preserve">um espaço confinado ou fechado não tiver sido avaliado e autorizado conforme o procedimento aplicável; ou</w:t>
      </w:r>
    </w:p>
    <w:p>
      <w:pPr>
        <w:numPr>
          <w:ilvl w:val="0"/>
          <w:numId w:val="1002"/>
        </w:numPr>
        <w:pStyle w:val="Compact"/>
      </w:pPr>
      <w:r>
        <w:t xml:space="preserve">você não tiver treinamento ou autorização para o equipamento ou processo.</w:t>
      </w:r>
    </w:p>
    <w:bookmarkEnd w:id="23"/>
    <w:bookmarkStart w:id="24" w:name="X2648a028acde7502c89eb107f4ecda5b7905fee"/>
    <w:p>
      <w:pPr>
        <w:pStyle w:val="Heading2"/>
      </w:pPr>
      <w:r>
        <w:t xml:space="preserve">Chumbo, revestimentos antigos e perturbação de superfícies perigosas</w:t>
      </w:r>
    </w:p>
    <w:p>
      <w:pPr>
        <w:pStyle w:val="FirstParagraph"/>
      </w:pPr>
      <w:r>
        <w:t xml:space="preserve">Superfícies antigas pintadas ou revestidas podem conter substâncias perigosas. Nos Estados Unidos, a norma de chumbo na construção da OSHA,</w:t>
      </w:r>
      <w:r>
        <w:t xml:space="preserve"> </w:t>
      </w:r>
      <w:r>
        <w:rPr>
          <w:bCs/>
          <w:b/>
        </w:rPr>
        <w:t xml:space="preserve">29 CFR 1926.62</w:t>
      </w:r>
      <w:r>
        <w:t xml:space="preserve">, aplica-se ao trabalho de construção no qual os empregados podem ficar ocupacionalmente expostos ao chumbo, incluindo pintura e decoração, reforma, raspagem, lixamento, pintura por pulverização com tinta contendo chumbo e jateamento abrasivo onde existam revestimentos com chumbo.</w:t>
      </w:r>
    </w:p>
    <w:p>
      <w:pPr>
        <w:pStyle w:val="BodyText"/>
      </w:pPr>
      <w:r>
        <w:t xml:space="preserve">Isso</w:t>
      </w:r>
      <w:r>
        <w:t xml:space="preserve"> </w:t>
      </w:r>
      <w:r>
        <w:rPr>
          <w:bCs/>
          <w:b/>
        </w:rPr>
        <w:t xml:space="preserve">não</w:t>
      </w:r>
      <w:r>
        <w:t xml:space="preserve"> </w:t>
      </w:r>
      <w:r>
        <w:t xml:space="preserve">significa que todo revestimento antigo contenha chumbo e não autoriza um trabalhador a testar ou remover por conta própria um revestimento suspeito. Significa que revestimentos perigosos conhecidos ou de condição desconhecida exigem a avaliação e os controles aplicáveis do empregador antes de serem perturbados.</w:t>
      </w:r>
    </w:p>
    <w:p>
      <w:pPr>
        <w:pStyle w:val="BodyText"/>
      </w:pPr>
      <w:r>
        <w:t xml:space="preserve">Por isso, a versão 2 usa um limite simples:</w:t>
      </w:r>
      <w:r>
        <w:t xml:space="preserve"> </w:t>
      </w:r>
      <w:r>
        <w:rPr>
          <w:bCs/>
          <w:b/>
        </w:rPr>
        <w:t xml:space="preserve">se a condição do material perigoso for desconhecida, pare e obtenha a avaliação exigida antes de perturbar a superfície.</w:t>
      </w:r>
      <w:r>
        <w:t xml:space="preserve"> </w:t>
      </w:r>
      <w:r>
        <w:t xml:space="preserve">Cautela semelhante vale para materiais que possam conter amianto e outros substratos contaminados.</w:t>
      </w:r>
    </w:p>
    <w:bookmarkEnd w:id="24"/>
    <w:bookmarkStart w:id="25" w:name="X0d055831d9c14397c37e2d12243cfa007e62da0"/>
    <w:p>
      <w:pPr>
        <w:pStyle w:val="Heading2"/>
      </w:pPr>
      <w:r>
        <w:t xml:space="preserve">Acabamento por pulverização, solventes e riscos de incêndio/explosão</w:t>
      </w:r>
    </w:p>
    <w:p>
      <w:pPr>
        <w:pStyle w:val="FirstParagraph"/>
      </w:pPr>
      <w:r>
        <w:t xml:space="preserve">A OSHA</w:t>
      </w:r>
      <w:r>
        <w:t xml:space="preserve"> </w:t>
      </w:r>
      <w:r>
        <w:rPr>
          <w:bCs/>
          <w:b/>
        </w:rPr>
        <w:t xml:space="preserve">29 CFR 1910.107</w:t>
      </w:r>
      <w:r>
        <w:t xml:space="preserve"> </w:t>
      </w:r>
      <w:r>
        <w:t xml:space="preserve">trata do acabamento por pulverização com materiais inflamáveis e combustíveis. Ela inclui requisitos relacionados a áreas de pulverização, ventilação e exaustão, controle de fontes de ignição, aterramento e equipotencialização, construção de cabines, organização e limpeza, descarte de resíduos, manuseio de líquidos inflamáveis, pintura a pó e proteção contra incêndio.</w:t>
      </w:r>
    </w:p>
    <w:p>
      <w:pPr>
        <w:pStyle w:val="BodyText"/>
      </w:pPr>
      <w:r>
        <w:t xml:space="preserve">Um guia de carreira não pode determinar o projeto correto de uma cabine, taxa de ventilação, classificação elétrica, método de aterramento ou sistema de proteção contra incêndio para uma instalação específica. Esses controles pertencem a empregadores qualificados, engenheiros, profissionais de segurança e autoridades competentes.</w:t>
      </w:r>
    </w:p>
    <w:p>
      <w:pPr>
        <w:pStyle w:val="BodyText"/>
      </w:pPr>
      <w:r>
        <w:t xml:space="preserve">Os trabalhadores devem saber localizar e seguir a ficha de dados de segurança e a ficha de dados técnicos do produto e devem relatar rótulos ausentes, equipamentos danificados, alarmes de ventilação, odores fortes inesperados, vazamentos, derramamentos, acúmulo visível de vapor ou pó e outras condições anormais pelo processo do empregador.</w:t>
      </w:r>
    </w:p>
    <w:bookmarkEnd w:id="25"/>
    <w:bookmarkStart w:id="26" w:name="proteção-respiratória"/>
    <w:p>
      <w:pPr>
        <w:pStyle w:val="Heading2"/>
      </w:pPr>
      <w:r>
        <w:t xml:space="preserve">Proteção respiratória</w:t>
      </w:r>
    </w:p>
    <w:p>
      <w:pPr>
        <w:pStyle w:val="FirstParagraph"/>
      </w:pPr>
      <w:r>
        <w:t xml:space="preserve">Respiradores não são intercambiáveis com coberturas faciais comuns, e um cartucho adequado para um risco pode ser inadequado para outro. Nos Estados Unidos, a OSHA</w:t>
      </w:r>
      <w:r>
        <w:t xml:space="preserve"> </w:t>
      </w:r>
      <w:r>
        <w:rPr>
          <w:bCs/>
          <w:b/>
        </w:rPr>
        <w:t xml:space="preserve">29 CFR 1910.134</w:t>
      </w:r>
      <w:r>
        <w:t xml:space="preserve"> </w:t>
      </w:r>
      <w:r>
        <w:t xml:space="preserve">estabelece requisitos de programa de proteção respiratória quando respiradores são exigidos, incluindo avaliação médica, teste de vedação, seleção, treinamento, manutenção e administração do programa.</w:t>
      </w:r>
    </w:p>
    <w:p>
      <w:pPr>
        <w:pStyle w:val="BodyText"/>
      </w:pPr>
      <w:r>
        <w:t xml:space="preserve">Não escolha por conta própria um respirador ou cartucho como substituto da avaliação de perigos e do programa de proteção respiratória do empregador. Se um respirador for exigido, use somente o equipamento, filtros/cartuchos, processo de teste de vedação e cronograma de substituição aprovados para aquele trabalho.</w:t>
      </w:r>
    </w:p>
    <w:bookmarkEnd w:id="26"/>
    <w:bookmarkStart w:id="27" w:name="habilidades-importantes"/>
    <w:p>
      <w:pPr>
        <w:pStyle w:val="Heading2"/>
      </w:pPr>
      <w:r>
        <w:t xml:space="preserve">Habilidades importantes</w:t>
      </w:r>
    </w:p>
    <w:p>
      <w:pPr>
        <w:pStyle w:val="FirstParagraph"/>
      </w:pPr>
      <w:r>
        <w:t xml:space="preserve">Os empregadores costumam valorizar:</w:t>
      </w:r>
    </w:p>
    <w:p>
      <w:pPr>
        <w:numPr>
          <w:ilvl w:val="0"/>
          <w:numId w:val="1003"/>
        </w:numPr>
        <w:pStyle w:val="Compact"/>
      </w:pPr>
      <w:r>
        <w:t xml:space="preserve">inspeção e preparação cuidadosa de superfícies;</w:t>
      </w:r>
    </w:p>
    <w:p>
      <w:pPr>
        <w:numPr>
          <w:ilvl w:val="0"/>
          <w:numId w:val="1003"/>
        </w:numPr>
        <w:pStyle w:val="Compact"/>
      </w:pPr>
      <w:r>
        <w:t xml:space="preserve">atenção aos detalhes e à qualidade do acabamento;</w:t>
      </w:r>
    </w:p>
    <w:p>
      <w:pPr>
        <w:numPr>
          <w:ilvl w:val="0"/>
          <w:numId w:val="1003"/>
        </w:numPr>
        <w:pStyle w:val="Compact"/>
      </w:pPr>
      <w:r>
        <w:t xml:space="preserve">capacidade de seguir especificações escritas e instruções do fabricante;</w:t>
      </w:r>
    </w:p>
    <w:p>
      <w:pPr>
        <w:numPr>
          <w:ilvl w:val="0"/>
          <w:numId w:val="1003"/>
        </w:numPr>
        <w:pStyle w:val="Compact"/>
      </w:pPr>
      <w:r>
        <w:t xml:space="preserve">medição e aritmética básicas;</w:t>
      </w:r>
    </w:p>
    <w:p>
      <w:pPr>
        <w:numPr>
          <w:ilvl w:val="0"/>
          <w:numId w:val="1003"/>
        </w:numPr>
        <w:pStyle w:val="Compact"/>
      </w:pPr>
      <w:r>
        <w:t xml:space="preserve">reconhecimento de cor, textura e defeitos quando relevante;</w:t>
      </w:r>
    </w:p>
    <w:p>
      <w:pPr>
        <w:numPr>
          <w:ilvl w:val="0"/>
          <w:numId w:val="1003"/>
        </w:numPr>
        <w:pStyle w:val="Compact"/>
      </w:pPr>
      <w:r>
        <w:t xml:space="preserve">uso seguro de pincéis, rolos, equipamentos de pulverização e máquinas de produção dentro da autorização recebida;</w:t>
      </w:r>
    </w:p>
    <w:p>
      <w:pPr>
        <w:numPr>
          <w:ilvl w:val="0"/>
          <w:numId w:val="1003"/>
        </w:numPr>
        <w:pStyle w:val="Compact"/>
      </w:pPr>
      <w:r>
        <w:t xml:space="preserve">conhecimento básico de materiais, incluindo primers, revestimentos, solventes, selantes e substratos compatíveis;</w:t>
      </w:r>
    </w:p>
    <w:p>
      <w:pPr>
        <w:numPr>
          <w:ilvl w:val="0"/>
          <w:numId w:val="1003"/>
        </w:numPr>
        <w:pStyle w:val="Compact"/>
      </w:pPr>
      <w:r>
        <w:t xml:space="preserve">consciência de controle de qualidade;</w:t>
      </w:r>
    </w:p>
    <w:p>
      <w:pPr>
        <w:numPr>
          <w:ilvl w:val="0"/>
          <w:numId w:val="1003"/>
        </w:numPr>
        <w:pStyle w:val="Compact"/>
      </w:pPr>
      <w:r>
        <w:t xml:space="preserve">organização, limpeza e controle de contaminação;</w:t>
      </w:r>
    </w:p>
    <w:p>
      <w:pPr>
        <w:numPr>
          <w:ilvl w:val="0"/>
          <w:numId w:val="1003"/>
        </w:numPr>
        <w:pStyle w:val="Compact"/>
      </w:pPr>
      <w:r>
        <w:t xml:space="preserve">hábitos de trabalho seguros perto de escadas, andaimes, máquinas, produtos químicos e veículos;</w:t>
      </w:r>
    </w:p>
    <w:p>
      <w:pPr>
        <w:numPr>
          <w:ilvl w:val="0"/>
          <w:numId w:val="1003"/>
        </w:numPr>
        <w:pStyle w:val="Compact"/>
      </w:pPr>
      <w:r>
        <w:t xml:space="preserve">comunicação com supervisores, clientes, equipes de produção, inspetores e outros ofícios; e</w:t>
      </w:r>
    </w:p>
    <w:p>
      <w:pPr>
        <w:numPr>
          <w:ilvl w:val="0"/>
          <w:numId w:val="1003"/>
        </w:numPr>
        <w:pStyle w:val="Compact"/>
      </w:pPr>
      <w:r>
        <w:t xml:space="preserve">confiabilidade, pontualidade e disposição para aprender sistemas específicos do empregador.</w:t>
      </w:r>
    </w:p>
    <w:p>
      <w:pPr>
        <w:pStyle w:val="FirstParagraph"/>
      </w:pPr>
      <w:r>
        <w:t xml:space="preserve">Habilidades digitais também podem ajudar com ordens de serviço, desenhos eletrônicos, fichas de dados de produtos, documentação de segurança, estoque, registros de qualidade, sistemas de manutenção ou relatórios de obra. Nenhum produto de software específico é exigido universalmente.</w:t>
      </w:r>
    </w:p>
    <w:bookmarkEnd w:id="27"/>
    <w:bookmarkStart w:id="34" w:name="educação-e-caminhos-de-entrada"/>
    <w:p>
      <w:pPr>
        <w:pStyle w:val="Heading2"/>
      </w:pPr>
      <w:r>
        <w:t xml:space="preserve">Educação e caminhos de entrada</w:t>
      </w:r>
    </w:p>
    <w:bookmarkStart w:id="28" w:name="Xf770ac4d5a1da719faf7c8497a3e43af837b810"/>
    <w:p>
      <w:pPr>
        <w:pStyle w:val="Heading3"/>
      </w:pPr>
      <w:r>
        <w:t xml:space="preserve">Estados Unidos — pintura de construção e manutenção</w:t>
      </w:r>
    </w:p>
    <w:p>
      <w:pPr>
        <w:pStyle w:val="FirstParagraph"/>
      </w:pPr>
      <w:r>
        <w:t xml:space="preserve">O U.S. Bureau of Labor Statistics classifica</w:t>
      </w:r>
      <w:r>
        <w:t xml:space="preserve"> </w:t>
      </w:r>
      <w:r>
        <w:rPr>
          <w:bCs/>
          <w:b/>
        </w:rPr>
        <w:t xml:space="preserve">Painters, Construction and Maintenance</w:t>
      </w:r>
      <w:r>
        <w:t xml:space="preserve"> </w:t>
      </w:r>
      <w:r>
        <w:t xml:space="preserve">no SOC</w:t>
      </w:r>
      <w:r>
        <w:t xml:space="preserve"> </w:t>
      </w:r>
      <w:r>
        <w:rPr>
          <w:bCs/>
          <w:b/>
        </w:rPr>
        <w:t xml:space="preserve">47-2141</w:t>
      </w:r>
      <w:r>
        <w:t xml:space="preserve">. O BLS informa que pintores normalmente aprendem no trabalho e que, em geral, nenhuma credencial educacional formal é exigida para entrada. Alguns trabalhos especializados podem exigir certificação ou treinamento específico do empregador.</w:t>
      </w:r>
    </w:p>
    <w:p>
      <w:pPr>
        <w:pStyle w:val="BodyText"/>
      </w:pPr>
      <w:r>
        <w:t xml:space="preserve">Uma sequência prática de entrada pode ser:</w:t>
      </w:r>
    </w:p>
    <w:p>
      <w:pPr>
        <w:numPr>
          <w:ilvl w:val="0"/>
          <w:numId w:val="1004"/>
        </w:numPr>
        <w:pStyle w:val="Compact"/>
      </w:pPr>
      <w:r>
        <w:t xml:space="preserve">Aprender medição básica, terminologia de superfícies, manuseio de materiais, comunicação de riscos e segurança de obra.</w:t>
      </w:r>
    </w:p>
    <w:p>
      <w:pPr>
        <w:numPr>
          <w:ilvl w:val="0"/>
          <w:numId w:val="1004"/>
        </w:numPr>
        <w:pStyle w:val="Compact"/>
      </w:pPr>
      <w:r>
        <w:t xml:space="preserve">Revisar vagas locais para ajudante, aprendiz, trainee, pintor, pintor de manutenção e pintor industrial.</w:t>
      </w:r>
    </w:p>
    <w:p>
      <w:pPr>
        <w:numPr>
          <w:ilvl w:val="0"/>
          <w:numId w:val="1004"/>
        </w:numPr>
        <w:pStyle w:val="Compact"/>
      </w:pPr>
      <w:r>
        <w:t xml:space="preserve">Pesquisar sistemas públicos de aprendizagem profissional e força de trabalho para oportunidades de treinamento pago ou subsidiado.</w:t>
      </w:r>
    </w:p>
    <w:p>
      <w:pPr>
        <w:numPr>
          <w:ilvl w:val="0"/>
          <w:numId w:val="1004"/>
        </w:numPr>
        <w:pStyle w:val="Compact"/>
      </w:pPr>
      <w:r>
        <w:t xml:space="preserve">Desenvolver experiência supervisionada em preparação, mascaramento, aplicação, limpeza, verificações de qualidade e uso seguro de equipamentos.</w:t>
      </w:r>
    </w:p>
    <w:p>
      <w:pPr>
        <w:numPr>
          <w:ilvl w:val="0"/>
          <w:numId w:val="1004"/>
        </w:numPr>
        <w:pStyle w:val="Compact"/>
      </w:pPr>
      <w:r>
        <w:t xml:space="preserve">Acrescentar habilidades especializadas somente quando empregadores locais as exigirem e o treinamento for reconhecido.</w:t>
      </w:r>
    </w:p>
    <w:bookmarkEnd w:id="28"/>
    <w:bookmarkStart w:id="29" w:name="X30a7b4aa9bc6c53f510d4a01dc8703ad30537c2"/>
    <w:p>
      <w:pPr>
        <w:pStyle w:val="Heading3"/>
      </w:pPr>
      <w:r>
        <w:t xml:space="preserve">Estados Unidos — pintura e revestimento industrial</w:t>
      </w:r>
    </w:p>
    <w:p>
      <w:pPr>
        <w:pStyle w:val="FirstParagraph"/>
      </w:pPr>
      <w:r>
        <w:t xml:space="preserve">O O*NET classifica</w:t>
      </w:r>
      <w:r>
        <w:t xml:space="preserve"> </w:t>
      </w:r>
      <w:r>
        <w:rPr>
          <w:bCs/>
          <w:b/>
        </w:rPr>
        <w:t xml:space="preserve">Coating, Painting, and Spraying Machine Setters, Operators, and Tenders</w:t>
      </w:r>
      <w:r>
        <w:t xml:space="preserve"> </w:t>
      </w:r>
      <w:r>
        <w:t xml:space="preserve">sob</w:t>
      </w:r>
      <w:r>
        <w:t xml:space="preserve"> </w:t>
      </w:r>
      <w:r>
        <w:rPr>
          <w:bCs/>
          <w:b/>
        </w:rPr>
        <w:t xml:space="preserve">51-9124.00</w:t>
      </w:r>
      <w:r>
        <w:t xml:space="preserve">. O trabalho inclui configurar, operar ou acompanhar máquinas de pulverização ou rolagem e processos relacionados de revestimento. Os cargos podem incluir pintor industrial, técnico de pintura, aplicador de pintura a pó, pintor automotivo, operador de revestimento e pintor por pulverização.</w:t>
      </w:r>
    </w:p>
    <w:p>
      <w:pPr>
        <w:pStyle w:val="BodyText"/>
      </w:pPr>
      <w:r>
        <w:t xml:space="preserve">O treinamento pode ser fornecido pelo empregador, ser profissionalizante, voltado à manufatura, ligado à repintura automotiva ou focado em revestimentos especializados, conforme o ambiente. Não suponha que um curso de pintura predial cubra operação de máquinas, pintura a pó, repintura automotiva, controles de áreas perigosas ou padrões de qualidade industrial.</w:t>
      </w:r>
    </w:p>
    <w:bookmarkEnd w:id="29"/>
    <w:bookmarkStart w:id="30" w:name="canadá--painter-and-decorator"/>
    <w:p>
      <w:pPr>
        <w:pStyle w:val="Heading3"/>
      </w:pPr>
      <w:r>
        <w:t xml:space="preserve">Canadá — Painter and Decorator</w:t>
      </w:r>
    </w:p>
    <w:p>
      <w:pPr>
        <w:pStyle w:val="FirstParagraph"/>
      </w:pPr>
      <w:r>
        <w:t xml:space="preserve">O programa Red Seal do Canadá identifica</w:t>
      </w:r>
      <w:r>
        <w:t xml:space="preserve"> </w:t>
      </w:r>
      <w:r>
        <w:rPr>
          <w:bCs/>
          <w:b/>
        </w:rPr>
        <w:t xml:space="preserve">Painter and Decorator (NOC 73112)</w:t>
      </w:r>
      <w:r>
        <w:t xml:space="preserve"> </w:t>
      </w:r>
      <w:r>
        <w:t xml:space="preserve">como um ofício Red Seal designado. O ofício inclui preparar superfícies e aplicar acabamentos decorativos e protetivos em ambientes residenciais, comerciais, institucionais e industriais.</w:t>
      </w:r>
    </w:p>
    <w:p>
      <w:pPr>
        <w:pStyle w:val="BodyText"/>
      </w:pPr>
      <w:r>
        <w:t xml:space="preserve">Aprendizagem e certificação são administradas por províncias e territórios. Requisitos, caráter obrigatório do ofício, regras de exame e reconhecimento podem variar; verifique a autoridade de aprendizagem vigente onde pretende trabalhar. Uma trajetória Red Seal deve ser entendida como uma estrutura interprovincial reconhecida de ofício, não como uma licença universal que substitua requisitos locais.</w:t>
      </w:r>
    </w:p>
    <w:bookmarkEnd w:id="30"/>
    <w:bookmarkStart w:id="31" w:name="canadá--pintor-e-revestidor-industrial"/>
    <w:p>
      <w:pPr>
        <w:pStyle w:val="Heading3"/>
      </w:pPr>
      <w:r>
        <w:t xml:space="preserve">Canadá — pintor e revestidor industrial</w:t>
      </w:r>
    </w:p>
    <w:p>
      <w:pPr>
        <w:pStyle w:val="FirstParagraph"/>
      </w:pPr>
      <w:r>
        <w:t xml:space="preserve">O Job Bank do Governo do Canadá agrupa pintores industriais, revestidores e operadores de processos de acabamento de metais no</w:t>
      </w:r>
      <w:r>
        <w:t xml:space="preserve"> </w:t>
      </w:r>
      <w:r>
        <w:rPr>
          <w:bCs/>
          <w:b/>
        </w:rPr>
        <w:t xml:space="preserve">NOC 94213</w:t>
      </w:r>
      <w:r>
        <w:t xml:space="preserve">. O Job Bank informa que essa ocupação normalmente exige diploma do ensino médio ou várias semanas de treinamento no trabalho.</w:t>
      </w:r>
    </w:p>
    <w:p>
      <w:pPr>
        <w:pStyle w:val="BodyText"/>
      </w:pPr>
      <w:r>
        <w:t xml:space="preserve">Essa trajetória deve permanecer separada das informações de aprendizagem/certificação de Painter and Decorator porque o ambiente de trabalho, as máquinas e as expectativas de qualificação podem ser diferentes.</w:t>
      </w:r>
    </w:p>
    <w:bookmarkEnd w:id="31"/>
    <w:bookmarkStart w:id="32" w:name="colômbia"/>
    <w:p>
      <w:pPr>
        <w:pStyle w:val="Heading3"/>
      </w:pPr>
      <w:r>
        <w:t xml:space="preserve">Colômbia</w:t>
      </w:r>
    </w:p>
    <w:p>
      <w:pPr>
        <w:pStyle w:val="FirstParagraph"/>
      </w:pPr>
      <w:r>
        <w:t xml:space="preserve">O catálogo OCUPACOL do Ministério do Trabalho da Colômbia inclui</w:t>
      </w:r>
      <w:r>
        <w:t xml:space="preserve"> </w:t>
      </w:r>
      <w:r>
        <w:rPr>
          <w:bCs/>
          <w:b/>
        </w:rPr>
        <w:t xml:space="preserve">Pintores y empapeladores (CIUO 7131)</w:t>
      </w:r>
      <w:r>
        <w:t xml:space="preserve">, com funções que incluem selecionar e misturar tinta, aplicar revestimentos em edifícios e estruturas, aplicar primers protetivos e realizar trabalhos relacionados ao acabamento de superfícies.</w:t>
      </w:r>
    </w:p>
    <w:p>
      <w:pPr>
        <w:pStyle w:val="BodyText"/>
      </w:pPr>
      <w:r>
        <w:t xml:space="preserve">A estrutura pública de formação do SENA inclui</w:t>
      </w:r>
      <w:r>
        <w:t xml:space="preserve"> </w:t>
      </w:r>
      <w:r>
        <w:rPr>
          <w:bCs/>
          <w:b/>
        </w:rPr>
        <w:t xml:space="preserve">Pintura arquitectónica y acabados especiales</w:t>
      </w:r>
      <w:r>
        <w:t xml:space="preserve"> </w:t>
      </w:r>
      <w:r>
        <w:t xml:space="preserve">no setor de construção. Leitores na Colômbia devem consultar ofertas vigentes do SENA/Betowa, a Agencia Pública de Empleo do SENA, o OCUPACOL e recursos do Ministério do Trabalho antes de pagar por formação privada.</w:t>
      </w:r>
    </w:p>
    <w:p>
      <w:pPr>
        <w:pStyle w:val="BodyText"/>
      </w:pPr>
      <w:r>
        <w:t xml:space="preserve">A disponibilidade, localização, admissão, duração e tipo de credencial dos programas podem mudar. A presença de uma formação na estrutura do SENA não garante que exista uma turma aberta hoje.</w:t>
      </w:r>
    </w:p>
    <w:bookmarkEnd w:id="32"/>
    <w:bookmarkStart w:id="33" w:name="américa-latina-e-caribe"/>
    <w:p>
      <w:pPr>
        <w:pStyle w:val="Heading3"/>
      </w:pPr>
      <w:r>
        <w:t xml:space="preserve">América Latina e Caribe</w:t>
      </w:r>
    </w:p>
    <w:p>
      <w:pPr>
        <w:pStyle w:val="FirstParagraph"/>
      </w:pPr>
      <w:r>
        <w:t xml:space="preserve">Os sistemas de formação e credenciais variam por país. A OIT/Cinterfor documenta instituições de formação profissional e sistemas de competências na região. Exemplos incluem SENA na Colômbia, SENCE no Chile, INTECAP na Guatemala, INFOTEP na República Dominicana, INEFOP no Uruguai, INA na Costa Rica e outras instituições nacionais.</w:t>
      </w:r>
    </w:p>
    <w:p>
      <w:pPr>
        <w:pStyle w:val="BodyText"/>
      </w:pPr>
      <w:r>
        <w:t xml:space="preserve">O SENCE do Chile já ofereceu formação em construção que inclui pintura e envernizamento. Use esses sistemas públicos como localizadores de programas vigentes, em vez de presumir que uma credencial de um país seja transferida automaticamente para outro.</w:t>
      </w:r>
    </w:p>
    <w:bookmarkEnd w:id="33"/>
    <w:bookmarkEnd w:id="34"/>
    <w:bookmarkStart w:id="35" w:name="X25b3667a7abbaf07de0898fa6da6c1ea0e57adc"/>
    <w:p>
      <w:pPr>
        <w:pStyle w:val="Heading2"/>
      </w:pPr>
      <w:r>
        <w:t xml:space="preserve">Estratégia de aprendizagem gratuita primeiro e de baixo custo</w:t>
      </w:r>
    </w:p>
    <w:p>
      <w:pPr>
        <w:pStyle w:val="FirstParagraph"/>
      </w:pPr>
      <w:r>
        <w:t xml:space="preserve">Não suponha que um certificado privado caro deva ser o primeiro passo. Uma sequência mais segura é:</w:t>
      </w:r>
    </w:p>
    <w:p>
      <w:pPr>
        <w:numPr>
          <w:ilvl w:val="0"/>
          <w:numId w:val="1005"/>
        </w:numPr>
        <w:pStyle w:val="Compact"/>
      </w:pPr>
      <w:r>
        <w:t xml:space="preserve">Revisar 15–20 vagas locais reais para a trajetória desejada.</w:t>
      </w:r>
    </w:p>
    <w:p>
      <w:pPr>
        <w:numPr>
          <w:ilvl w:val="0"/>
          <w:numId w:val="1005"/>
        </w:numPr>
        <w:pStyle w:val="Compact"/>
      </w:pPr>
      <w:r>
        <w:t xml:space="preserve">Registrar requisitos recorrentes de experiência, cartões de segurança, aprendizagem, equipamentos, revestimentos, turnos e credenciais.</w:t>
      </w:r>
    </w:p>
    <w:p>
      <w:pPr>
        <w:numPr>
          <w:ilvl w:val="0"/>
          <w:numId w:val="1005"/>
        </w:numPr>
        <w:pStyle w:val="Compact"/>
      </w:pPr>
      <w:r>
        <w:t xml:space="preserve">Pesquisar sistemas públicos de formação profissional, programas de aprendizagem, agências de emprego, sindicatos quando aplicável e treinamento pago pelo empregador.</w:t>
      </w:r>
    </w:p>
    <w:p>
      <w:pPr>
        <w:numPr>
          <w:ilvl w:val="0"/>
          <w:numId w:val="1005"/>
        </w:numPr>
        <w:pStyle w:val="Compact"/>
      </w:pPr>
      <w:r>
        <w:t xml:space="preserve">Aprender terminologia básica de superfícies, medição, conceitos de sistemas de revestimento, comunicação de riscos e princípios de controle de qualidade usando recursos públicos ou aprovados pelo empregador.</w:t>
      </w:r>
    </w:p>
    <w:p>
      <w:pPr>
        <w:numPr>
          <w:ilvl w:val="0"/>
          <w:numId w:val="1005"/>
        </w:numPr>
        <w:pStyle w:val="Compact"/>
      </w:pPr>
      <w:r>
        <w:t xml:space="preserve">Realizar prática manual somente em condições seguras e autorizadas, com a supervisão e o equipamento exigidos.</w:t>
      </w:r>
    </w:p>
    <w:p>
      <w:pPr>
        <w:numPr>
          <w:ilvl w:val="0"/>
          <w:numId w:val="1005"/>
        </w:numPr>
        <w:pStyle w:val="Compact"/>
      </w:pPr>
      <w:r>
        <w:t xml:space="preserve">Considerar formação privada apenas depois de verificar custo total, condições de reembolso, reconhecimento pelos empregadores e se a credencial aparece repetidamente em vagas reais.</w:t>
      </w:r>
    </w:p>
    <w:p>
      <w:pPr>
        <w:pStyle w:val="FirstParagraph"/>
      </w:pPr>
      <w:r>
        <w:t xml:space="preserve">Nunca use prática perigosa sem supervisão como substituto de treinamento formal de segurança ou de equipamentos.</w:t>
      </w:r>
    </w:p>
    <w:bookmarkEnd w:id="35"/>
    <w:bookmarkStart w:id="39" w:name="aprendizagem-e-formação-no-trabalho"/>
    <w:p>
      <w:pPr>
        <w:pStyle w:val="Heading2"/>
      </w:pPr>
      <w:r>
        <w:t xml:space="preserve">Aprendizagem e formação no trabalho</w:t>
      </w:r>
    </w:p>
    <w:bookmarkStart w:id="36" w:name="estados-unidos"/>
    <w:p>
      <w:pPr>
        <w:pStyle w:val="Heading3"/>
      </w:pPr>
      <w:r>
        <w:t xml:space="preserve">Estados Unidos</w:t>
      </w:r>
    </w:p>
    <w:p>
      <w:pPr>
        <w:pStyle w:val="FirstParagraph"/>
      </w:pPr>
      <w:r>
        <w:t xml:space="preserve">O BLS direciona os leitores ao sistema de aprendizagem profissional do U.S. Department of Labor para informações sobre aprendizagem de pintor. Oportunidades de Registered Apprenticeship dependem do empregador, de acordos sindicais/industriais, da localização e de vagas atuais.</w:t>
      </w:r>
    </w:p>
    <w:p>
      <w:pPr>
        <w:pStyle w:val="BodyText"/>
      </w:pPr>
      <w:r>
        <w:t xml:space="preserve">Cargos úteis de entrada podem incluir ajudante de pintor, aprendiz de pintor, ajudante de manutenção, trainee de pintor industrial, trainee de linha de revestimento, trabalhador de preparação de pintura ou operador de acabamento de produção.</w:t>
      </w:r>
    </w:p>
    <w:bookmarkEnd w:id="36"/>
    <w:bookmarkStart w:id="37" w:name="canadá"/>
    <w:p>
      <w:pPr>
        <w:pStyle w:val="Heading3"/>
      </w:pPr>
      <w:r>
        <w:t xml:space="preserve">Canadá</w:t>
      </w:r>
    </w:p>
    <w:p>
      <w:pPr>
        <w:pStyle w:val="FirstParagraph"/>
      </w:pPr>
      <w:r>
        <w:t xml:space="preserve">Painter and Decorator é um ofício Red Seal. A aprendizagem é administrada por sistemas provinciais e territoriais. Consulte a autoridade de aprendizagem correspondente para regras atuais de treinamento técnico, horas, exame, certificação e registro do empregador.</w:t>
      </w:r>
    </w:p>
    <w:bookmarkEnd w:id="37"/>
    <w:bookmarkStart w:id="38" w:name="colômbia-e-américa-latina"/>
    <w:p>
      <w:pPr>
        <w:pStyle w:val="Heading3"/>
      </w:pPr>
      <w:r>
        <w:t xml:space="preserve">Colômbia e América Latina</w:t>
      </w:r>
    </w:p>
    <w:p>
      <w:pPr>
        <w:pStyle w:val="FirstParagraph"/>
      </w:pPr>
      <w:r>
        <w:t xml:space="preserve">Instituições públicas de formação profissional podem oferecer formação técnica, complementar ou vinculada ao emprego. A disponibilidade pode depender de turmas e a elegibilidade pode variar. Comece pela instituição pública nacional e confirme inscrições vigentes antes de gastar dinheiro em outra opção.</w:t>
      </w:r>
    </w:p>
    <w:bookmarkEnd w:id="38"/>
    <w:bookmarkEnd w:id="39"/>
    <w:bookmarkStart w:id="40" w:name="financiamento-e-apoio-do-empregador"/>
    <w:p>
      <w:pPr>
        <w:pStyle w:val="Heading2"/>
      </w:pPr>
      <w:r>
        <w:t xml:space="preserve">Financiamento e apoio do empregador</w:t>
      </w:r>
    </w:p>
    <w:p>
      <w:pPr>
        <w:pStyle w:val="FirstParagraph"/>
      </w:pPr>
      <w:r>
        <w:t xml:space="preserve">O financiamento nunca é garantido. Dependendo da jurisdição e da elegibilidade, o apoio possível pode incluir formação pública para a força de trabalho, ajuda ligada à aprendizagem, treinamento pago pelo empregador, reembolso de mensalidades, ajuda para EPI ou ferramentas, treinamento sindical/industrial ou programas locais de emprego.</w:t>
      </w:r>
    </w:p>
    <w:p>
      <w:pPr>
        <w:pStyle w:val="BodyText"/>
      </w:pPr>
      <w:r>
        <w:t xml:space="preserve">Pergunte ao empregador se oferece:</w:t>
      </w:r>
    </w:p>
    <w:p>
      <w:pPr>
        <w:numPr>
          <w:ilvl w:val="0"/>
          <w:numId w:val="1006"/>
        </w:numPr>
        <w:pStyle w:val="Compact"/>
      </w:pPr>
      <w:r>
        <w:t xml:space="preserve">integração paga;</w:t>
      </w:r>
    </w:p>
    <w:p>
      <w:pPr>
        <w:numPr>
          <w:ilvl w:val="0"/>
          <w:numId w:val="1006"/>
        </w:numPr>
        <w:pStyle w:val="Compact"/>
      </w:pPr>
      <w:r>
        <w:t xml:space="preserve">cargos de trainee ou aprendizagem;</w:t>
      </w:r>
    </w:p>
    <w:p>
      <w:pPr>
        <w:numPr>
          <w:ilvl w:val="0"/>
          <w:numId w:val="1006"/>
        </w:numPr>
        <w:pStyle w:val="Compact"/>
      </w:pPr>
      <w:r>
        <w:t xml:space="preserve">EPI e teste de vedação fornecidos pelo empregador quando exigidos;</w:t>
      </w:r>
    </w:p>
    <w:p>
      <w:pPr>
        <w:numPr>
          <w:ilvl w:val="0"/>
          <w:numId w:val="1006"/>
        </w:numPr>
        <w:pStyle w:val="Compact"/>
      </w:pPr>
      <w:r>
        <w:t xml:space="preserve">ajuda para ferramentas ou equipamentos;</w:t>
      </w:r>
    </w:p>
    <w:p>
      <w:pPr>
        <w:numPr>
          <w:ilvl w:val="0"/>
          <w:numId w:val="1006"/>
        </w:numPr>
        <w:pStyle w:val="Compact"/>
      </w:pPr>
      <w:r>
        <w:t xml:space="preserve">treinamento em revestimentos especializados ou de fabricante;</w:t>
      </w:r>
    </w:p>
    <w:p>
      <w:pPr>
        <w:numPr>
          <w:ilvl w:val="0"/>
          <w:numId w:val="1006"/>
        </w:numPr>
        <w:pStyle w:val="Compact"/>
      </w:pPr>
      <w:r>
        <w:t xml:space="preserve">reembolso de certificação ou exame;</w:t>
      </w:r>
    </w:p>
    <w:p>
      <w:pPr>
        <w:numPr>
          <w:ilvl w:val="0"/>
          <w:numId w:val="1006"/>
        </w:numPr>
        <w:pStyle w:val="Compact"/>
      </w:pPr>
      <w:r>
        <w:t xml:space="preserve">treinamento cruzado para inspeção, qualidade, manutenção, estimativas ou supervisão; e</w:t>
      </w:r>
    </w:p>
    <w:p>
      <w:pPr>
        <w:numPr>
          <w:ilvl w:val="0"/>
          <w:numId w:val="1006"/>
        </w:numPr>
        <w:pStyle w:val="Compact"/>
      </w:pPr>
      <w:r>
        <w:t xml:space="preserve">trajetórias internas de promoção.</w:t>
      </w:r>
    </w:p>
    <w:p>
      <w:pPr>
        <w:pStyle w:val="FirstParagraph"/>
      </w:pPr>
      <w:r>
        <w:t xml:space="preserve">Obtenha por escrito quaisquer condições de reembolso, permanência, devolução ou cobrança de ferramentas antes de gastar dinheiro.</w:t>
      </w:r>
    </w:p>
    <w:bookmarkEnd w:id="40"/>
    <w:bookmarkStart w:id="46" w:name="renda-e-perspectiva-de-emprego"/>
    <w:p>
      <w:pPr>
        <w:pStyle w:val="Heading2"/>
      </w:pPr>
      <w:r>
        <w:t xml:space="preserve">Renda e perspectiva de emprego</w:t>
      </w:r>
    </w:p>
    <w:bookmarkStart w:id="41" w:name="Xac2ffbf3f19feaae900dc552452c82cb829fa8d"/>
    <w:p>
      <w:pPr>
        <w:pStyle w:val="Heading3"/>
      </w:pPr>
      <w:r>
        <w:t xml:space="preserve">Estados Unidos — pintores de construção e manutenção</w:t>
      </w:r>
    </w:p>
    <w:p>
      <w:pPr>
        <w:pStyle w:val="FirstParagraph"/>
      </w:pPr>
      <w:r>
        <w:t xml:space="preserve">O BLS informa para</w:t>
      </w:r>
      <w:r>
        <w:t xml:space="preserve"> </w:t>
      </w:r>
      <w:r>
        <w:rPr>
          <w:bCs/>
          <w:b/>
        </w:rPr>
        <w:t xml:space="preserve">Painters, Construction and Maintenance</w:t>
      </w:r>
      <w:r>
        <w:t xml:space="preserve">:</w:t>
      </w:r>
    </w:p>
    <w:p>
      <w:pPr>
        <w:numPr>
          <w:ilvl w:val="0"/>
          <w:numId w:val="1007"/>
        </w:numPr>
        <w:pStyle w:val="Compact"/>
      </w:pPr>
      <w:r>
        <w:rPr>
          <w:bCs/>
          <w:b/>
        </w:rPr>
        <w:t xml:space="preserve">Salário anual mediano, maio de 2024: $48,660</w:t>
      </w:r>
    </w:p>
    <w:p>
      <w:pPr>
        <w:numPr>
          <w:ilvl w:val="0"/>
          <w:numId w:val="1007"/>
        </w:numPr>
        <w:pStyle w:val="Compact"/>
      </w:pPr>
      <w:r>
        <w:rPr>
          <w:bCs/>
          <w:b/>
        </w:rPr>
        <w:t xml:space="preserve">Salário por hora mediano: $23.40</w:t>
      </w:r>
    </w:p>
    <w:p>
      <w:pPr>
        <w:numPr>
          <w:ilvl w:val="0"/>
          <w:numId w:val="1007"/>
        </w:numPr>
        <w:pStyle w:val="Compact"/>
      </w:pPr>
      <w:r>
        <w:rPr>
          <w:bCs/>
          <w:b/>
        </w:rPr>
        <w:t xml:space="preserve">Emprego em 2024: cerca de 342,200</w:t>
      </w:r>
    </w:p>
    <w:p>
      <w:pPr>
        <w:numPr>
          <w:ilvl w:val="0"/>
          <w:numId w:val="1007"/>
        </w:numPr>
        <w:pStyle w:val="Compact"/>
      </w:pPr>
      <w:r>
        <w:rPr>
          <w:bCs/>
          <w:b/>
        </w:rPr>
        <w:t xml:space="preserve">Crescimento projetado, 2024–2034: 4%</w:t>
      </w:r>
    </w:p>
    <w:p>
      <w:pPr>
        <w:numPr>
          <w:ilvl w:val="0"/>
          <w:numId w:val="1007"/>
        </w:numPr>
        <w:pStyle w:val="Compact"/>
      </w:pPr>
      <w:r>
        <w:rPr>
          <w:bCs/>
          <w:b/>
        </w:rPr>
        <w:t xml:space="preserve">Vagas projetadas: cerca de 28,100 por ano, em média</w:t>
      </w:r>
    </w:p>
    <w:p>
      <w:pPr>
        <w:pStyle w:val="FirstParagraph"/>
      </w:pPr>
      <w:r>
        <w:t xml:space="preserve">Essas são estatísticas nacionais e não garantem salário inicial. A remuneração varia por localização, empregador, especialidade, situação sindical, experiência, horas extras e ambiente de trabalho.</w:t>
      </w:r>
    </w:p>
    <w:bookmarkEnd w:id="41"/>
    <w:bookmarkStart w:id="42" w:name="X3c1a2dbfe0cf4993945764480aa72f688d422a8"/>
    <w:p>
      <w:pPr>
        <w:pStyle w:val="Heading3"/>
      </w:pPr>
      <w:r>
        <w:t xml:space="preserve">Estados Unidos — pintura e revestimento industrial</w:t>
      </w:r>
    </w:p>
    <w:p>
      <w:pPr>
        <w:pStyle w:val="FirstParagraph"/>
      </w:pPr>
      <w:r>
        <w:t xml:space="preserve">O O*NET informa para</w:t>
      </w:r>
      <w:r>
        <w:t xml:space="preserve"> </w:t>
      </w:r>
      <w:r>
        <w:rPr>
          <w:bCs/>
          <w:b/>
        </w:rPr>
        <w:t xml:space="preserve">51-9124.00</w:t>
      </w:r>
      <w:r>
        <w:t xml:space="preserve">:</w:t>
      </w:r>
    </w:p>
    <w:p>
      <w:pPr>
        <w:numPr>
          <w:ilvl w:val="0"/>
          <w:numId w:val="1008"/>
        </w:numPr>
        <w:pStyle w:val="Compact"/>
      </w:pPr>
      <w:r>
        <w:rPr>
          <w:bCs/>
          <w:b/>
        </w:rPr>
        <w:t xml:space="preserve">Salário mediano, 2025: $23.20/hora / $48,250/ano</w:t>
      </w:r>
    </w:p>
    <w:p>
      <w:pPr>
        <w:numPr>
          <w:ilvl w:val="0"/>
          <w:numId w:val="1008"/>
        </w:numPr>
        <w:pStyle w:val="Compact"/>
      </w:pPr>
      <w:r>
        <w:rPr>
          <w:bCs/>
          <w:b/>
        </w:rPr>
        <w:t xml:space="preserve">Emprego em 2024: cerca de 165,500</w:t>
      </w:r>
    </w:p>
    <w:p>
      <w:pPr>
        <w:numPr>
          <w:ilvl w:val="0"/>
          <w:numId w:val="1008"/>
        </w:numPr>
        <w:pStyle w:val="Compact"/>
      </w:pPr>
      <w:r>
        <w:rPr>
          <w:bCs/>
          <w:b/>
        </w:rPr>
        <w:t xml:space="preserve">Crescimento projetado, 2024–2034: 1% a 2%</w:t>
      </w:r>
    </w:p>
    <w:p>
      <w:pPr>
        <w:numPr>
          <w:ilvl w:val="0"/>
          <w:numId w:val="1008"/>
        </w:numPr>
        <w:pStyle w:val="Compact"/>
      </w:pPr>
      <w:r>
        <w:rPr>
          <w:bCs/>
          <w:b/>
        </w:rPr>
        <w:t xml:space="preserve">Vagas projetadas exibidas pelo O*NET: cerca de 15,800</w:t>
      </w:r>
    </w:p>
    <w:p>
      <w:pPr>
        <w:pStyle w:val="FirstParagraph"/>
      </w:pPr>
      <w:r>
        <w:t xml:space="preserve">Não misture esses números com as estatísticas de pintores de construção. Eles descrevem uma classificação ocupacional diferente.</w:t>
      </w:r>
    </w:p>
    <w:bookmarkEnd w:id="42"/>
    <w:bookmarkStart w:id="43" w:name="canadá--painter-and-decorator-1"/>
    <w:p>
      <w:pPr>
        <w:pStyle w:val="Heading3"/>
      </w:pPr>
      <w:r>
        <w:t xml:space="preserve">Canadá — Painter and Decorator</w:t>
      </w:r>
    </w:p>
    <w:p>
      <w:pPr>
        <w:pStyle w:val="FirstParagraph"/>
      </w:pPr>
      <w:r>
        <w:t xml:space="preserve">O Job Bank do Governo do Canadá informa salários nacionais para Painter and Decorator, atualizados em 19 de novembro de 2025, de aproximadamente:</w:t>
      </w:r>
    </w:p>
    <w:p>
      <w:pPr>
        <w:numPr>
          <w:ilvl w:val="0"/>
          <w:numId w:val="1009"/>
        </w:numPr>
        <w:pStyle w:val="Compact"/>
      </w:pPr>
      <w:r>
        <w:rPr>
          <w:bCs/>
          <w:b/>
        </w:rPr>
        <w:t xml:space="preserve">CAD $20.00/hora baixo</w:t>
      </w:r>
    </w:p>
    <w:p>
      <w:pPr>
        <w:numPr>
          <w:ilvl w:val="0"/>
          <w:numId w:val="1009"/>
        </w:numPr>
        <w:pStyle w:val="Compact"/>
      </w:pPr>
      <w:r>
        <w:rPr>
          <w:bCs/>
          <w:b/>
        </w:rPr>
        <w:t xml:space="preserve">CAD $28.00/hora mediano</w:t>
      </w:r>
    </w:p>
    <w:p>
      <w:pPr>
        <w:numPr>
          <w:ilvl w:val="0"/>
          <w:numId w:val="1009"/>
        </w:numPr>
        <w:pStyle w:val="Compact"/>
      </w:pPr>
      <w:r>
        <w:rPr>
          <w:bCs/>
          <w:b/>
        </w:rPr>
        <w:t xml:space="preserve">CAD $40.99/hora alto</w:t>
      </w:r>
    </w:p>
    <w:bookmarkEnd w:id="43"/>
    <w:bookmarkStart w:id="44" w:name="Xefad2f4d2eb63dd16da52705eeff9cf76c351e3"/>
    <w:p>
      <w:pPr>
        <w:pStyle w:val="Heading3"/>
      </w:pPr>
      <w:r>
        <w:t xml:space="preserve">Canadá — pintores e revestidores industriais</w:t>
      </w:r>
    </w:p>
    <w:p>
      <w:pPr>
        <w:pStyle w:val="FirstParagraph"/>
      </w:pPr>
      <w:r>
        <w:t xml:space="preserve">O Job Bank do Governo do Canadá informa salários nacionais de aproximadamente:</w:t>
      </w:r>
    </w:p>
    <w:p>
      <w:pPr>
        <w:numPr>
          <w:ilvl w:val="0"/>
          <w:numId w:val="1010"/>
        </w:numPr>
        <w:pStyle w:val="Compact"/>
      </w:pPr>
      <w:r>
        <w:rPr>
          <w:bCs/>
          <w:b/>
        </w:rPr>
        <w:t xml:space="preserve">CAD $18.00/hora baixo</w:t>
      </w:r>
    </w:p>
    <w:p>
      <w:pPr>
        <w:numPr>
          <w:ilvl w:val="0"/>
          <w:numId w:val="1010"/>
        </w:numPr>
        <w:pStyle w:val="Compact"/>
      </w:pPr>
      <w:r>
        <w:rPr>
          <w:bCs/>
          <w:b/>
        </w:rPr>
        <w:t xml:space="preserve">CAD $24.61/hora mediano</w:t>
      </w:r>
    </w:p>
    <w:p>
      <w:pPr>
        <w:numPr>
          <w:ilvl w:val="0"/>
          <w:numId w:val="1010"/>
        </w:numPr>
        <w:pStyle w:val="Compact"/>
      </w:pPr>
      <w:r>
        <w:rPr>
          <w:bCs/>
          <w:b/>
        </w:rPr>
        <w:t xml:space="preserve">CAD $36.00/hora alto</w:t>
      </w:r>
    </w:p>
    <w:p>
      <w:pPr>
        <w:pStyle w:val="FirstParagraph"/>
      </w:pPr>
      <w:r>
        <w:t xml:space="preserve">Os valores locais podem variar bastante. Use os filtros de província, território e região do Job Bank antes de tomar decisões de mudança ou treinamento.</w:t>
      </w:r>
    </w:p>
    <w:bookmarkEnd w:id="44"/>
    <w:bookmarkStart w:id="45" w:name="colômbia-1"/>
    <w:p>
      <w:pPr>
        <w:pStyle w:val="Heading3"/>
      </w:pPr>
      <w:r>
        <w:t xml:space="preserve">Colômbia</w:t>
      </w:r>
    </w:p>
    <w:p>
      <w:pPr>
        <w:pStyle w:val="FirstParagraph"/>
      </w:pPr>
      <w:r>
        <w:t xml:space="preserve">O sistema público de emprego do SENA publicou recentemente vagas para pintores de construção, mas o salário de uma vaga individual é uma referência local, não uma estatística salarial ocupacional nacional. Use informações atuais da Agencia Pública de Empleo do SENA e do Ministério do Trabalho para avaliar a demanda local e não trate uma única vaga como taxa de mercado garantida.</w:t>
      </w:r>
    </w:p>
    <w:bookmarkEnd w:id="45"/>
    <w:bookmarkEnd w:id="46"/>
    <w:bookmarkStart w:id="47" w:name="plano-prático-de-início-de-12-semanas"/>
    <w:p>
      <w:pPr>
        <w:pStyle w:val="Heading2"/>
      </w:pPr>
      <w:r>
        <w:t xml:space="preserve">Plano prático de início de 12 semanas</w:t>
      </w:r>
    </w:p>
    <w:p>
      <w:pPr>
        <w:pStyle w:val="FirstParagraph"/>
      </w:pPr>
      <w:r>
        <w:rPr>
          <w:bCs/>
          <w:b/>
        </w:rPr>
        <w:t xml:space="preserve">Semanas 1–2:</w:t>
      </w:r>
      <w:r>
        <w:t xml:space="preserve"> </w:t>
      </w:r>
      <w:r>
        <w:t xml:space="preserve">Escolha sua trajetória-alvo: pintura de construção/manutenção ou revestimento industrial. Revise 15–20 vagas locais e registre requisitos recorrentes.</w:t>
      </w:r>
    </w:p>
    <w:p>
      <w:pPr>
        <w:pStyle w:val="BodyText"/>
      </w:pPr>
      <w:r>
        <w:rPr>
          <w:bCs/>
          <w:b/>
        </w:rPr>
        <w:t xml:space="preserve">Semanas 3–4:</w:t>
      </w:r>
      <w:r>
        <w:t xml:space="preserve"> </w:t>
      </w:r>
      <w:r>
        <w:t xml:space="preserve">Aprenda medição básica, tipos de superfície, terminologia de sistemas de revestimento, conceitos de primer/camada final, rótulos, uso de SDS/TDS, organização e limpeza e linguagem de qualidade.</w:t>
      </w:r>
    </w:p>
    <w:p>
      <w:pPr>
        <w:pStyle w:val="BodyText"/>
      </w:pPr>
      <w:r>
        <w:rPr>
          <w:bCs/>
          <w:b/>
        </w:rPr>
        <w:t xml:space="preserve">Semanas 5–6:</w:t>
      </w:r>
      <w:r>
        <w:t xml:space="preserve"> </w:t>
      </w:r>
      <w:r>
        <w:t xml:space="preserve">Conclua treinamento público ou aprovado pelo empregador relevante ao seu ambiente: comunicação de riscos, EPI, escadas/andaimes/prevenção de quedas, riscos respiratórios e manuseio de produtos químicos. Não execute tarefas regulamentadas apenas porque concluiu um curso on-line.</w:t>
      </w:r>
    </w:p>
    <w:p>
      <w:pPr>
        <w:pStyle w:val="BodyText"/>
      </w:pPr>
      <w:r>
        <w:rPr>
          <w:bCs/>
          <w:b/>
        </w:rPr>
        <w:t xml:space="preserve">Semanas 7–8:</w:t>
      </w:r>
      <w:r>
        <w:t xml:space="preserve"> </w:t>
      </w:r>
      <w:r>
        <w:t xml:space="preserve">Sob supervisão, pratique preparação de baixo risco, mascaramento, técnica com pincel/rolo, limpeza, controle de materiais e inspeção de acabamento usando materiais e superfícies aprovados.</w:t>
      </w:r>
    </w:p>
    <w:p>
      <w:pPr>
        <w:pStyle w:val="BodyText"/>
      </w:pPr>
      <w:r>
        <w:rPr>
          <w:bCs/>
          <w:b/>
        </w:rPr>
        <w:t xml:space="preserve">Semanas 9–10:</w:t>
      </w:r>
      <w:r>
        <w:t xml:space="preserve"> </w:t>
      </w:r>
      <w:r>
        <w:t xml:space="preserve">Se seu objetivo for revestimento industrial, aprenda o fluxo de produção do empregador, verificações de qualidade, processo de autorização de equipamentos, regras de ventilação/cabine, limites de bloqueio e terminologia de defeitos. Não opere equipamentos até receber treinamento e autorização.</w:t>
      </w:r>
    </w:p>
    <w:p>
      <w:pPr>
        <w:pStyle w:val="BodyText"/>
      </w:pPr>
      <w:r>
        <w:rPr>
          <w:bCs/>
          <w:b/>
        </w:rPr>
        <w:t xml:space="preserve">Semanas 11–12:</w:t>
      </w:r>
      <w:r>
        <w:t xml:space="preserve"> </w:t>
      </w:r>
      <w:r>
        <w:t xml:space="preserve">Candidate-se a cargos de ajudante, trainee, aprendiz ou entrada. Compare formação pública e paga pelo empregador com qualquer programa privado antes de se matricular.</w:t>
      </w:r>
    </w:p>
    <w:bookmarkEnd w:id="47"/>
    <w:bookmarkStart w:id="48" w:name="X06c4ad8f7c1a48da3d593bca3f36492281b2326"/>
    <w:p>
      <w:pPr>
        <w:pStyle w:val="Heading2"/>
      </w:pPr>
      <w:r>
        <w:t xml:space="preserve">Como desenvolver experiência sem já ter o cargo</w:t>
      </w:r>
    </w:p>
    <w:p>
      <w:pPr>
        <w:pStyle w:val="FirstParagraph"/>
      </w:pPr>
      <w:r>
        <w:t xml:space="preserve">A experiência transferível pode vir de:</w:t>
      </w:r>
    </w:p>
    <w:p>
      <w:pPr>
        <w:numPr>
          <w:ilvl w:val="0"/>
          <w:numId w:val="1011"/>
        </w:numPr>
        <w:pStyle w:val="Compact"/>
      </w:pPr>
      <w:r>
        <w:t xml:space="preserve">manutenção predial;</w:t>
      </w:r>
    </w:p>
    <w:p>
      <w:pPr>
        <w:numPr>
          <w:ilvl w:val="0"/>
          <w:numId w:val="1011"/>
        </w:numPr>
        <w:pStyle w:val="Compact"/>
      </w:pPr>
      <w:r>
        <w:t xml:space="preserve">trabalho em construção ou como ajudante de ofício;</w:t>
      </w:r>
    </w:p>
    <w:p>
      <w:pPr>
        <w:numPr>
          <w:ilvl w:val="0"/>
          <w:numId w:val="1011"/>
        </w:numPr>
        <w:pStyle w:val="Compact"/>
      </w:pPr>
      <w:r>
        <w:t xml:space="preserve">manutenção de instalações ou propriedades;</w:t>
      </w:r>
    </w:p>
    <w:p>
      <w:pPr>
        <w:numPr>
          <w:ilvl w:val="0"/>
          <w:numId w:val="1011"/>
        </w:numPr>
        <w:pStyle w:val="Compact"/>
      </w:pPr>
      <w:r>
        <w:t xml:space="preserve">apoio em funilaria/repintura automotiva;</w:t>
      </w:r>
    </w:p>
    <w:p>
      <w:pPr>
        <w:numPr>
          <w:ilvl w:val="0"/>
          <w:numId w:val="1011"/>
        </w:numPr>
        <w:pStyle w:val="Compact"/>
      </w:pPr>
      <w:r>
        <w:t xml:space="preserve">manufatura ou produção;</w:t>
      </w:r>
    </w:p>
    <w:p>
      <w:pPr>
        <w:numPr>
          <w:ilvl w:val="0"/>
          <w:numId w:val="1011"/>
        </w:numPr>
        <w:pStyle w:val="Compact"/>
      </w:pPr>
      <w:r>
        <w:t xml:space="preserve">armazém e movimentação de materiais;</w:t>
      </w:r>
    </w:p>
    <w:p>
      <w:pPr>
        <w:numPr>
          <w:ilvl w:val="0"/>
          <w:numId w:val="1011"/>
        </w:numPr>
        <w:pStyle w:val="Compact"/>
      </w:pPr>
      <w:r>
        <w:t xml:space="preserve">limpeza e preparação de superfícies;</w:t>
      </w:r>
    </w:p>
    <w:p>
      <w:pPr>
        <w:numPr>
          <w:ilvl w:val="0"/>
          <w:numId w:val="1011"/>
        </w:numPr>
        <w:pStyle w:val="Compact"/>
      </w:pPr>
      <w:r>
        <w:t xml:space="preserve">funções de apoio marítimo, industrial ou de infraestrutura; ou</w:t>
      </w:r>
    </w:p>
    <w:p>
      <w:pPr>
        <w:numPr>
          <w:ilvl w:val="0"/>
          <w:numId w:val="1011"/>
        </w:numPr>
        <w:pStyle w:val="Compact"/>
      </w:pPr>
      <w:r>
        <w:t xml:space="preserve">projetos profissionalizantes ou comunitários supervisionados.</w:t>
      </w:r>
    </w:p>
    <w:p>
      <w:pPr>
        <w:pStyle w:val="FirstParagraph"/>
      </w:pPr>
      <w:r>
        <w:t xml:space="preserve">Descreva sua experiência com precisão. Evidências úteis podem incluir preparação segura, baixo retrabalho, qualidade consistente de acabamento, presença confiável, manuseio correto de materiais, registros precisos, organização e limpeza, comunicação com clientes ou conclusão bem-sucedida de treinamento supervisionado.</w:t>
      </w:r>
    </w:p>
    <w:p>
      <w:pPr>
        <w:pStyle w:val="BodyText"/>
      </w:pPr>
      <w:r>
        <w:t xml:space="preserve">Não afirme ser aplicador certificado, Red Seal, pintor licenciado, operador de jateamento industrial, participante autorizado de espaço confinado, trabalhador qualificado para respirador, repintor automotivo, inspetor ou operador de equipamento, a menos que realmente possua a qualificação ou autorização exigida.</w:t>
      </w:r>
    </w:p>
    <w:bookmarkEnd w:id="48"/>
    <w:bookmarkStart w:id="49" w:name="desenvolvimento-profissional"/>
    <w:p>
      <w:pPr>
        <w:pStyle w:val="Heading2"/>
      </w:pPr>
      <w:r>
        <w:t xml:space="preserve">Desenvolvimento profissional</w:t>
      </w:r>
    </w:p>
    <w:p>
      <w:pPr>
        <w:pStyle w:val="FirstParagraph"/>
      </w:pPr>
      <w:r>
        <w:t xml:space="preserve">A progressão possível pode incluir pintor experiente, pintor/decorador de nível profissional, pintor industrial, operador de revestimento, aplicador especializado, líder de equipe, encarregado, líder de linha de acabamento, técnico de qualidade, inspetor de revestimentos, orçamentista, supervisor, pintor de instalações, técnico de manutenção ou trabalho autônomo onde legalmente permitido.</w:t>
      </w:r>
    </w:p>
    <w:p>
      <w:pPr>
        <w:pStyle w:val="BodyText"/>
      </w:pPr>
      <w:r>
        <w:t xml:space="preserve">Trabalho especializado pode exigir treinamento adicional em áreas como revestimentos protetivos de alto desempenho, repintura automotiva, controle de corrosão, pintura a pó, jateamento industrial, proteção contra fogo, impermeabilização, trabalho em pontes/marítimo, inspeção ou controles de materiais perigosos. Verifique os requisitos reais do empregador e da jurisdição antes de pagar por credenciais especializadas.</w:t>
      </w:r>
    </w:p>
    <w:bookmarkEnd w:id="49"/>
    <w:bookmarkStart w:id="50" w:name="uso-responsável-de-ia-neste-trabalho"/>
    <w:p>
      <w:pPr>
        <w:pStyle w:val="Heading2"/>
      </w:pPr>
      <w:r>
        <w:t xml:space="preserve">Uso responsável de IA neste trabalho</w:t>
      </w:r>
    </w:p>
    <w:p>
      <w:pPr>
        <w:pStyle w:val="FirstParagraph"/>
      </w:pPr>
      <w:r>
        <w:t xml:space="preserve">Ferramentas de IA podem ajudar a explicar terminologia geral, gerar perguntas de prática para entrevistas, resumir notas de estudo não sensíveis ou organizar uma lista de treinamento. Elas não devem substituir:</w:t>
      </w:r>
    </w:p>
    <w:p>
      <w:pPr>
        <w:numPr>
          <w:ilvl w:val="0"/>
          <w:numId w:val="1012"/>
        </w:numPr>
        <w:pStyle w:val="Compact"/>
      </w:pPr>
      <w:r>
        <w:t xml:space="preserve">fichas de dados de segurança nem fichas de dados técnicos;</w:t>
      </w:r>
    </w:p>
    <w:p>
      <w:pPr>
        <w:numPr>
          <w:ilvl w:val="0"/>
          <w:numId w:val="1012"/>
        </w:numPr>
        <w:pStyle w:val="Compact"/>
      </w:pPr>
      <w:r>
        <w:t xml:space="preserve">avaliações de exposição;</w:t>
      </w:r>
    </w:p>
    <w:p>
      <w:pPr>
        <w:numPr>
          <w:ilvl w:val="0"/>
          <w:numId w:val="1012"/>
        </w:numPr>
        <w:pStyle w:val="Compact"/>
      </w:pPr>
      <w:r>
        <w:t xml:space="preserve">seleção de respiradores nem testes de vedação;</w:t>
      </w:r>
    </w:p>
    <w:p>
      <w:pPr>
        <w:numPr>
          <w:ilvl w:val="0"/>
          <w:numId w:val="1012"/>
        </w:numPr>
        <w:pStyle w:val="Compact"/>
      </w:pPr>
      <w:r>
        <w:t xml:space="preserve">engenharia de ventilação ou cabines de pulverização;</w:t>
      </w:r>
    </w:p>
    <w:p>
      <w:pPr>
        <w:numPr>
          <w:ilvl w:val="0"/>
          <w:numId w:val="1012"/>
        </w:numPr>
        <w:pStyle w:val="Compact"/>
      </w:pPr>
      <w:r>
        <w:t xml:space="preserve">planos de proteção contra quedas;</w:t>
      </w:r>
    </w:p>
    <w:p>
      <w:pPr>
        <w:numPr>
          <w:ilvl w:val="0"/>
          <w:numId w:val="1012"/>
        </w:numPr>
        <w:pStyle w:val="Compact"/>
      </w:pPr>
      <w:r>
        <w:t xml:space="preserve">procedimentos para espaços confinados;</w:t>
      </w:r>
    </w:p>
    <w:p>
      <w:pPr>
        <w:numPr>
          <w:ilvl w:val="0"/>
          <w:numId w:val="1012"/>
        </w:numPr>
        <w:pStyle w:val="Compact"/>
      </w:pPr>
      <w:r>
        <w:t xml:space="preserve">determinações de materiais perigosos;</w:t>
      </w:r>
    </w:p>
    <w:p>
      <w:pPr>
        <w:numPr>
          <w:ilvl w:val="0"/>
          <w:numId w:val="1012"/>
        </w:numPr>
        <w:pStyle w:val="Compact"/>
      </w:pPr>
      <w:r>
        <w:t xml:space="preserve">especificações de revestimento;</w:t>
      </w:r>
    </w:p>
    <w:p>
      <w:pPr>
        <w:numPr>
          <w:ilvl w:val="0"/>
          <w:numId w:val="1012"/>
        </w:numPr>
        <w:pStyle w:val="Compact"/>
      </w:pPr>
      <w:r>
        <w:t xml:space="preserve">limites de mistura/aplicação do fabricante;</w:t>
      </w:r>
    </w:p>
    <w:p>
      <w:pPr>
        <w:numPr>
          <w:ilvl w:val="0"/>
          <w:numId w:val="1012"/>
        </w:numPr>
        <w:pStyle w:val="Compact"/>
      </w:pPr>
      <w:r>
        <w:t xml:space="preserve">critérios de aceitação de inspeção; nem</w:t>
      </w:r>
    </w:p>
    <w:p>
      <w:pPr>
        <w:numPr>
          <w:ilvl w:val="0"/>
          <w:numId w:val="1012"/>
        </w:numPr>
        <w:pStyle w:val="Compact"/>
      </w:pPr>
      <w:r>
        <w:t xml:space="preserve">instruções de trabalho aprovadas pelo empregador.</w:t>
      </w:r>
    </w:p>
    <w:p>
      <w:pPr>
        <w:pStyle w:val="FirstParagraph"/>
      </w:pPr>
      <w:r>
        <w:t xml:space="preserve">Não insira fórmulas proprietárias, informações de clientes, desenhos protegidos, detalhes internos de incidentes, credenciais, preços ou especificações confidenciais em serviços públicos de IA sem autorização.</w:t>
      </w:r>
    </w:p>
    <w:p>
      <w:pPr>
        <w:pStyle w:val="BodyText"/>
      </w:pPr>
      <w:r>
        <w:t xml:space="preserve">Verifique proporções, afirmações de compatibilidade, orientações de preparação de superfícies, tempos de cura, valores de espessura de filme, limites ambientais, recomendações de segurança e citações gerados por IA contra documentos-fonte aprovados antes de usá-los.</w:t>
      </w:r>
    </w:p>
    <w:bookmarkEnd w:id="50"/>
    <w:bookmarkStart w:id="51" w:name="X356fdc2e85bc057c4a052aa3e43ca44bd86592f"/>
    <w:p>
      <w:pPr>
        <w:pStyle w:val="Heading2"/>
      </w:pPr>
      <w:r>
        <w:t xml:space="preserve">Noções básicas de cibersegurança e privacidade</w:t>
      </w:r>
    </w:p>
    <w:p>
      <w:pPr>
        <w:pStyle w:val="FirstParagraph"/>
      </w:pPr>
      <w:r>
        <w:t xml:space="preserve">Empreiteiros e fabricantes modernos podem usar ordens de serviço em nuvem, bibliotecas digitais de SDS, sistemas de qualidade, bancos de dados de especificações de revestimento, ferramentas de estimativa, portais de clientes e aplicativos móveis de obra. Siga as regras do empregador sobre:</w:t>
      </w:r>
    </w:p>
    <w:p>
      <w:pPr>
        <w:numPr>
          <w:ilvl w:val="0"/>
          <w:numId w:val="1013"/>
        </w:numPr>
        <w:pStyle w:val="Compact"/>
      </w:pPr>
      <w:r>
        <w:t xml:space="preserve">senhas e autenticação multifator;</w:t>
      </w:r>
    </w:p>
    <w:p>
      <w:pPr>
        <w:numPr>
          <w:ilvl w:val="0"/>
          <w:numId w:val="1013"/>
        </w:numPr>
        <w:pStyle w:val="Compact"/>
      </w:pPr>
      <w:r>
        <w:t xml:space="preserve">dispositivos e locais aprovados para compartilhamento de arquivos;</w:t>
      </w:r>
    </w:p>
    <w:p>
      <w:pPr>
        <w:numPr>
          <w:ilvl w:val="0"/>
          <w:numId w:val="1013"/>
        </w:numPr>
        <w:pStyle w:val="Compact"/>
      </w:pPr>
      <w:r>
        <w:t xml:space="preserve">links e anexos suspeitos;</w:t>
      </w:r>
    </w:p>
    <w:p>
      <w:pPr>
        <w:numPr>
          <w:ilvl w:val="0"/>
          <w:numId w:val="1013"/>
        </w:numPr>
        <w:pStyle w:val="Compact"/>
      </w:pPr>
      <w:r>
        <w:t xml:space="preserve">endereços e informações de contato de clientes;</w:t>
      </w:r>
    </w:p>
    <w:p>
      <w:pPr>
        <w:numPr>
          <w:ilvl w:val="0"/>
          <w:numId w:val="1013"/>
        </w:numPr>
        <w:pStyle w:val="Compact"/>
      </w:pPr>
      <w:r>
        <w:t xml:space="preserve">especificações proprietárias de revestimento e preços;</w:t>
      </w:r>
    </w:p>
    <w:p>
      <w:pPr>
        <w:numPr>
          <w:ilvl w:val="0"/>
          <w:numId w:val="1013"/>
        </w:numPr>
        <w:pStyle w:val="Compact"/>
      </w:pPr>
      <w:r>
        <w:t xml:space="preserve">registros de incidentes e segurança;</w:t>
      </w:r>
    </w:p>
    <w:p>
      <w:pPr>
        <w:numPr>
          <w:ilvl w:val="0"/>
          <w:numId w:val="1013"/>
        </w:numPr>
        <w:pStyle w:val="Compact"/>
      </w:pPr>
      <w:r>
        <w:t xml:space="preserve">fotografias feitas em instalações industriais ou de clientes; e</w:t>
      </w:r>
    </w:p>
    <w:p>
      <w:pPr>
        <w:numPr>
          <w:ilvl w:val="0"/>
          <w:numId w:val="1013"/>
        </w:numPr>
        <w:pStyle w:val="Compact"/>
      </w:pPr>
      <w:r>
        <w:t xml:space="preserve">uso de dispositivos pessoais ou ferramentas públicas de IA.</w:t>
      </w:r>
    </w:p>
    <w:p>
      <w:pPr>
        <w:pStyle w:val="FirstParagraph"/>
      </w:pPr>
      <w:r>
        <w:t xml:space="preserve">Verifique solicitações incomuns de alteração bancária, pagamentos urgentes, redefinição de credenciais ou transferência de arquivos confidenciais por um segundo canal aprovado.</w:t>
      </w:r>
    </w:p>
    <w:bookmarkEnd w:id="51"/>
    <w:bookmarkStart w:id="52" w:name="X8f79df2e857976c996ca6b49f712c76a228e8f1"/>
    <w:p>
      <w:pPr>
        <w:pStyle w:val="Heading2"/>
      </w:pPr>
      <w:r>
        <w:t xml:space="preserve">Como evitar golpes e ofertas fracas de treinamento</w:t>
      </w:r>
    </w:p>
    <w:p>
      <w:pPr>
        <w:pStyle w:val="FirstParagraph"/>
      </w:pPr>
      <w:r>
        <w:t xml:space="preserve">Tenha cautela quando um provedor de treinamento, recrutador ou empregador:</w:t>
      </w:r>
    </w:p>
    <w:p>
      <w:pPr>
        <w:numPr>
          <w:ilvl w:val="0"/>
          <w:numId w:val="1014"/>
        </w:numPr>
        <w:pStyle w:val="Compact"/>
      </w:pPr>
      <w:r>
        <w:t xml:space="preserve">garantir emprego, aprendizagem, licença ou salário específico;</w:t>
      </w:r>
    </w:p>
    <w:p>
      <w:pPr>
        <w:numPr>
          <w:ilvl w:val="0"/>
          <w:numId w:val="1014"/>
        </w:numPr>
        <w:pStyle w:val="Compact"/>
      </w:pPr>
      <w:r>
        <w:t xml:space="preserve">afirmar que um certificado privado é legalmente obrigatório sem mostrar a regra oficial;</w:t>
      </w:r>
    </w:p>
    <w:p>
      <w:pPr>
        <w:numPr>
          <w:ilvl w:val="0"/>
          <w:numId w:val="1014"/>
        </w:numPr>
        <w:pStyle w:val="Compact"/>
      </w:pPr>
      <w:r>
        <w:t xml:space="preserve">pressionar você a pagar imediatamente;</w:t>
      </w:r>
    </w:p>
    <w:p>
      <w:pPr>
        <w:numPr>
          <w:ilvl w:val="0"/>
          <w:numId w:val="1014"/>
        </w:numPr>
        <w:pStyle w:val="Compact"/>
      </w:pPr>
      <w:r>
        <w:t xml:space="preserve">não divulgar o valor total da mensalidade, custos de equipamentos, regras de reembolso ou reconhecimento da credencial;</w:t>
      </w:r>
    </w:p>
    <w:p>
      <w:pPr>
        <w:numPr>
          <w:ilvl w:val="0"/>
          <w:numId w:val="1014"/>
        </w:numPr>
        <w:pStyle w:val="Compact"/>
      </w:pPr>
      <w:r>
        <w:t xml:space="preserve">afirmar que um curso on-line curto, por si só, autoriza trabalhos perigosos de pulverização, jateamento, proteção respiratória, chumbo, andaimes ou espaços confinados;</w:t>
      </w:r>
    </w:p>
    <w:p>
      <w:pPr>
        <w:numPr>
          <w:ilvl w:val="0"/>
          <w:numId w:val="1014"/>
        </w:numPr>
        <w:pStyle w:val="Compact"/>
      </w:pPr>
      <w:r>
        <w:t xml:space="preserve">pedir que você pague por uma oferta de trabalho ou envio de equipamento usando cartões-presente, criptomoedas ou métodos de pagamento incomuns; ou</w:t>
      </w:r>
    </w:p>
    <w:p>
      <w:pPr>
        <w:numPr>
          <w:ilvl w:val="0"/>
          <w:numId w:val="1014"/>
        </w:numPr>
        <w:pStyle w:val="Compact"/>
      </w:pPr>
      <w:r>
        <w:t xml:space="preserve">solicitar informações sensíveis de identidade ou bancárias antes que você consiga verificar a organização de forma independente.</w:t>
      </w:r>
    </w:p>
    <w:p>
      <w:pPr>
        <w:pStyle w:val="FirstParagraph"/>
      </w:pPr>
      <w:r>
        <w:t xml:space="preserve">Use fontes oficiais do governo, sistemas de aprendizagem, empregadores, sindicatos/indústria ou treinamento público reconhecido para verificar afirmações.</w:t>
      </w:r>
    </w:p>
    <w:bookmarkEnd w:id="52"/>
    <w:bookmarkStart w:id="53" w:name="quando-parar-antes-de-gastar-dinheiro"/>
    <w:p>
      <w:pPr>
        <w:pStyle w:val="Heading2"/>
      </w:pPr>
      <w:r>
        <w:t xml:space="preserve">Quando parar antes de gastar dinheiro</w:t>
      </w:r>
    </w:p>
    <w:p>
      <w:pPr>
        <w:pStyle w:val="FirstParagraph"/>
      </w:pPr>
      <w:r>
        <w:t xml:space="preserve">Pare antes de pagar quando:</w:t>
      </w:r>
    </w:p>
    <w:p>
      <w:pPr>
        <w:numPr>
          <w:ilvl w:val="0"/>
          <w:numId w:val="1015"/>
        </w:numPr>
        <w:pStyle w:val="Compact"/>
      </w:pPr>
      <w:r>
        <w:t xml:space="preserve">empregadores locais não pedirem repetidamente a credencial;</w:t>
      </w:r>
    </w:p>
    <w:p>
      <w:pPr>
        <w:numPr>
          <w:ilvl w:val="0"/>
          <w:numId w:val="1015"/>
        </w:numPr>
        <w:pStyle w:val="Compact"/>
      </w:pPr>
      <w:r>
        <w:t xml:space="preserve">o provedor não conseguir explicar se o curso se aplica a pintura de construção, revestimento industrial, repintura automotiva ou outra especialidade;</w:t>
      </w:r>
    </w:p>
    <w:p>
      <w:pPr>
        <w:numPr>
          <w:ilvl w:val="0"/>
          <w:numId w:val="1015"/>
        </w:numPr>
        <w:pStyle w:val="Compact"/>
      </w:pPr>
      <w:r>
        <w:t xml:space="preserve">treinamento público ou pago pelo empregador puder cobrir a mesma habilidade;</w:t>
      </w:r>
    </w:p>
    <w:p>
      <w:pPr>
        <w:numPr>
          <w:ilvl w:val="0"/>
          <w:numId w:val="1015"/>
        </w:numPr>
        <w:pStyle w:val="Compact"/>
      </w:pPr>
      <w:r>
        <w:t xml:space="preserve">você não tiver verificado se uma credencial é reconhecida em sua jurisdição;</w:t>
      </w:r>
    </w:p>
    <w:p>
      <w:pPr>
        <w:numPr>
          <w:ilvl w:val="0"/>
          <w:numId w:val="1015"/>
        </w:numPr>
        <w:pStyle w:val="Compact"/>
      </w:pPr>
      <w:r>
        <w:t xml:space="preserve">o provedor não puder informar por escrito o custo total e as condições de reembolso;</w:t>
      </w:r>
    </w:p>
    <w:p>
      <w:pPr>
        <w:numPr>
          <w:ilvl w:val="0"/>
          <w:numId w:val="1015"/>
        </w:numPr>
        <w:pStyle w:val="Compact"/>
      </w:pPr>
      <w:r>
        <w:t xml:space="preserve">o curso incentivar prática perigosa sem controles supervisionados; ou</w:t>
      </w:r>
    </w:p>
    <w:p>
      <w:pPr>
        <w:numPr>
          <w:ilvl w:val="0"/>
          <w:numId w:val="1015"/>
        </w:numPr>
        <w:pStyle w:val="Compact"/>
      </w:pPr>
      <w:r>
        <w:t xml:space="preserve">o financiamento criar uma dívida que você não consegue pagar confortavelmente.</w:t>
      </w:r>
    </w:p>
    <w:bookmarkEnd w:id="53"/>
    <w:bookmarkStart w:id="70" w:name="fontes-atuais"/>
    <w:p>
      <w:pPr>
        <w:pStyle w:val="Heading2"/>
      </w:pPr>
      <w:r>
        <w:t xml:space="preserve">Fontes atuais</w:t>
      </w:r>
    </w:p>
    <w:p>
      <w:pPr>
        <w:pStyle w:val="FirstParagraph"/>
      </w:pPr>
      <w:r>
        <w:t xml:space="preserve">Fontes oficiais/públicas:</w:t>
      </w:r>
    </w:p>
    <w:p>
      <w:pPr>
        <w:numPr>
          <w:ilvl w:val="0"/>
          <w:numId w:val="1016"/>
        </w:numPr>
        <w:pStyle w:val="Compact"/>
      </w:pPr>
      <w:r>
        <w:t xml:space="preserve">U.S. Bureau of Labor Statistics — Painters, Construction and Maintenance:</w:t>
      </w:r>
      <w:r>
        <w:t xml:space="preserve"> </w:t>
      </w:r>
      <w:hyperlink r:id="rId54">
        <w:r>
          <w:rPr>
            <w:rStyle w:val="Hyperlink"/>
          </w:rPr>
          <w:t xml:space="preserve">https://www.bls.gov/ooh/construction-and-extraction/painters-construction-and-maintenance.htm</w:t>
        </w:r>
      </w:hyperlink>
    </w:p>
    <w:p>
      <w:pPr>
        <w:numPr>
          <w:ilvl w:val="0"/>
          <w:numId w:val="1016"/>
        </w:numPr>
        <w:pStyle w:val="Compact"/>
      </w:pPr>
      <w:r>
        <w:t xml:space="preserve">O*NET OnLine — Coating, Painting, and Spraying Machine Setters, Operators, and Tenders (51-9124.00):</w:t>
      </w:r>
      <w:r>
        <w:t xml:space="preserve"> </w:t>
      </w:r>
      <w:hyperlink r:id="rId55">
        <w:r>
          <w:rPr>
            <w:rStyle w:val="Hyperlink"/>
          </w:rPr>
          <w:t xml:space="preserve">https://www.onetonline.org/link/details/51-9124.00</w:t>
        </w:r>
      </w:hyperlink>
    </w:p>
    <w:p>
      <w:pPr>
        <w:numPr>
          <w:ilvl w:val="0"/>
          <w:numId w:val="1016"/>
        </w:numPr>
        <w:pStyle w:val="Compact"/>
      </w:pPr>
      <w:r>
        <w:t xml:space="preserve">OSHA — 29 CFR 1910.107, Spray finishing using flammable and combustible materials:</w:t>
      </w:r>
      <w:r>
        <w:t xml:space="preserve"> </w:t>
      </w:r>
      <w:hyperlink r:id="rId56">
        <w:r>
          <w:rPr>
            <w:rStyle w:val="Hyperlink"/>
          </w:rPr>
          <w:t xml:space="preserve">https://www.osha.gov/laws-regs/regulations/standardnumber/1910/1910.107</w:t>
        </w:r>
      </w:hyperlink>
    </w:p>
    <w:p>
      <w:pPr>
        <w:numPr>
          <w:ilvl w:val="0"/>
          <w:numId w:val="1016"/>
        </w:numPr>
        <w:pStyle w:val="Compact"/>
      </w:pPr>
      <w:r>
        <w:t xml:space="preserve">OSHA — 29 CFR 1926.62, Lead:</w:t>
      </w:r>
      <w:r>
        <w:t xml:space="preserve"> </w:t>
      </w:r>
      <w:hyperlink r:id="rId57">
        <w:r>
          <w:rPr>
            <w:rStyle w:val="Hyperlink"/>
          </w:rPr>
          <w:t xml:space="preserve">https://www.osha.gov/laws-regs/regulations/standardnumber/1926/1926.62</w:t>
        </w:r>
      </w:hyperlink>
    </w:p>
    <w:p>
      <w:pPr>
        <w:numPr>
          <w:ilvl w:val="0"/>
          <w:numId w:val="1016"/>
        </w:numPr>
        <w:pStyle w:val="Compact"/>
      </w:pPr>
      <w:r>
        <w:t xml:space="preserve">OSHA — 29 CFR 1910.134, Respiratory protection:</w:t>
      </w:r>
      <w:r>
        <w:t xml:space="preserve"> </w:t>
      </w:r>
      <w:hyperlink r:id="rId58">
        <w:r>
          <w:rPr>
            <w:rStyle w:val="Hyperlink"/>
          </w:rPr>
          <w:t xml:space="preserve">https://www.osha.gov/laws-regs/regulations/standardnumber/1910/1910.134</w:t>
        </w:r>
      </w:hyperlink>
    </w:p>
    <w:p>
      <w:pPr>
        <w:numPr>
          <w:ilvl w:val="0"/>
          <w:numId w:val="1016"/>
        </w:numPr>
        <w:pStyle w:val="Compact"/>
      </w:pPr>
      <w:r>
        <w:t xml:space="preserve">Red Seal Program — Painter and Decorator:</w:t>
      </w:r>
      <w:r>
        <w:t xml:space="preserve"> </w:t>
      </w:r>
      <w:hyperlink r:id="rId59">
        <w:r>
          <w:rPr>
            <w:rStyle w:val="Hyperlink"/>
          </w:rPr>
          <w:t xml:space="preserve">https://red-seal.ca/eng/trades/painter-decorator.shtml</w:t>
        </w:r>
      </w:hyperlink>
    </w:p>
    <w:p>
      <w:pPr>
        <w:numPr>
          <w:ilvl w:val="0"/>
          <w:numId w:val="1016"/>
        </w:numPr>
        <w:pStyle w:val="Compact"/>
      </w:pPr>
      <w:r>
        <w:t xml:space="preserve">Red Seal Occupational Standard — Painter and Decorator:</w:t>
      </w:r>
      <w:r>
        <w:t xml:space="preserve"> </w:t>
      </w:r>
      <w:hyperlink r:id="rId60">
        <w:r>
          <w:rPr>
            <w:rStyle w:val="Hyperlink"/>
          </w:rPr>
          <w:t xml:space="preserve">https://red-seal.ca/eng/trades/paintdeco/overview.shtml</w:t>
        </w:r>
      </w:hyperlink>
    </w:p>
    <w:p>
      <w:pPr>
        <w:numPr>
          <w:ilvl w:val="0"/>
          <w:numId w:val="1016"/>
        </w:numPr>
        <w:pStyle w:val="Compact"/>
      </w:pPr>
      <w:r>
        <w:t xml:space="preserve">Government of Canada Job Bank — Painters and decorators wages:</w:t>
      </w:r>
      <w:r>
        <w:t xml:space="preserve"> </w:t>
      </w:r>
      <w:hyperlink r:id="rId61">
        <w:r>
          <w:rPr>
            <w:rStyle w:val="Hyperlink"/>
          </w:rPr>
          <w:t xml:space="preserve">https://www.jobbank.gc.ca/wagereport/occupation/6523</w:t>
        </w:r>
      </w:hyperlink>
    </w:p>
    <w:p>
      <w:pPr>
        <w:numPr>
          <w:ilvl w:val="0"/>
          <w:numId w:val="1016"/>
        </w:numPr>
        <w:pStyle w:val="Compact"/>
      </w:pPr>
      <w:r>
        <w:t xml:space="preserve">Government of Canada Job Bank — Industrial painters/coaters wages:</w:t>
      </w:r>
      <w:r>
        <w:t xml:space="preserve"> </w:t>
      </w:r>
      <w:hyperlink r:id="rId62">
        <w:r>
          <w:rPr>
            <w:rStyle w:val="Hyperlink"/>
          </w:rPr>
          <w:t xml:space="preserve">https://www.jobbank.gc.ca/wagereport/occupation/18915</w:t>
        </w:r>
      </w:hyperlink>
    </w:p>
    <w:p>
      <w:pPr>
        <w:numPr>
          <w:ilvl w:val="0"/>
          <w:numId w:val="1016"/>
        </w:numPr>
        <w:pStyle w:val="Compact"/>
      </w:pPr>
      <w:r>
        <w:t xml:space="preserve">Government of Canada Job Bank — Industrial painter labour-market summary:</w:t>
      </w:r>
      <w:r>
        <w:t xml:space="preserve"> </w:t>
      </w:r>
      <w:hyperlink r:id="rId63">
        <w:r>
          <w:rPr>
            <w:rStyle w:val="Hyperlink"/>
          </w:rPr>
          <w:t xml:space="preserve">https://www.jobbank.gc.ca/marketreport/summary-occupation/18980/ca</w:t>
        </w:r>
      </w:hyperlink>
    </w:p>
    <w:p>
      <w:pPr>
        <w:numPr>
          <w:ilvl w:val="0"/>
          <w:numId w:val="1016"/>
        </w:numPr>
        <w:pStyle w:val="Compact"/>
      </w:pPr>
      <w:r>
        <w:t xml:space="preserve">Colombia Ministry of Labour OCUPACOL — Pintores y empapeladores:</w:t>
      </w:r>
      <w:r>
        <w:t xml:space="preserve"> </w:t>
      </w:r>
      <w:hyperlink r:id="rId64">
        <w:r>
          <w:rPr>
            <w:rStyle w:val="Hyperlink"/>
          </w:rPr>
          <w:t xml:space="preserve">https://ocupacol.mintrabajo.gov.co/Profile/OccupationalProfile/71310</w:t>
        </w:r>
      </w:hyperlink>
    </w:p>
    <w:p>
      <w:pPr>
        <w:numPr>
          <w:ilvl w:val="0"/>
          <w:numId w:val="1016"/>
        </w:numPr>
        <w:pStyle w:val="Compact"/>
      </w:pPr>
      <w:r>
        <w:t xml:space="preserve">SENA — training framework including Pintura arquitectónica y acabados especiales:</w:t>
      </w:r>
      <w:r>
        <w:t xml:space="preserve"> </w:t>
      </w:r>
      <w:hyperlink r:id="rId65">
        <w:r>
          <w:rPr>
            <w:rStyle w:val="Hyperlink"/>
          </w:rPr>
          <w:t xml:space="preserve">https://normograma.sena.edu.co/compilacion/docs/circular_sena_0021_2025.htm</w:t>
        </w:r>
      </w:hyperlink>
    </w:p>
    <w:p>
      <w:pPr>
        <w:numPr>
          <w:ilvl w:val="0"/>
          <w:numId w:val="1016"/>
        </w:numPr>
        <w:pStyle w:val="Compact"/>
      </w:pPr>
      <w:r>
        <w:t xml:space="preserve">SENA — architectural-painting training example:</w:t>
      </w:r>
      <w:r>
        <w:t xml:space="preserve"> </w:t>
      </w:r>
      <w:hyperlink r:id="rId66">
        <w:r>
          <w:rPr>
            <w:rStyle w:val="Hyperlink"/>
          </w:rPr>
          <w:t xml:space="preserve">https://www.sena.edu.co/es-co/Noticias/Paginas/noticia.aspx?IdNoticia=7988</w:t>
        </w:r>
      </w:hyperlink>
    </w:p>
    <w:p>
      <w:pPr>
        <w:numPr>
          <w:ilvl w:val="0"/>
          <w:numId w:val="1016"/>
        </w:numPr>
        <w:pStyle w:val="Compact"/>
      </w:pPr>
      <w:r>
        <w:t xml:space="preserve">OIT/Cinterfor — institutional vocational-training network:</w:t>
      </w:r>
      <w:r>
        <w:t xml:space="preserve"> </w:t>
      </w:r>
      <w:hyperlink r:id="rId67">
        <w:r>
          <w:rPr>
            <w:rStyle w:val="Hyperlink"/>
          </w:rPr>
          <w:t xml:space="preserve">https://www.oitcinterfor.org/red-institucional</w:t>
        </w:r>
      </w:hyperlink>
    </w:p>
    <w:p>
      <w:pPr>
        <w:numPr>
          <w:ilvl w:val="0"/>
          <w:numId w:val="1016"/>
        </w:numPr>
        <w:pStyle w:val="Compact"/>
      </w:pPr>
      <w:r>
        <w:t xml:space="preserve">OIT/Cinterfor — Central America, Panama, Dominican Republic and Haiti vocational-training network:</w:t>
      </w:r>
      <w:r>
        <w:t xml:space="preserve"> </w:t>
      </w:r>
      <w:hyperlink r:id="rId68">
        <w:r>
          <w:rPr>
            <w:rStyle w:val="Hyperlink"/>
          </w:rPr>
          <w:t xml:space="preserve">https://www.oitcinterfor.org/recursos/redIFP</w:t>
        </w:r>
      </w:hyperlink>
    </w:p>
    <w:p>
      <w:pPr>
        <w:numPr>
          <w:ilvl w:val="0"/>
          <w:numId w:val="1016"/>
        </w:numPr>
        <w:pStyle w:val="Compact"/>
      </w:pPr>
      <w:r>
        <w:t xml:space="preserve">Chile SENCE — construction training including painting and varnishing:</w:t>
      </w:r>
      <w:r>
        <w:t xml:space="preserve"> </w:t>
      </w:r>
      <w:hyperlink r:id="rId69">
        <w:r>
          <w:rPr>
            <w:rStyle w:val="Hyperlink"/>
          </w:rPr>
          <w:t xml:space="preserve">https://sence.gob.cl/node/5146</w:t>
        </w:r>
      </w:hyperlink>
    </w:p>
    <w:bookmarkEnd w:id="70"/>
    <w:bookmarkStart w:id="71" w:name="limitações-importantes"/>
    <w:p>
      <w:pPr>
        <w:pStyle w:val="Heading2"/>
      </w:pPr>
      <w:r>
        <w:t xml:space="preserve">Limitações importantes</w:t>
      </w:r>
    </w:p>
    <w:p>
      <w:pPr>
        <w:pStyle w:val="FirstParagraph"/>
      </w:pPr>
      <w:r>
        <w:t xml:space="preserve">Este guia fornece informações gerais de caráter educacional e de orientação profissional. Não constitui aconselhamento jurídico, aconselhamento de saúde ocupacional, aconselhamento médico, aconselhamento de conformidade ambiental, aconselhamento de engenharia, determinação de licenciamento nem substitui treinamento do empregador ou supervisão competente.</w:t>
      </w:r>
    </w:p>
    <w:p>
      <w:pPr>
        <w:pStyle w:val="BodyText"/>
      </w:pPr>
      <w:r>
        <w:t xml:space="preserve">A disponibilidade de treinamento, salários, classificações ocupacionais, regras de certificação, requisitos de licenciamento, normas de segurança e financiamento pode mudar. Verifique a regra vigente e a fonte local antes de agir.</w:t>
      </w:r>
    </w:p>
    <w:p>
      <w:pPr>
        <w:pStyle w:val="BodyText"/>
      </w:pPr>
      <w:r>
        <w:t xml:space="preserve">Esta edição não afirma ter certificação humana independente, certificação profissional de tradução, certificação de acessibilidade, revisão jurídica, aprovação ambiental, acreditação, emprego garantido nem rendimentos garantidos.</w:t>
      </w:r>
    </w:p>
    <w:bookmarkEnd w:id="71"/>
    <w:bookmarkEnd w:id="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5" Target="https://normograma.sena.edu.co/compilacion/docs/circular_sena_0021_2025.htm" TargetMode="External" /><Relationship Type="http://schemas.openxmlformats.org/officeDocument/2006/relationships/hyperlink" Id="rId64" Target="https://ocupacol.mintrabajo.gov.co/Profile/OccupationalProfile/71310" TargetMode="External" /><Relationship Type="http://schemas.openxmlformats.org/officeDocument/2006/relationships/hyperlink" Id="rId60" Target="https://red-seal.ca/eng/trades/paintdeco/overview.shtml" TargetMode="External" /><Relationship Type="http://schemas.openxmlformats.org/officeDocument/2006/relationships/hyperlink" Id="rId59" Target="https://red-seal.ca/eng/trades/painter-decorator.shtml" TargetMode="External" /><Relationship Type="http://schemas.openxmlformats.org/officeDocument/2006/relationships/hyperlink" Id="rId69" Target="https://sence.gob.cl/node/5146" TargetMode="External" /><Relationship Type="http://schemas.openxmlformats.org/officeDocument/2006/relationships/hyperlink" Id="rId54" Target="https://www.bls.gov/ooh/construction-and-extraction/painters-construction-and-maintenance.htm" TargetMode="External" /><Relationship Type="http://schemas.openxmlformats.org/officeDocument/2006/relationships/hyperlink" Id="rId63" Target="https://www.jobbank.gc.ca/marketreport/summary-occupation/18980/ca" TargetMode="External" /><Relationship Type="http://schemas.openxmlformats.org/officeDocument/2006/relationships/hyperlink" Id="rId62" Target="https://www.jobbank.gc.ca/wagereport/occupation/18915" TargetMode="External" /><Relationship Type="http://schemas.openxmlformats.org/officeDocument/2006/relationships/hyperlink" Id="rId61" Target="https://www.jobbank.gc.ca/wagereport/occupation/6523" TargetMode="External" /><Relationship Type="http://schemas.openxmlformats.org/officeDocument/2006/relationships/hyperlink" Id="rId68" Target="https://www.oitcinterfor.org/recursos/redIFP" TargetMode="External" /><Relationship Type="http://schemas.openxmlformats.org/officeDocument/2006/relationships/hyperlink" Id="rId67" Target="https://www.oitcinterfor.org/red-institucional" TargetMode="External" /><Relationship Type="http://schemas.openxmlformats.org/officeDocument/2006/relationships/hyperlink" Id="rId55" Target="https://www.onetonline.org/link/details/51-9124.00" TargetMode="External" /><Relationship Type="http://schemas.openxmlformats.org/officeDocument/2006/relationships/hyperlink" Id="rId56" Target="https://www.osha.gov/laws-regs/regulations/standardnumber/1910/1910.107" TargetMode="External" /><Relationship Type="http://schemas.openxmlformats.org/officeDocument/2006/relationships/hyperlink" Id="rId58" Target="https://www.osha.gov/laws-regs/regulations/standardnumber/1910/1910.134" TargetMode="External" /><Relationship Type="http://schemas.openxmlformats.org/officeDocument/2006/relationships/hyperlink" Id="rId57" Target="https://www.osha.gov/laws-regs/regulations/standardnumber/1926/1926.62" TargetMode="External" /><Relationship Type="http://schemas.openxmlformats.org/officeDocument/2006/relationships/hyperlink" Id="rId66" Target="https://www.sena.edu.co/es-co/Noticias/Paginas/noticia.aspx?IdNoticia=7988" TargetMode="External" /></Relationships>
</file>

<file path=word/_rels/footnotes.xml.rels><?xml version="1.0" encoding="UTF-8"?><Relationships xmlns="http://schemas.openxmlformats.org/package/2006/relationships"><Relationship Type="http://schemas.openxmlformats.org/officeDocument/2006/relationships/hyperlink" Id="rId65" Target="https://normograma.sena.edu.co/compilacion/docs/circular_sena_0021_2025.htm" TargetMode="External" /><Relationship Type="http://schemas.openxmlformats.org/officeDocument/2006/relationships/hyperlink" Id="rId64" Target="https://ocupacol.mintrabajo.gov.co/Profile/OccupationalProfile/71310" TargetMode="External" /><Relationship Type="http://schemas.openxmlformats.org/officeDocument/2006/relationships/hyperlink" Id="rId60" Target="https://red-seal.ca/eng/trades/paintdeco/overview.shtml" TargetMode="External" /><Relationship Type="http://schemas.openxmlformats.org/officeDocument/2006/relationships/hyperlink" Id="rId59" Target="https://red-seal.ca/eng/trades/painter-decorator.shtml" TargetMode="External" /><Relationship Type="http://schemas.openxmlformats.org/officeDocument/2006/relationships/hyperlink" Id="rId69" Target="https://sence.gob.cl/node/5146" TargetMode="External" /><Relationship Type="http://schemas.openxmlformats.org/officeDocument/2006/relationships/hyperlink" Id="rId54" Target="https://www.bls.gov/ooh/construction-and-extraction/painters-construction-and-maintenance.htm" TargetMode="External" /><Relationship Type="http://schemas.openxmlformats.org/officeDocument/2006/relationships/hyperlink" Id="rId63" Target="https://www.jobbank.gc.ca/marketreport/summary-occupation/18980/ca" TargetMode="External" /><Relationship Type="http://schemas.openxmlformats.org/officeDocument/2006/relationships/hyperlink" Id="rId62" Target="https://www.jobbank.gc.ca/wagereport/occupation/18915" TargetMode="External" /><Relationship Type="http://schemas.openxmlformats.org/officeDocument/2006/relationships/hyperlink" Id="rId61" Target="https://www.jobbank.gc.ca/wagereport/occupation/6523" TargetMode="External" /><Relationship Type="http://schemas.openxmlformats.org/officeDocument/2006/relationships/hyperlink" Id="rId68" Target="https://www.oitcinterfor.org/recursos/redIFP" TargetMode="External" /><Relationship Type="http://schemas.openxmlformats.org/officeDocument/2006/relationships/hyperlink" Id="rId67" Target="https://www.oitcinterfor.org/red-institucional" TargetMode="External" /><Relationship Type="http://schemas.openxmlformats.org/officeDocument/2006/relationships/hyperlink" Id="rId55" Target="https://www.onetonline.org/link/details/51-9124.00" TargetMode="External" /><Relationship Type="http://schemas.openxmlformats.org/officeDocument/2006/relationships/hyperlink" Id="rId56" Target="https://www.osha.gov/laws-regs/regulations/standardnumber/1910/1910.107" TargetMode="External" /><Relationship Type="http://schemas.openxmlformats.org/officeDocument/2006/relationships/hyperlink" Id="rId58" Target="https://www.osha.gov/laws-regs/regulations/standardnumber/1910/1910.134" TargetMode="External" /><Relationship Type="http://schemas.openxmlformats.org/officeDocument/2006/relationships/hyperlink" Id="rId57" Target="https://www.osha.gov/laws-regs/regulations/standardnumber/1926/1926.62" TargetMode="External" /><Relationship Type="http://schemas.openxmlformats.org/officeDocument/2006/relationships/hyperlink" Id="rId66" Target="https://www.sena.edu.co/es-co/Noticias/Paginas/noticia.aspx?IdNoticia=798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2026-08-16T17:04:07Z</dcterms:created>
  <dcterms:modified xsi:type="dcterms:W3CDTF">2026-08-16T17:04:07Z</dcterms:modified>
</cp:coreProperties>
</file>

<file path=docProps/custom.xml><?xml version="1.0" encoding="utf-8"?>
<Properties xmlns="http://schemas.openxmlformats.org/officeDocument/2006/custom-properties" xmlns:vt="http://schemas.openxmlformats.org/officeDocument/2006/docPropsVTypes"/>
</file>