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c03a6e3831bb0ccfcf81fbbb845d593927072b"/>
    <w:p>
      <w:pPr>
        <w:pStyle w:val="Heading1"/>
      </w:pPr>
      <w:r>
        <w:t xml:space="preserve">Guía 42 — Pintor y trabajador de recubrimientos</w:t>
      </w:r>
    </w:p>
    <w:p>
      <w:pPr>
        <w:pStyle w:val="FirstParagraph"/>
      </w:pPr>
      <w:r>
        <w:rPr>
          <w:bCs/>
          <w:b/>
        </w:rPr>
        <w:t xml:space="preserve">Maestro de trabajo controlado en español latinoamericano neutro — versión 2.0</w:t>
      </w:r>
      <w:r>
        <w:br/>
      </w:r>
      <w:r>
        <w:rPr>
          <w:bCs/>
          <w:b/>
        </w:rPr>
        <w:t xml:space="preserve">Fecha de revisión:</w:t>
      </w:r>
      <w:r>
        <w:t xml:space="preserve"> </w:t>
      </w:r>
      <w:r>
        <w:t xml:space="preserve">15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El trabajo de pintura y recubrimientos incluye más de una ruta ocupacional. Esta guía separa dos formas de trabajo relacionadas para evitar que el lector suponga que la misma capacitación, los mismos riesgos, salarios o credenciales aplican en todos los casos.</w:t>
      </w:r>
    </w:p>
    <w:p>
      <w:pPr>
        <w:pStyle w:val="BodyText"/>
      </w:pPr>
      <w:r>
        <w:rPr>
          <w:bCs/>
          <w:b/>
        </w:rPr>
        <w:t xml:space="preserve">Los pintores de construcción y mantenimiento</w:t>
      </w:r>
      <w:r>
        <w:t xml:space="preserve"> </w:t>
      </w:r>
      <w:r>
        <w:t xml:space="preserve">preparan y recubren paredes, techos, edificios, puentes, maquinaria, equipos y otras estructuras. Pueden trabajar en interiores o exteriores, a nivel del suelo o en altura, y en proyectos de construcción nueva, renovación, mantenimiento o infraestructura.</w:t>
      </w:r>
    </w:p>
    <w:p>
      <w:pPr>
        <w:pStyle w:val="BodyText"/>
      </w:pPr>
      <w:r>
        <w:rPr>
          <w:bCs/>
          <w:b/>
        </w:rPr>
        <w:t xml:space="preserve">Los trabajadores de pintura y recubrimiento industrial</w:t>
      </w:r>
      <w:r>
        <w:t xml:space="preserve"> </w:t>
      </w:r>
      <w:r>
        <w:t xml:space="preserve">pueden utilizar pistolas de aspersión, sistemas de rodillos, máquinas de recubrimiento, equipos de pintura en polvo u otros procesos de producción para aplicar acabados protectores o decorativos a metal, madera, plástico, equipos de transporte, productos manufacturados y otras superficies.</w:t>
      </w:r>
    </w:p>
    <w:p>
      <w:pPr>
        <w:pStyle w:val="BodyText"/>
      </w:pPr>
      <w:r>
        <w:t xml:space="preserve">Los empleadores pueden usar cargos como pintor, pintor de construcción, pintor de mantenimiento, pintor industrial, pintor por aspersión, aplicador de pintura en polvo, pintor automotriz, operador de recubrimiento, técnico de pintura, trabajador de preparación de superficies, pintor-decorador u operador de acabado. El alcance exacto varía según el empleador y la jurisdicción.</w:t>
      </w:r>
    </w:p>
    <w:p>
      <w:pPr>
        <w:pStyle w:val="BodyText"/>
      </w:pPr>
      <w:r>
        <w:t xml:space="preserve">Esta guía es para exploración y preparación profesional. Verifica los requisitos locales vigentes, las reglas de licenciamiento o certificación, los requisitos de seguridad y la disponibilidad de capacitación antes de pagar por un programa o aceptar un trabajo.</w:t>
      </w:r>
    </w:p>
    <w:bookmarkEnd w:id="20"/>
    <w:bookmarkStart w:id="21" w:name="qué-podrías-hacer"/>
    <w:p>
      <w:pPr>
        <w:pStyle w:val="Heading2"/>
      </w:pPr>
      <w:r>
        <w:t xml:space="preserve">Qué podrías hacer</w:t>
      </w:r>
    </w:p>
    <w:p>
      <w:pPr>
        <w:pStyle w:val="FirstParagraph"/>
      </w:pPr>
      <w:r>
        <w:t xml:space="preserve">Según la ruta y el empleador, las responsabilidades pueden incluir:</w:t>
      </w:r>
    </w:p>
    <w:p>
      <w:pPr>
        <w:numPr>
          <w:ilvl w:val="0"/>
          <w:numId w:val="1001"/>
        </w:numPr>
        <w:pStyle w:val="Compact"/>
      </w:pPr>
      <w:r>
        <w:t xml:space="preserve">inspeccionar superficies e identificar necesidades de preparación;</w:t>
      </w:r>
    </w:p>
    <w:p>
      <w:pPr>
        <w:numPr>
          <w:ilvl w:val="0"/>
          <w:numId w:val="1001"/>
        </w:numPr>
        <w:pStyle w:val="Compact"/>
      </w:pPr>
      <w:r>
        <w:t xml:space="preserve">proteger áreas, equipos, accesorios o productos cercanos contra sobreaspersión o contaminación;</w:t>
      </w:r>
    </w:p>
    <w:p>
      <w:pPr>
        <w:numPr>
          <w:ilvl w:val="0"/>
          <w:numId w:val="1001"/>
        </w:numPr>
        <w:pStyle w:val="Compact"/>
      </w:pPr>
      <w:r>
        <w:t xml:space="preserve">limpiar, enmascarar, raspar, lijar, abrasionar, imprimar, sellar o preparar de otra forma superficies aprobadas usando métodos autorizados por el empleador;</w:t>
      </w:r>
    </w:p>
    <w:p>
      <w:pPr>
        <w:numPr>
          <w:ilvl w:val="0"/>
          <w:numId w:val="1001"/>
        </w:numPr>
        <w:pStyle w:val="Compact"/>
      </w:pPr>
      <w:r>
        <w:t xml:space="preserve">seleccionar o preparar materiales de recubrimiento según especificaciones e instrucciones del fabricante;</w:t>
      </w:r>
    </w:p>
    <w:p>
      <w:pPr>
        <w:numPr>
          <w:ilvl w:val="0"/>
          <w:numId w:val="1001"/>
        </w:numPr>
        <w:pStyle w:val="Compact"/>
      </w:pPr>
      <w:r>
        <w:t xml:space="preserve">aplicar pintura, imprimante, tinte, barniz, laca, recubrimientos protectores o acabados relacionados usando brochas, rodillos, equipos de aspersión o maquinaria de producción;</w:t>
      </w:r>
    </w:p>
    <w:p>
      <w:pPr>
        <w:numPr>
          <w:ilvl w:val="0"/>
          <w:numId w:val="1001"/>
        </w:numPr>
        <w:pStyle w:val="Compact"/>
      </w:pPr>
      <w:r>
        <w:t xml:space="preserve">operar o atender equipos de recubrimiento, aspersión, rodillado, curado o acabado cuando se tenga la capacitación y autorización correspondientes;</w:t>
      </w:r>
    </w:p>
    <w:p>
      <w:pPr>
        <w:numPr>
          <w:ilvl w:val="0"/>
          <w:numId w:val="1001"/>
        </w:numPr>
        <w:pStyle w:val="Compact"/>
      </w:pPr>
      <w:r>
        <w:t xml:space="preserve">revisar color, cobertura, espesor, adhesión, calidad del acabado, defectos o consistencia de producción;</w:t>
      </w:r>
    </w:p>
    <w:p>
      <w:pPr>
        <w:numPr>
          <w:ilvl w:val="0"/>
          <w:numId w:val="1001"/>
        </w:numPr>
        <w:pStyle w:val="Compact"/>
      </w:pPr>
      <w:r>
        <w:t xml:space="preserve">mantener las áreas de trabajo y las herramientas o equipos autorizados;</w:t>
      </w:r>
    </w:p>
    <w:p>
      <w:pPr>
        <w:numPr>
          <w:ilvl w:val="0"/>
          <w:numId w:val="1001"/>
        </w:numPr>
        <w:pStyle w:val="Compact"/>
      </w:pPr>
      <w:r>
        <w:t xml:space="preserve">leer órdenes de trabajo, etiquetas de productos, hojas de datos de seguridad, hojas de datos técnicos, planos y especificaciones de recubrimientos;</w:t>
      </w:r>
    </w:p>
    <w:p>
      <w:pPr>
        <w:numPr>
          <w:ilvl w:val="0"/>
          <w:numId w:val="1001"/>
        </w:numPr>
        <w:pStyle w:val="Compact"/>
      </w:pPr>
      <w:r>
        <w:t xml:space="preserve">registrar materiales, lotes, observaciones de calidad, finalización del trabajo o resultados de inspección; y</w:t>
      </w:r>
    </w:p>
    <w:p>
      <w:pPr>
        <w:numPr>
          <w:ilvl w:val="0"/>
          <w:numId w:val="1001"/>
        </w:numPr>
        <w:pStyle w:val="Compact"/>
      </w:pPr>
      <w:r>
        <w:t xml:space="preserve">detener el trabajo y escalar la situación cuando el sustrato, recubrimiento, entorno, ventilación, equipo, estado del material peligroso o condición de trabajo en altura sea inseguro o esté fuera de tu autorización.</w:t>
      </w:r>
    </w:p>
    <w:p>
      <w:pPr>
        <w:pStyle w:val="FirstParagraph"/>
      </w:pPr>
      <w:r>
        <w:t xml:space="preserve">Los pintores de construcción pueden pasar más tiempo en obras cambiantes, escaleras, andamios, trabajos exteriores, renovaciones, superficies de edificios y atención al cliente. Los trabajadores de recubrimiento industrial pueden pasar más tiempo en plantas, cabinas de pintura, líneas de producción, instalaciones de repintado, áreas controladas de recubrimiento o entornos manufactureros.</w:t>
      </w:r>
    </w:p>
    <w:bookmarkEnd w:id="21"/>
    <w:bookmarkStart w:id="22" w:name="entorno-de-trabajo-y-exigencias-físicas"/>
    <w:p>
      <w:pPr>
        <w:pStyle w:val="Heading2"/>
      </w:pPr>
      <w:r>
        <w:t xml:space="preserve">Entorno de trabajo y exigencias físicas</w:t>
      </w:r>
    </w:p>
    <w:p>
      <w:pPr>
        <w:pStyle w:val="FirstParagraph"/>
      </w:pPr>
      <w:r>
        <w:t xml:space="preserve">El trabajo de pintura y recubrimientos puede exigir permanecer de pie, agacharse, arrodillarse, alcanzar, levantar peso, trepar, realizar movimientos repetitivos de brazos, efectuar inspección visual cuidadosa y trabajar en ambientes calientes, fríos, polvorientos, ruidosos, húmedos o confinados. Algunos empleos requieren viajes o trabajo exterior estacional.</w:t>
      </w:r>
    </w:p>
    <w:p>
      <w:pPr>
        <w:pStyle w:val="BodyText"/>
      </w:pPr>
      <w:r>
        <w:t xml:space="preserve">BLS señala que los pintores de construcción y mantenimiento pueden trabajar a alturas extremas o en posiciones incómodas y pueden exponerse a caídas, sobreesfuerzos, polvo y otros irritantes. El recubrimiento industrial puede añadir riesgos relacionados con maquinaria, sistemas presurizados, materiales de acabado inflamables o combustibles, polvos, solventes, procesos de curado y líneas de producción.</w:t>
      </w:r>
    </w:p>
    <w:p>
      <w:pPr>
        <w:pStyle w:val="BodyText"/>
      </w:pPr>
      <w:r>
        <w:t xml:space="preserve">El lector debe evaluar las exigencias físicas y ambientales reales de un empleo específico. Cuando corresponda, los trabajadores pueden solicitar adaptaciones laborales legalmente permitidas, pero la viabilidad de una adaptación depende de las funciones esenciales y los requisitos de seguridad del puesto.</w:t>
      </w:r>
    </w:p>
    <w:bookmarkEnd w:id="22"/>
    <w:bookmarkStart w:id="23" w:name="la-seguridad-está-antes-que-la-velocidad"/>
    <w:p>
      <w:pPr>
        <w:pStyle w:val="Heading2"/>
      </w:pPr>
      <w:r>
        <w:t xml:space="preserve">La seguridad está antes que la velocidad</w:t>
      </w:r>
    </w:p>
    <w:p>
      <w:pPr>
        <w:pStyle w:val="FirstParagraph"/>
      </w:pPr>
      <w:r>
        <w:t xml:space="preserve">La pintura y los recubrimientos pueden volverse peligrosos rápidamente cuando el trabajo involucra recubrimientos antiguos desconocidos, limpieza abrasiva, acabado por aspersión, materiales inflamables, riesgos respiratorios, trabajo en altura, espacios confinados, equipos eléctricos o ventilación deficientemente controlada.</w:t>
      </w:r>
    </w:p>
    <w:p>
      <w:pPr>
        <w:pStyle w:val="BodyText"/>
      </w:pPr>
      <w:r>
        <w:t xml:space="preserve">No improvises una cabina de aspersión, un programa de respiradores, un sistema de ventilación, un método de protección contra caídas, un andamio, una configuración de escalera, un procedimiento para espacios confinados, un proceso de limpieza abrasiva ni un proceso de remoción de recubrimientos peligrosos. Sigue los procedimientos del empleador, las instrucciones del fabricante, las hojas de datos de seguridad, las hojas de datos técnicos y las normas que apliquen donde trabajas.</w:t>
      </w:r>
    </w:p>
    <w:p>
      <w:pPr>
        <w:pStyle w:val="BodyText"/>
      </w:pPr>
      <w:r>
        <w:t xml:space="preserve">Detén el trabajo y escala la situación si:</w:t>
      </w:r>
    </w:p>
    <w:p>
      <w:pPr>
        <w:numPr>
          <w:ilvl w:val="0"/>
          <w:numId w:val="1002"/>
        </w:numPr>
        <w:pStyle w:val="Compact"/>
      </w:pPr>
      <w:r>
        <w:t xml:space="preserve">una superficie puede contener plomo, asbesto u otro material peligroso heredado y su estado no ha sido evaluado;</w:t>
      </w:r>
    </w:p>
    <w:p>
      <w:pPr>
        <w:numPr>
          <w:ilvl w:val="0"/>
          <w:numId w:val="1002"/>
        </w:numPr>
        <w:pStyle w:val="Compact"/>
      </w:pPr>
      <w:r>
        <w:t xml:space="preserve">falta o no está clara la ventilación, protección respiratoria, puesta a tierra, protección contra incendios o PPE/EPP requerido;</w:t>
      </w:r>
    </w:p>
    <w:p>
      <w:pPr>
        <w:numPr>
          <w:ilvl w:val="0"/>
          <w:numId w:val="1002"/>
        </w:numPr>
        <w:pStyle w:val="Compact"/>
      </w:pPr>
      <w:r>
        <w:t xml:space="preserve">una escalera, andamio, anclaje, baranda, sistema de arnés o método de acceso parece inseguro;</w:t>
      </w:r>
    </w:p>
    <w:p>
      <w:pPr>
        <w:numPr>
          <w:ilvl w:val="0"/>
          <w:numId w:val="1002"/>
        </w:numPr>
        <w:pStyle w:val="Compact"/>
      </w:pPr>
      <w:r>
        <w:t xml:space="preserve">un recubrimiento o solvente no tiene etiqueta o carece de la información de seguridad requerida;</w:t>
      </w:r>
    </w:p>
    <w:p>
      <w:pPr>
        <w:numPr>
          <w:ilvl w:val="0"/>
          <w:numId w:val="1002"/>
        </w:numPr>
        <w:pStyle w:val="Compact"/>
      </w:pPr>
      <w:r>
        <w:t xml:space="preserve">se pueden mezclar o usar materiales incompatibles en la misma área;</w:t>
      </w:r>
    </w:p>
    <w:p>
      <w:pPr>
        <w:numPr>
          <w:ilvl w:val="0"/>
          <w:numId w:val="1002"/>
        </w:numPr>
        <w:pStyle w:val="Compact"/>
      </w:pPr>
      <w:r>
        <w:t xml:space="preserve">un área de aspersión presenta una fuente de ignición, falla de ventilación o acumulación no controlada de vapor o polvo;</w:t>
      </w:r>
    </w:p>
    <w:p>
      <w:pPr>
        <w:numPr>
          <w:ilvl w:val="0"/>
          <w:numId w:val="1002"/>
        </w:numPr>
        <w:pStyle w:val="Compact"/>
      </w:pPr>
      <w:r>
        <w:t xml:space="preserve">un espacio confinado o cerrado no ha sido evaluado y autorizado según el procedimiento aplicable; o</w:t>
      </w:r>
    </w:p>
    <w:p>
      <w:pPr>
        <w:numPr>
          <w:ilvl w:val="0"/>
          <w:numId w:val="1002"/>
        </w:numPr>
        <w:pStyle w:val="Compact"/>
      </w:pPr>
      <w:r>
        <w:t xml:space="preserve">no tienes capacitación o autorización para el equipo o proceso.</w:t>
      </w:r>
    </w:p>
    <w:bookmarkEnd w:id="23"/>
    <w:bookmarkStart w:id="24" w:name="X67856b2f496c28a893c233f734e0775de27398e"/>
    <w:p>
      <w:pPr>
        <w:pStyle w:val="Heading2"/>
      </w:pPr>
      <w:r>
        <w:t xml:space="preserve">Plomo, recubrimientos antiguos y alteración de superficies peligrosas</w:t>
      </w:r>
    </w:p>
    <w:p>
      <w:pPr>
        <w:pStyle w:val="FirstParagraph"/>
      </w:pPr>
      <w:r>
        <w:t xml:space="preserve">Las superficies antiguas pintadas o recubiertas pueden contener sustancias peligrosas. En Estados Unidos, la norma de OSHA para plomo en construcción,</w:t>
      </w:r>
      <w:r>
        <w:t xml:space="preserve"> </w:t>
      </w:r>
      <w:r>
        <w:rPr>
          <w:bCs/>
          <w:b/>
        </w:rPr>
        <w:t xml:space="preserve">29 CFR 1926.62</w:t>
      </w:r>
      <w:r>
        <w:t xml:space="preserve">, aplica al trabajo de construcción donde los empleados pueden estar ocupacionalmente expuestos al plomo, incluida la pintura y decoración, renovación, raspado, lijado, pintura por aspersión con pintura que contenga plomo y limpieza abrasiva donde haya recubrimientos con plomo.</w:t>
      </w:r>
    </w:p>
    <w:p>
      <w:pPr>
        <w:pStyle w:val="BodyText"/>
      </w:pPr>
      <w:r>
        <w:t xml:space="preserve">Esto</w:t>
      </w:r>
      <w:r>
        <w:t xml:space="preserve"> </w:t>
      </w:r>
      <w:r>
        <w:rPr>
          <w:bCs/>
          <w:b/>
        </w:rPr>
        <w:t xml:space="preserve">no</w:t>
      </w:r>
      <w:r>
        <w:t xml:space="preserve"> </w:t>
      </w:r>
      <w:r>
        <w:t xml:space="preserve">significa que todo recubrimiento antiguo contenga plomo ni autoriza a un trabajador a analizar o retirar por su cuenta un recubrimiento sospechoso. Significa que los recubrimientos peligrosos conocidos o de estado desconocido requieren la evaluación y los controles aplicables del empleador antes de alterarlos.</w:t>
      </w:r>
    </w:p>
    <w:p>
      <w:pPr>
        <w:pStyle w:val="BodyText"/>
      </w:pPr>
      <w:r>
        <w:t xml:space="preserve">Por ello, la versión 2 usa un límite simple:</w:t>
      </w:r>
      <w:r>
        <w:t xml:space="preserve"> </w:t>
      </w:r>
      <w:r>
        <w:rPr>
          <w:bCs/>
          <w:b/>
        </w:rPr>
        <w:t xml:space="preserve">si se desconoce el estado del material peligroso, detente y obtén la evaluación requerida antes de alterar la superficie.</w:t>
      </w:r>
      <w:r>
        <w:t xml:space="preserve"> </w:t>
      </w:r>
      <w:r>
        <w:t xml:space="preserve">Una precaución similar aplica a materiales que puedan contener asbesto y a otros sustratos contaminados.</w:t>
      </w:r>
    </w:p>
    <w:bookmarkEnd w:id="24"/>
    <w:bookmarkStart w:id="25" w:name="X7e939683b677dba759b0a9f952a8ea3c1ba1dc6"/>
    <w:p>
      <w:pPr>
        <w:pStyle w:val="Heading2"/>
      </w:pPr>
      <w:r>
        <w:t xml:space="preserve">Acabado por aspersión, solventes y riesgos de incendio/explosión</w:t>
      </w:r>
    </w:p>
    <w:p>
      <w:pPr>
        <w:pStyle w:val="FirstParagraph"/>
      </w:pPr>
      <w:r>
        <w:t xml:space="preserve">OSHA</w:t>
      </w:r>
      <w:r>
        <w:t xml:space="preserve"> </w:t>
      </w:r>
      <w:r>
        <w:rPr>
          <w:bCs/>
          <w:b/>
        </w:rPr>
        <w:t xml:space="preserve">29 CFR 1910.107</w:t>
      </w:r>
      <w:r>
        <w:t xml:space="preserve"> </w:t>
      </w:r>
      <w:r>
        <w:t xml:space="preserve">aborda el acabado por aspersión utilizando materiales inflamables y combustibles. Incluye requisitos sobre áreas de aspersión, ventilación y extracción, control de fuentes de ignición, puesta a tierra y equipotencialidad, construcción de cabinas, orden y limpieza, eliminación de residuos, manejo de líquidos inflamables, recubrimiento en polvo y protección contra incendios.</w:t>
      </w:r>
    </w:p>
    <w:p>
      <w:pPr>
        <w:pStyle w:val="BodyText"/>
      </w:pPr>
      <w:r>
        <w:t xml:space="preserve">Una guía profesional no puede determinar el diseño correcto de una cabina, la tasa de ventilación, la clasificación eléctrica, el método de puesta a tierra ni el sistema de protección contra incendios de una instalación específica. Esos controles corresponden a empleadores calificados, ingenieros, personal de seguridad y autoridades competentes.</w:t>
      </w:r>
    </w:p>
    <w:p>
      <w:pPr>
        <w:pStyle w:val="BodyText"/>
      </w:pPr>
      <w:r>
        <w:t xml:space="preserve">Los trabajadores deben saber cómo localizar y seguir la hoja de datos de seguridad y la hoja de datos técnicos del producto y deben reportar etiquetas faltantes, equipos dañados, alarmas de ventilación, olores fuertes inesperados, fugas, derrames, acumulación visible de vapor o polvo y otras condiciones anormales mediante el proceso del empleador.</w:t>
      </w:r>
    </w:p>
    <w:bookmarkEnd w:id="25"/>
    <w:bookmarkStart w:id="26" w:name="protección-respiratoria"/>
    <w:p>
      <w:pPr>
        <w:pStyle w:val="Heading2"/>
      </w:pPr>
      <w:r>
        <w:t xml:space="preserve">Protección respiratoria</w:t>
      </w:r>
    </w:p>
    <w:p>
      <w:pPr>
        <w:pStyle w:val="FirstParagraph"/>
      </w:pPr>
      <w:r>
        <w:t xml:space="preserve">Los respiradores no son intercambiables con cubiertas faciales comunes, y un cartucho que sirve para un peligro puede ser incorrecto para otro. En Estados Unidos, OSHA</w:t>
      </w:r>
      <w:r>
        <w:t xml:space="preserve"> </w:t>
      </w:r>
      <w:r>
        <w:rPr>
          <w:bCs/>
          <w:b/>
        </w:rPr>
        <w:t xml:space="preserve">29 CFR 1910.134</w:t>
      </w:r>
      <w:r>
        <w:t xml:space="preserve"> </w:t>
      </w:r>
      <w:r>
        <w:t xml:space="preserve">establece requisitos para programas de protección respiratoria cuando se requieren respiradores, incluidos evaluación médica, prueba de ajuste, selección, capacitación, mantenimiento y administración del programa.</w:t>
      </w:r>
    </w:p>
    <w:p>
      <w:pPr>
        <w:pStyle w:val="BodyText"/>
      </w:pPr>
      <w:r>
        <w:t xml:space="preserve">No elijas por tu cuenta un respirador o cartucho como sustituto de la evaluación de peligros y del programa de protección respiratoria del empleador. Si se requiere un respirador, usa solamente el equipo, filtros/cartuchos, proceso de prueba de ajuste y calendario de reemplazo aprobados para ese trabajo.</w:t>
      </w:r>
    </w:p>
    <w:bookmarkEnd w:id="26"/>
    <w:bookmarkStart w:id="27" w:name="habilidades-importantes"/>
    <w:p>
      <w:pPr>
        <w:pStyle w:val="Heading2"/>
      </w:pPr>
      <w:r>
        <w:t xml:space="preserve">Habilidades importantes</w:t>
      </w:r>
    </w:p>
    <w:p>
      <w:pPr>
        <w:pStyle w:val="FirstParagraph"/>
      </w:pPr>
      <w:r>
        <w:t xml:space="preserve">Los empleadores suelen valorar:</w:t>
      </w:r>
    </w:p>
    <w:p>
      <w:pPr>
        <w:numPr>
          <w:ilvl w:val="0"/>
          <w:numId w:val="1003"/>
        </w:numPr>
        <w:pStyle w:val="Compact"/>
      </w:pPr>
      <w:r>
        <w:t xml:space="preserve">inspección y preparación cuidadosa de superficies;</w:t>
      </w:r>
    </w:p>
    <w:p>
      <w:pPr>
        <w:numPr>
          <w:ilvl w:val="0"/>
          <w:numId w:val="1003"/>
        </w:numPr>
        <w:pStyle w:val="Compact"/>
      </w:pPr>
      <w:r>
        <w:t xml:space="preserve">atención al detalle y calidad del acabado;</w:t>
      </w:r>
    </w:p>
    <w:p>
      <w:pPr>
        <w:numPr>
          <w:ilvl w:val="0"/>
          <w:numId w:val="1003"/>
        </w:numPr>
        <w:pStyle w:val="Compact"/>
      </w:pPr>
      <w:r>
        <w:t xml:space="preserve">capacidad para seguir especificaciones escritas e instrucciones del fabricante;</w:t>
      </w:r>
    </w:p>
    <w:p>
      <w:pPr>
        <w:numPr>
          <w:ilvl w:val="0"/>
          <w:numId w:val="1003"/>
        </w:numPr>
        <w:pStyle w:val="Compact"/>
      </w:pPr>
      <w:r>
        <w:t xml:space="preserve">medición y aritmética básica;</w:t>
      </w:r>
    </w:p>
    <w:p>
      <w:pPr>
        <w:numPr>
          <w:ilvl w:val="0"/>
          <w:numId w:val="1003"/>
        </w:numPr>
        <w:pStyle w:val="Compact"/>
      </w:pPr>
      <w:r>
        <w:t xml:space="preserve">reconocimiento de color, textura y defectos cuando corresponda;</w:t>
      </w:r>
    </w:p>
    <w:p>
      <w:pPr>
        <w:numPr>
          <w:ilvl w:val="0"/>
          <w:numId w:val="1003"/>
        </w:numPr>
        <w:pStyle w:val="Compact"/>
      </w:pPr>
      <w:r>
        <w:t xml:space="preserve">uso seguro de brochas, rodillos, equipos de aspersión y maquinaria de producción dentro de la autorización otorgada;</w:t>
      </w:r>
    </w:p>
    <w:p>
      <w:pPr>
        <w:numPr>
          <w:ilvl w:val="0"/>
          <w:numId w:val="1003"/>
        </w:numPr>
        <w:pStyle w:val="Compact"/>
      </w:pPr>
      <w:r>
        <w:t xml:space="preserve">conocimiento básico de materiales, incluidos imprimantes, recubrimientos, solventes, selladores y sustratos compatibles;</w:t>
      </w:r>
    </w:p>
    <w:p>
      <w:pPr>
        <w:numPr>
          <w:ilvl w:val="0"/>
          <w:numId w:val="1003"/>
        </w:numPr>
        <w:pStyle w:val="Compact"/>
      </w:pPr>
      <w:r>
        <w:t xml:space="preserve">conciencia de control de calidad;</w:t>
      </w:r>
    </w:p>
    <w:p>
      <w:pPr>
        <w:numPr>
          <w:ilvl w:val="0"/>
          <w:numId w:val="1003"/>
        </w:numPr>
        <w:pStyle w:val="Compact"/>
      </w:pPr>
      <w:r>
        <w:t xml:space="preserve">orden, limpieza y control de contaminación;</w:t>
      </w:r>
    </w:p>
    <w:p>
      <w:pPr>
        <w:numPr>
          <w:ilvl w:val="0"/>
          <w:numId w:val="1003"/>
        </w:numPr>
        <w:pStyle w:val="Compact"/>
      </w:pPr>
      <w:r>
        <w:t xml:space="preserve">hábitos de trabajo seguros alrededor de escaleras, andamios, maquinaria, sustancias químicas y vehículos;</w:t>
      </w:r>
    </w:p>
    <w:p>
      <w:pPr>
        <w:numPr>
          <w:ilvl w:val="0"/>
          <w:numId w:val="1003"/>
        </w:numPr>
        <w:pStyle w:val="Compact"/>
      </w:pPr>
      <w:r>
        <w:t xml:space="preserve">comunicación con supervisores, clientes, equipos de producción, inspectores y otros oficios; y</w:t>
      </w:r>
    </w:p>
    <w:p>
      <w:pPr>
        <w:numPr>
          <w:ilvl w:val="0"/>
          <w:numId w:val="1003"/>
        </w:numPr>
        <w:pStyle w:val="Compact"/>
      </w:pPr>
      <w:r>
        <w:t xml:space="preserve">confiabilidad, puntualidad y disposición para aprender sistemas específicos del empleador.</w:t>
      </w:r>
    </w:p>
    <w:p>
      <w:pPr>
        <w:pStyle w:val="FirstParagraph"/>
      </w:pPr>
      <w:r>
        <w:t xml:space="preserve">Las habilidades digitales también pueden ayudar con órdenes de trabajo, planos electrónicos, hojas de datos de productos, documentación de seguridad, inventario, registros de calidad, sistemas de mantenimiento o reportes de obra. Ningún producto de software específico es requerido universalmente.</w:t>
      </w:r>
    </w:p>
    <w:bookmarkEnd w:id="27"/>
    <w:bookmarkStart w:id="34" w:name="educación-y-rutas-de-ingreso"/>
    <w:p>
      <w:pPr>
        <w:pStyle w:val="Heading2"/>
      </w:pPr>
      <w:r>
        <w:t xml:space="preserve">Educación y rutas de ingreso</w:t>
      </w:r>
    </w:p>
    <w:bookmarkStart w:id="28" w:name="X4fc67ee6e3753e8c8e21d152522a0bed09756f5"/>
    <w:p>
      <w:pPr>
        <w:pStyle w:val="Heading3"/>
      </w:pPr>
      <w:r>
        <w:t xml:space="preserve">Estados Unidos — pintura de construcción y mantenimiento</w:t>
      </w:r>
    </w:p>
    <w:p>
      <w:pPr>
        <w:pStyle w:val="FirstParagraph"/>
      </w:pPr>
      <w:r>
        <w:t xml:space="preserve">La Oficina de Estadísticas Laborales de Estados Unidos clasifica</w:t>
      </w:r>
      <w:r>
        <w:t xml:space="preserve"> </w:t>
      </w:r>
      <w:r>
        <w:rPr>
          <w:bCs/>
          <w:b/>
        </w:rPr>
        <w:t xml:space="preserve">Painters, Construction and Maintenance</w:t>
      </w:r>
      <w:r>
        <w:t xml:space="preserve"> </w:t>
      </w:r>
      <w:r>
        <w:t xml:space="preserve">bajo SOC</w:t>
      </w:r>
      <w:r>
        <w:t xml:space="preserve"> </w:t>
      </w:r>
      <w:r>
        <w:rPr>
          <w:bCs/>
          <w:b/>
        </w:rPr>
        <w:t xml:space="preserve">47-2141</w:t>
      </w:r>
      <w:r>
        <w:t xml:space="preserve">. BLS indica que los pintores suelen aprender en el trabajo y que normalmente no se requiere una credencial educativa formal para ingresar. Algunos trabajos especializados pueden exigir certificación o capacitación específica del empleador.</w:t>
      </w:r>
    </w:p>
    <w:p>
      <w:pPr>
        <w:pStyle w:val="BodyText"/>
      </w:pPr>
      <w:r>
        <w:t xml:space="preserve">Una secuencia práctica de ingreso puede ser:</w:t>
      </w:r>
    </w:p>
    <w:p>
      <w:pPr>
        <w:numPr>
          <w:ilvl w:val="0"/>
          <w:numId w:val="1004"/>
        </w:numPr>
        <w:pStyle w:val="Compact"/>
      </w:pPr>
      <w:r>
        <w:t xml:space="preserve">Aprender medición básica, terminología de superficies, manejo de materiales, comunicación de peligros y seguridad en obra.</w:t>
      </w:r>
    </w:p>
    <w:p>
      <w:pPr>
        <w:numPr>
          <w:ilvl w:val="0"/>
          <w:numId w:val="1004"/>
        </w:numPr>
        <w:pStyle w:val="Compact"/>
      </w:pPr>
      <w:r>
        <w:t xml:space="preserve">Revisar vacantes locales para ayudante, aprendiz, trainee, pintor, pintor de mantenimiento y pintor industrial.</w:t>
      </w:r>
    </w:p>
    <w:p>
      <w:pPr>
        <w:numPr>
          <w:ilvl w:val="0"/>
          <w:numId w:val="1004"/>
        </w:numPr>
        <w:pStyle w:val="Compact"/>
      </w:pPr>
      <w:r>
        <w:t xml:space="preserve">Buscar en sistemas públicos de aprendizaje y fuerza laboral oportunidades de capacitación pagada o subsidiada.</w:t>
      </w:r>
    </w:p>
    <w:p>
      <w:pPr>
        <w:numPr>
          <w:ilvl w:val="0"/>
          <w:numId w:val="1004"/>
        </w:numPr>
        <w:pStyle w:val="Compact"/>
      </w:pPr>
      <w:r>
        <w:t xml:space="preserve">Desarrollar experiencia supervisada en preparación, enmascarado, aplicación, limpieza, controles de calidad y uso seguro de equipos.</w:t>
      </w:r>
    </w:p>
    <w:p>
      <w:pPr>
        <w:numPr>
          <w:ilvl w:val="0"/>
          <w:numId w:val="1004"/>
        </w:numPr>
        <w:pStyle w:val="Compact"/>
      </w:pPr>
      <w:r>
        <w:t xml:space="preserve">Añadir habilidades especializadas solo cuando los empleadores locales las requieran y la capacitación sea reconocida.</w:t>
      </w:r>
    </w:p>
    <w:bookmarkEnd w:id="28"/>
    <w:bookmarkStart w:id="29" w:name="Xbff93b526f4a42b7eef183533731aa898198a91"/>
    <w:p>
      <w:pPr>
        <w:pStyle w:val="Heading3"/>
      </w:pPr>
      <w:r>
        <w:t xml:space="preserve">Estados Unidos — pintura y recubrimiento industrial</w:t>
      </w:r>
    </w:p>
    <w:p>
      <w:pPr>
        <w:pStyle w:val="FirstParagraph"/>
      </w:pPr>
      <w:r>
        <w:t xml:space="preserve">O*NET clasifica</w:t>
      </w:r>
      <w:r>
        <w:t xml:space="preserve"> </w:t>
      </w:r>
      <w:r>
        <w:rPr>
          <w:bCs/>
          <w:b/>
        </w:rPr>
        <w:t xml:space="preserve">Coating, Painting, and Spraying Machine Setters, Operators, and Tenders</w:t>
      </w:r>
      <w:r>
        <w:t xml:space="preserve"> </w:t>
      </w:r>
      <w:r>
        <w:t xml:space="preserve">bajo</w:t>
      </w:r>
      <w:r>
        <w:t xml:space="preserve"> </w:t>
      </w:r>
      <w:r>
        <w:rPr>
          <w:bCs/>
          <w:b/>
        </w:rPr>
        <w:t xml:space="preserve">51-9124.00</w:t>
      </w:r>
      <w:r>
        <w:t xml:space="preserve">. El trabajo incluye configurar, operar o atender máquinas de aspersión o rodillado y procesos relacionados de recubrimiento. Los cargos pueden incluir pintor industrial, técnico de pintura, aplicador de pintura en polvo, pintor automotriz, operador de recubrimiento y pintor por aspersión.</w:t>
      </w:r>
    </w:p>
    <w:p>
      <w:pPr>
        <w:pStyle w:val="BodyText"/>
      </w:pPr>
      <w:r>
        <w:t xml:space="preserve">La capacitación puede ser del empleador, vocacional, orientada a manufactura, relacionada con repintado automotriz o enfocada en recubrimientos especializados según el entorno. No supongas que un curso de pintura de edificios cubre operación de máquinas, pintura en polvo, repintado automotriz, controles para ubicaciones peligrosas o normas de calidad industrial.</w:t>
      </w:r>
    </w:p>
    <w:bookmarkEnd w:id="29"/>
    <w:bookmarkStart w:id="30" w:name="canadá--painter-and-decorator"/>
    <w:p>
      <w:pPr>
        <w:pStyle w:val="Heading3"/>
      </w:pPr>
      <w:r>
        <w:t xml:space="preserve">Canadá — Painter and Decorator</w:t>
      </w:r>
    </w:p>
    <w:p>
      <w:pPr>
        <w:pStyle w:val="FirstParagraph"/>
      </w:pPr>
      <w:r>
        <w:t xml:space="preserve">El programa Red Seal de Canadá identifica</w:t>
      </w:r>
      <w:r>
        <w:t xml:space="preserve"> </w:t>
      </w:r>
      <w:r>
        <w:rPr>
          <w:bCs/>
          <w:b/>
        </w:rPr>
        <w:t xml:space="preserve">Painter and Decorator (NOC 73112)</w:t>
      </w:r>
      <w:r>
        <w:t xml:space="preserve"> </w:t>
      </w:r>
      <w:r>
        <w:t xml:space="preserve">como oficio Red Seal designado. El oficio incluye preparar superficies y aplicar acabados decorativos y protectores en entornos residenciales, comerciales, institucionales e industriales.</w:t>
      </w:r>
    </w:p>
    <w:p>
      <w:pPr>
        <w:pStyle w:val="BodyText"/>
      </w:pPr>
      <w:r>
        <w:t xml:space="preserve">El aprendizaje y la certificación son administrados por provincias y territorios. Los requisitos, el carácter obligatorio del oficio, las reglas de examen y el reconocimiento pueden variar; verifica la autoridad de aprendizaje vigente donde planeas trabajar. Una ruta Red Seal debe entenderse como un marco reconocido de oficio interprovincial, no como una licencia universal que sustituya requisitos locales.</w:t>
      </w:r>
    </w:p>
    <w:bookmarkEnd w:id="30"/>
    <w:bookmarkStart w:id="31" w:name="canadá--pintor-y-recubridor-industrial"/>
    <w:p>
      <w:pPr>
        <w:pStyle w:val="Heading3"/>
      </w:pPr>
      <w:r>
        <w:t xml:space="preserve">Canadá — pintor y recubridor industrial</w:t>
      </w:r>
    </w:p>
    <w:p>
      <w:pPr>
        <w:pStyle w:val="FirstParagraph"/>
      </w:pPr>
      <w:r>
        <w:t xml:space="preserve">Job Bank del Gobierno de Canadá agrupa a pintores industriales, recubridores y operadores de procesos de acabado de metales bajo</w:t>
      </w:r>
      <w:r>
        <w:t xml:space="preserve"> </w:t>
      </w:r>
      <w:r>
        <w:rPr>
          <w:bCs/>
          <w:b/>
        </w:rPr>
        <w:t xml:space="preserve">NOC 94213</w:t>
      </w:r>
      <w:r>
        <w:t xml:space="preserve">. Job Bank indica que esta ocupación suele requerir diploma de secundaria o varias semanas de capacitación en el trabajo.</w:t>
      </w:r>
    </w:p>
    <w:p>
      <w:pPr>
        <w:pStyle w:val="BodyText"/>
      </w:pPr>
      <w:r>
        <w:t xml:space="preserve">Esta ruta debe mantenerse separada de la información de aprendizaje/certificación de Painter and Decorator porque el entorno, la maquinaria y las expectativas de cualificación pueden diferir.</w:t>
      </w:r>
    </w:p>
    <w:bookmarkEnd w:id="31"/>
    <w:bookmarkStart w:id="32" w:name="colombia"/>
    <w:p>
      <w:pPr>
        <w:pStyle w:val="Heading3"/>
      </w:pPr>
      <w:r>
        <w:t xml:space="preserve">Colombia</w:t>
      </w:r>
    </w:p>
    <w:p>
      <w:pPr>
        <w:pStyle w:val="FirstParagraph"/>
      </w:pPr>
      <w:r>
        <w:t xml:space="preserve">El catálogo OCUPACOL del Ministerio del Trabajo de Colombia incluye</w:t>
      </w:r>
      <w:r>
        <w:t xml:space="preserve"> </w:t>
      </w:r>
      <w:r>
        <w:rPr>
          <w:bCs/>
          <w:b/>
        </w:rPr>
        <w:t xml:space="preserve">Pintores y empapeladores (CIUO 7131)</w:t>
      </w:r>
      <w:r>
        <w:t xml:space="preserve">, con funciones que incluyen seleccionar y mezclar pintura, aplicar recubrimientos a edificios y estructuras, aplicar imprimantes protectores y realizar trabajos relacionados de acabado de superficies.</w:t>
      </w:r>
    </w:p>
    <w:p>
      <w:pPr>
        <w:pStyle w:val="BodyText"/>
      </w:pPr>
      <w:r>
        <w:t xml:space="preserve">El marco público de formación del SENA incluye</w:t>
      </w:r>
      <w:r>
        <w:t xml:space="preserve"> </w:t>
      </w:r>
      <w:r>
        <w:rPr>
          <w:bCs/>
          <w:b/>
        </w:rPr>
        <w:t xml:space="preserve">Pintura arquitectónica y acabados especiales</w:t>
      </w:r>
      <w:r>
        <w:t xml:space="preserve"> </w:t>
      </w:r>
      <w:r>
        <w:t xml:space="preserve">en el sector construcción. Los lectores en Colombia deben revisar las ofertas vigentes de SENA/Betowa, la Agencia Pública de Empleo del SENA, OCUPACOL y recursos del Ministerio del Trabajo antes de pagar capacitación privada.</w:t>
      </w:r>
    </w:p>
    <w:p>
      <w:pPr>
        <w:pStyle w:val="BodyText"/>
      </w:pPr>
      <w:r>
        <w:t xml:space="preserve">La disponibilidad, ubicación, admisiones, duración y tipo de credencial de los programas pueden cambiar. La inclusión de una formación en el marco del SENA no garantiza que exista una cohorte abierta hoy.</w:t>
      </w:r>
    </w:p>
    <w:bookmarkEnd w:id="32"/>
    <w:bookmarkStart w:id="33" w:name="américa-latina-y-el-caribe"/>
    <w:p>
      <w:pPr>
        <w:pStyle w:val="Heading3"/>
      </w:pPr>
      <w:r>
        <w:t xml:space="preserve">América Latina y el Caribe</w:t>
      </w:r>
    </w:p>
    <w:p>
      <w:pPr>
        <w:pStyle w:val="FirstParagraph"/>
      </w:pPr>
      <w:r>
        <w:t xml:space="preserve">Los sistemas de formación y credenciales difieren según el país. OIT/Cinterfor documenta instituciones de formación profesional y sistemas de competencias en la región. Algunos ejemplos son SENA en Colombia, SENCE en Chile, INTECAP en Guatemala, INFOTEP en República Dominicana, INEFOP en Uruguay, INA en Costa Rica y otras instituciones nacionales.</w:t>
      </w:r>
    </w:p>
    <w:p>
      <w:pPr>
        <w:pStyle w:val="BodyText"/>
      </w:pPr>
      <w:r>
        <w:t xml:space="preserve">SENCE de Chile ha ofrecido capacitación en construcción que incluye pintura y barnizado. Utiliza estos sistemas públicos como localizadores de programas vigentes y no supongas que la credencial de un país se transfiere automáticamente a otro.</w:t>
      </w:r>
    </w:p>
    <w:bookmarkEnd w:id="33"/>
    <w:bookmarkEnd w:id="34"/>
    <w:bookmarkStart w:id="35" w:name="Xa1e1592e2c9637d961d5f2e7a2e24b15e5a1b35"/>
    <w:p>
      <w:pPr>
        <w:pStyle w:val="Heading2"/>
      </w:pPr>
      <w:r>
        <w:t xml:space="preserve">Estrategia de aprendizaje gratuita primero y de bajo costo</w:t>
      </w:r>
    </w:p>
    <w:p>
      <w:pPr>
        <w:pStyle w:val="FirstParagraph"/>
      </w:pPr>
      <w:r>
        <w:t xml:space="preserve">No supongas que un certificado privado costoso debe ser el primer paso. Una secuencia más segura es:</w:t>
      </w:r>
    </w:p>
    <w:p>
      <w:pPr>
        <w:numPr>
          <w:ilvl w:val="0"/>
          <w:numId w:val="1005"/>
        </w:numPr>
        <w:pStyle w:val="Compact"/>
      </w:pPr>
      <w:r>
        <w:t xml:space="preserve">Revisar 15–20 vacantes locales reales para la ruta que te interesa.</w:t>
      </w:r>
    </w:p>
    <w:p>
      <w:pPr>
        <w:numPr>
          <w:ilvl w:val="0"/>
          <w:numId w:val="1005"/>
        </w:numPr>
        <w:pStyle w:val="Compact"/>
      </w:pPr>
      <w:r>
        <w:t xml:space="preserve">Registrar requisitos recurrentes de experiencia, tarjetas de seguridad, aprendizaje, equipos, recubrimientos, turnos y credenciales.</w:t>
      </w:r>
    </w:p>
    <w:p>
      <w:pPr>
        <w:numPr>
          <w:ilvl w:val="0"/>
          <w:numId w:val="1005"/>
        </w:numPr>
        <w:pStyle w:val="Compact"/>
      </w:pPr>
      <w:r>
        <w:t xml:space="preserve">Buscar sistemas públicos de formación profesional, programas de aprendizaje, agencias de empleo, sindicatos cuando corresponda y capacitación pagada por empleadores.</w:t>
      </w:r>
    </w:p>
    <w:p>
      <w:pPr>
        <w:numPr>
          <w:ilvl w:val="0"/>
          <w:numId w:val="1005"/>
        </w:numPr>
        <w:pStyle w:val="Compact"/>
      </w:pPr>
      <w:r>
        <w:t xml:space="preserve">Aprender terminología básica de superficies, medición, conceptos de sistemas de recubrimiento, comunicación de peligros y principios de control de calidad usando recursos públicos o aprobados por el empleador.</w:t>
      </w:r>
    </w:p>
    <w:p>
      <w:pPr>
        <w:numPr>
          <w:ilvl w:val="0"/>
          <w:numId w:val="1005"/>
        </w:numPr>
        <w:pStyle w:val="Compact"/>
      </w:pPr>
      <w:r>
        <w:t xml:space="preserve">Realizar práctica manual solamente bajo condiciones seguras y autorizadas, con la supervisión y el equipo requeridos.</w:t>
      </w:r>
    </w:p>
    <w:p>
      <w:pPr>
        <w:numPr>
          <w:ilvl w:val="0"/>
          <w:numId w:val="1005"/>
        </w:numPr>
        <w:pStyle w:val="Compact"/>
      </w:pPr>
      <w:r>
        <w:t xml:space="preserve">Considerar capacitación privada solo después de verificar costo total, condiciones de reembolso, reconocimiento por parte de empleadores y si la credencial aparece repetidamente en vacantes reales.</w:t>
      </w:r>
    </w:p>
    <w:p>
      <w:pPr>
        <w:pStyle w:val="FirstParagraph"/>
      </w:pPr>
      <w:r>
        <w:t xml:space="preserve">Nunca uses práctica peligrosa no supervisada como sustituto de capacitación formal de seguridad o de equipos.</w:t>
      </w:r>
    </w:p>
    <w:bookmarkEnd w:id="35"/>
    <w:bookmarkStart w:id="39" w:name="aprendizaje-y-formación-en-el-trabajo"/>
    <w:p>
      <w:pPr>
        <w:pStyle w:val="Heading2"/>
      </w:pPr>
      <w:r>
        <w:t xml:space="preserve">Aprendizaje y formación en el trabajo</w:t>
      </w:r>
    </w:p>
    <w:bookmarkStart w:id="36" w:name="estados-unidos"/>
    <w:p>
      <w:pPr>
        <w:pStyle w:val="Heading3"/>
      </w:pPr>
      <w:r>
        <w:t xml:space="preserve">Estados Unidos</w:t>
      </w:r>
    </w:p>
    <w:p>
      <w:pPr>
        <w:pStyle w:val="FirstParagraph"/>
      </w:pPr>
      <w:r>
        <w:t xml:space="preserve">BLS dirige a los lectores al sistema de aprendizaje del Departamento de Trabajo de Estados Unidos para información sobre aprendizaje de pintor. Las oportunidades de Registered Apprenticeship dependen del empleador, arreglos sindicales/industriales, ubicación y vacantes vigentes.</w:t>
      </w:r>
    </w:p>
    <w:p>
      <w:pPr>
        <w:pStyle w:val="BodyText"/>
      </w:pPr>
      <w:r>
        <w:t xml:space="preserve">Los cargos de ingreso útiles pueden incluir ayudante de pintor, aprendiz de pintor, ayudante de mantenimiento, trainee de pintor industrial, trainee de línea de recubrimiento, trabajador de preparación de pintura u operador de acabado de producción.</w:t>
      </w:r>
    </w:p>
    <w:bookmarkEnd w:id="36"/>
    <w:bookmarkStart w:id="37" w:name="canadá"/>
    <w:p>
      <w:pPr>
        <w:pStyle w:val="Heading3"/>
      </w:pPr>
      <w:r>
        <w:t xml:space="preserve">Canadá</w:t>
      </w:r>
    </w:p>
    <w:p>
      <w:pPr>
        <w:pStyle w:val="FirstParagraph"/>
      </w:pPr>
      <w:r>
        <w:t xml:space="preserve">Painter and Decorator es un oficio Red Seal. El aprendizaje se administra mediante sistemas provinciales y territoriales. Consulta la autoridad de aprendizaje correspondiente para conocer reglas vigentes de capacitación técnica, horas, examen, certificación y registro del empleador.</w:t>
      </w:r>
    </w:p>
    <w:bookmarkEnd w:id="37"/>
    <w:bookmarkStart w:id="38" w:name="colombia-y-américa-latina"/>
    <w:p>
      <w:pPr>
        <w:pStyle w:val="Heading3"/>
      </w:pPr>
      <w:r>
        <w:t xml:space="preserve">Colombia y América Latina</w:t>
      </w:r>
    </w:p>
    <w:p>
      <w:pPr>
        <w:pStyle w:val="FirstParagraph"/>
      </w:pPr>
      <w:r>
        <w:t xml:space="preserve">Las instituciones públicas de formación profesional pueden ofrecer capacitación técnica, complementaria o vinculada al empleo. La disponibilidad puede depender de cohortes y la elegibilidad puede variar. Comienza con la institución pública nacional y verifica inscripciones vigentes antes de gastar dinero en otra opción.</w:t>
      </w:r>
    </w:p>
    <w:bookmarkEnd w:id="38"/>
    <w:bookmarkEnd w:id="39"/>
    <w:bookmarkStart w:id="40" w:name="financiamiento-y-apoyo-del-empleador"/>
    <w:p>
      <w:pPr>
        <w:pStyle w:val="Heading2"/>
      </w:pPr>
      <w:r>
        <w:t xml:space="preserve">Financiamiento y apoyo del empleador</w:t>
      </w:r>
    </w:p>
    <w:p>
      <w:pPr>
        <w:pStyle w:val="FirstParagraph"/>
      </w:pPr>
      <w:r>
        <w:t xml:space="preserve">El financiamiento nunca está garantizado. Según la jurisdicción y la elegibilidad, el apoyo posible puede incluir capacitación pública para la fuerza laboral, ayuda vinculada al aprendizaje, capacitación pagada por el empleador, reembolso de matrícula, asignaciones para PPE/EPP o herramientas, capacitación sindical/industrial o programas locales de empleo.</w:t>
      </w:r>
    </w:p>
    <w:p>
      <w:pPr>
        <w:pStyle w:val="BodyText"/>
      </w:pPr>
      <w:r>
        <w:t xml:space="preserve">Pregunta al empleador si ofrece:</w:t>
      </w:r>
    </w:p>
    <w:p>
      <w:pPr>
        <w:numPr>
          <w:ilvl w:val="0"/>
          <w:numId w:val="1006"/>
        </w:numPr>
        <w:pStyle w:val="Compact"/>
      </w:pPr>
      <w:r>
        <w:t xml:space="preserve">inducción pagada;</w:t>
      </w:r>
    </w:p>
    <w:p>
      <w:pPr>
        <w:numPr>
          <w:ilvl w:val="0"/>
          <w:numId w:val="1006"/>
        </w:numPr>
        <w:pStyle w:val="Compact"/>
      </w:pPr>
      <w:r>
        <w:t xml:space="preserve">puestos de trainee o aprendizaje;</w:t>
      </w:r>
    </w:p>
    <w:p>
      <w:pPr>
        <w:numPr>
          <w:ilvl w:val="0"/>
          <w:numId w:val="1006"/>
        </w:numPr>
        <w:pStyle w:val="Compact"/>
      </w:pPr>
      <w:r>
        <w:t xml:space="preserve">PPE/EPP y prueba de ajuste suministrados por el empleador cuando se requieran;</w:t>
      </w:r>
    </w:p>
    <w:p>
      <w:pPr>
        <w:numPr>
          <w:ilvl w:val="0"/>
          <w:numId w:val="1006"/>
        </w:numPr>
        <w:pStyle w:val="Compact"/>
      </w:pPr>
      <w:r>
        <w:t xml:space="preserve">asignaciones para herramientas o equipos;</w:t>
      </w:r>
    </w:p>
    <w:p>
      <w:pPr>
        <w:numPr>
          <w:ilvl w:val="0"/>
          <w:numId w:val="1006"/>
        </w:numPr>
        <w:pStyle w:val="Compact"/>
      </w:pPr>
      <w:r>
        <w:t xml:space="preserve">capacitación de recubrimientos especializados o del fabricante;</w:t>
      </w:r>
    </w:p>
    <w:p>
      <w:pPr>
        <w:numPr>
          <w:ilvl w:val="0"/>
          <w:numId w:val="1006"/>
        </w:numPr>
        <w:pStyle w:val="Compact"/>
      </w:pPr>
      <w:r>
        <w:t xml:space="preserve">reembolso de certificación o examen;</w:t>
      </w:r>
    </w:p>
    <w:p>
      <w:pPr>
        <w:numPr>
          <w:ilvl w:val="0"/>
          <w:numId w:val="1006"/>
        </w:numPr>
        <w:pStyle w:val="Compact"/>
      </w:pPr>
      <w:r>
        <w:t xml:space="preserve">capacitación cruzada hacia inspección, calidad, mantenimiento, estimación o supervisión; y</w:t>
      </w:r>
    </w:p>
    <w:p>
      <w:pPr>
        <w:numPr>
          <w:ilvl w:val="0"/>
          <w:numId w:val="1006"/>
        </w:numPr>
        <w:pStyle w:val="Compact"/>
      </w:pPr>
      <w:r>
        <w:t xml:space="preserve">rutas internas de ascenso.</w:t>
      </w:r>
    </w:p>
    <w:p>
      <w:pPr>
        <w:pStyle w:val="FirstParagraph"/>
      </w:pPr>
      <w:r>
        <w:t xml:space="preserve">Obtén por escrito cualquier condición de reembolso, permanencia, devolución o cobro de herramientas antes de gastar dinero.</w:t>
      </w:r>
    </w:p>
    <w:bookmarkEnd w:id="40"/>
    <w:bookmarkStart w:id="46" w:name="ingresos-y-perspectiva-laboral"/>
    <w:p>
      <w:pPr>
        <w:pStyle w:val="Heading2"/>
      </w:pPr>
      <w:r>
        <w:t xml:space="preserve">Ingresos y perspectiva laboral</w:t>
      </w:r>
    </w:p>
    <w:bookmarkStart w:id="41" w:name="X838ed7ac671df2b82b7088fdc6a0592a75fb39e"/>
    <w:p>
      <w:pPr>
        <w:pStyle w:val="Heading3"/>
      </w:pPr>
      <w:r>
        <w:t xml:space="preserve">Estados Unidos — pintores de construcción y mantenimiento</w:t>
      </w:r>
    </w:p>
    <w:p>
      <w:pPr>
        <w:pStyle w:val="FirstParagraph"/>
      </w:pPr>
      <w:r>
        <w:t xml:space="preserve">BLS reporta para</w:t>
      </w:r>
      <w:r>
        <w:t xml:space="preserve"> </w:t>
      </w:r>
      <w:r>
        <w:rPr>
          <w:bCs/>
          <w:b/>
        </w:rPr>
        <w:t xml:space="preserve">Painters, Construction and Maintenance</w:t>
      </w:r>
      <w:r>
        <w:t xml:space="preserve">:</w:t>
      </w:r>
    </w:p>
    <w:p>
      <w:pPr>
        <w:numPr>
          <w:ilvl w:val="0"/>
          <w:numId w:val="1007"/>
        </w:numPr>
        <w:pStyle w:val="Compact"/>
      </w:pPr>
      <w:r>
        <w:rPr>
          <w:bCs/>
          <w:b/>
        </w:rPr>
        <w:t xml:space="preserve">Salario anual mediano, mayo de 2024: $48,660</w:t>
      </w:r>
    </w:p>
    <w:p>
      <w:pPr>
        <w:numPr>
          <w:ilvl w:val="0"/>
          <w:numId w:val="1007"/>
        </w:numPr>
        <w:pStyle w:val="Compact"/>
      </w:pPr>
      <w:r>
        <w:rPr>
          <w:bCs/>
          <w:b/>
        </w:rPr>
        <w:t xml:space="preserve">Salario horario mediano: $23.40</w:t>
      </w:r>
    </w:p>
    <w:p>
      <w:pPr>
        <w:numPr>
          <w:ilvl w:val="0"/>
          <w:numId w:val="1007"/>
        </w:numPr>
        <w:pStyle w:val="Compact"/>
      </w:pPr>
      <w:r>
        <w:rPr>
          <w:bCs/>
          <w:b/>
        </w:rPr>
        <w:t xml:space="preserve">Empleo en 2024: aproximadamente 342,200</w:t>
      </w:r>
    </w:p>
    <w:p>
      <w:pPr>
        <w:numPr>
          <w:ilvl w:val="0"/>
          <w:numId w:val="1007"/>
        </w:numPr>
        <w:pStyle w:val="Compact"/>
      </w:pPr>
      <w:r>
        <w:rPr>
          <w:bCs/>
          <w:b/>
        </w:rPr>
        <w:t xml:space="preserve">Crecimiento proyectado, 2024–2034: 4%</w:t>
      </w:r>
    </w:p>
    <w:p>
      <w:pPr>
        <w:numPr>
          <w:ilvl w:val="0"/>
          <w:numId w:val="1007"/>
        </w:numPr>
        <w:pStyle w:val="Compact"/>
      </w:pPr>
      <w:r>
        <w:rPr>
          <w:bCs/>
          <w:b/>
        </w:rPr>
        <w:t xml:space="preserve">Vacantes proyectadas: aproximadamente 28,100 por año en promedio</w:t>
      </w:r>
    </w:p>
    <w:p>
      <w:pPr>
        <w:pStyle w:val="FirstParagraph"/>
      </w:pPr>
      <w:r>
        <w:t xml:space="preserve">Estas son estadísticas nacionales y no garantizan un salario inicial. La remuneración varía por ubicación, empleador, especialidad, situación sindical, experiencia, horas extra y entorno de trabajo.</w:t>
      </w:r>
    </w:p>
    <w:bookmarkEnd w:id="41"/>
    <w:bookmarkStart w:id="42" w:name="X812744aff7c774d21e458d815641d66d0343826"/>
    <w:p>
      <w:pPr>
        <w:pStyle w:val="Heading3"/>
      </w:pPr>
      <w:r>
        <w:t xml:space="preserve">Estados Unidos — pintura y recubrimiento industrial</w:t>
      </w:r>
    </w:p>
    <w:p>
      <w:pPr>
        <w:pStyle w:val="FirstParagraph"/>
      </w:pPr>
      <w:r>
        <w:t xml:space="preserve">O*NET reporta para</w:t>
      </w:r>
      <w:r>
        <w:t xml:space="preserve"> </w:t>
      </w:r>
      <w:r>
        <w:rPr>
          <w:bCs/>
          <w:b/>
        </w:rPr>
        <w:t xml:space="preserve">51-9124.00</w:t>
      </w:r>
      <w:r>
        <w:t xml:space="preserve">:</w:t>
      </w:r>
    </w:p>
    <w:p>
      <w:pPr>
        <w:numPr>
          <w:ilvl w:val="0"/>
          <w:numId w:val="1008"/>
        </w:numPr>
        <w:pStyle w:val="Compact"/>
      </w:pPr>
      <w:r>
        <w:rPr>
          <w:bCs/>
          <w:b/>
        </w:rPr>
        <w:t xml:space="preserve">Salario mediano, 2025: $23.20/hora / $48,250/año</w:t>
      </w:r>
    </w:p>
    <w:p>
      <w:pPr>
        <w:numPr>
          <w:ilvl w:val="0"/>
          <w:numId w:val="1008"/>
        </w:numPr>
        <w:pStyle w:val="Compact"/>
      </w:pPr>
      <w:r>
        <w:rPr>
          <w:bCs/>
          <w:b/>
        </w:rPr>
        <w:t xml:space="preserve">Empleo en 2024: aproximadamente 165,500</w:t>
      </w:r>
    </w:p>
    <w:p>
      <w:pPr>
        <w:numPr>
          <w:ilvl w:val="0"/>
          <w:numId w:val="1008"/>
        </w:numPr>
        <w:pStyle w:val="Compact"/>
      </w:pPr>
      <w:r>
        <w:rPr>
          <w:bCs/>
          <w:b/>
        </w:rPr>
        <w:t xml:space="preserve">Crecimiento proyectado, 2024–2034: 1% a 2%</w:t>
      </w:r>
    </w:p>
    <w:p>
      <w:pPr>
        <w:numPr>
          <w:ilvl w:val="0"/>
          <w:numId w:val="1008"/>
        </w:numPr>
        <w:pStyle w:val="Compact"/>
      </w:pPr>
      <w:r>
        <w:rPr>
          <w:bCs/>
          <w:b/>
        </w:rPr>
        <w:t xml:space="preserve">Vacantes proyectadas mostradas por O*NET: aproximadamente 15,800</w:t>
      </w:r>
    </w:p>
    <w:p>
      <w:pPr>
        <w:pStyle w:val="FirstParagraph"/>
      </w:pPr>
      <w:r>
        <w:t xml:space="preserve">No mezcles estas cifras con las estadísticas de pintores de construcción. Describen una clasificación ocupacional distinta.</w:t>
      </w:r>
    </w:p>
    <w:bookmarkEnd w:id="42"/>
    <w:bookmarkStart w:id="43" w:name="canadá--painter-and-decorator-1"/>
    <w:p>
      <w:pPr>
        <w:pStyle w:val="Heading3"/>
      </w:pPr>
      <w:r>
        <w:t xml:space="preserve">Canadá — Painter and Decorator</w:t>
      </w:r>
    </w:p>
    <w:p>
      <w:pPr>
        <w:pStyle w:val="FirstParagraph"/>
      </w:pPr>
      <w:r>
        <w:t xml:space="preserve">Job Bank del Gobierno de Canadá reporta salarios nacionales para Painter and Decorator, actualizados el 19 de noviembre de 2025, de aproximadamente:</w:t>
      </w:r>
    </w:p>
    <w:p>
      <w:pPr>
        <w:numPr>
          <w:ilvl w:val="0"/>
          <w:numId w:val="1009"/>
        </w:numPr>
        <w:pStyle w:val="Compact"/>
      </w:pPr>
      <w:r>
        <w:rPr>
          <w:bCs/>
          <w:b/>
        </w:rPr>
        <w:t xml:space="preserve">CAD $20.00/hora bajo</w:t>
      </w:r>
    </w:p>
    <w:p>
      <w:pPr>
        <w:numPr>
          <w:ilvl w:val="0"/>
          <w:numId w:val="1009"/>
        </w:numPr>
        <w:pStyle w:val="Compact"/>
      </w:pPr>
      <w:r>
        <w:rPr>
          <w:bCs/>
          <w:b/>
        </w:rPr>
        <w:t xml:space="preserve">CAD $28.00/hora mediano</w:t>
      </w:r>
    </w:p>
    <w:p>
      <w:pPr>
        <w:numPr>
          <w:ilvl w:val="0"/>
          <w:numId w:val="1009"/>
        </w:numPr>
        <w:pStyle w:val="Compact"/>
      </w:pPr>
      <w:r>
        <w:rPr>
          <w:bCs/>
          <w:b/>
        </w:rPr>
        <w:t xml:space="preserve">CAD $40.99/hora alto</w:t>
      </w:r>
    </w:p>
    <w:bookmarkEnd w:id="43"/>
    <w:bookmarkStart w:id="44" w:name="X795348ba51e4b57a7bce3edffd769749b23a380"/>
    <w:p>
      <w:pPr>
        <w:pStyle w:val="Heading3"/>
      </w:pPr>
      <w:r>
        <w:t xml:space="preserve">Canadá — pintores y recubridores industriales</w:t>
      </w:r>
    </w:p>
    <w:p>
      <w:pPr>
        <w:pStyle w:val="FirstParagraph"/>
      </w:pPr>
      <w:r>
        <w:t xml:space="preserve">Job Bank del Gobierno de Canadá reporta salarios nacionales de aproximadamente:</w:t>
      </w:r>
    </w:p>
    <w:p>
      <w:pPr>
        <w:numPr>
          <w:ilvl w:val="0"/>
          <w:numId w:val="1010"/>
        </w:numPr>
        <w:pStyle w:val="Compact"/>
      </w:pPr>
      <w:r>
        <w:rPr>
          <w:bCs/>
          <w:b/>
        </w:rPr>
        <w:t xml:space="preserve">CAD $18.00/hora bajo</w:t>
      </w:r>
    </w:p>
    <w:p>
      <w:pPr>
        <w:numPr>
          <w:ilvl w:val="0"/>
          <w:numId w:val="1010"/>
        </w:numPr>
        <w:pStyle w:val="Compact"/>
      </w:pPr>
      <w:r>
        <w:rPr>
          <w:bCs/>
          <w:b/>
        </w:rPr>
        <w:t xml:space="preserve">CAD $24.61/hora mediano</w:t>
      </w:r>
    </w:p>
    <w:p>
      <w:pPr>
        <w:numPr>
          <w:ilvl w:val="0"/>
          <w:numId w:val="1010"/>
        </w:numPr>
        <w:pStyle w:val="Compact"/>
      </w:pPr>
      <w:r>
        <w:rPr>
          <w:bCs/>
          <w:b/>
        </w:rPr>
        <w:t xml:space="preserve">CAD $36.00/hora alto</w:t>
      </w:r>
    </w:p>
    <w:p>
      <w:pPr>
        <w:pStyle w:val="FirstParagraph"/>
      </w:pPr>
      <w:r>
        <w:t xml:space="preserve">Las tarifas locales pueden diferir considerablemente. Usa los filtros de provincia, territorio y región de Job Bank antes de tomar decisiones sobre reubicación o capacitación.</w:t>
      </w:r>
    </w:p>
    <w:bookmarkEnd w:id="44"/>
    <w:bookmarkStart w:id="45" w:name="colombia-1"/>
    <w:p>
      <w:pPr>
        <w:pStyle w:val="Heading3"/>
      </w:pPr>
      <w:r>
        <w:t xml:space="preserve">Colombia</w:t>
      </w:r>
    </w:p>
    <w:p>
      <w:pPr>
        <w:pStyle w:val="FirstParagraph"/>
      </w:pPr>
      <w:r>
        <w:t xml:space="preserve">El sistema público de empleo del SENA ha publicado recientemente vacantes para pintores de construcción, pero el salario de una vacante individual es una referencia local y no una estadística salarial nacional de la ocupación. Usa información vigente de la Agencia Pública de Empleo del SENA y del Ministerio del Trabajo para conocer la demanda local actual y no trates una sola vacante como una tarifa de mercado garantizada.</w:t>
      </w:r>
    </w:p>
    <w:bookmarkEnd w:id="45"/>
    <w:bookmarkEnd w:id="46"/>
    <w:bookmarkStart w:id="47" w:name="plan-práctico-de-inicio-de-12-semanas"/>
    <w:p>
      <w:pPr>
        <w:pStyle w:val="Heading2"/>
      </w:pPr>
      <w:r>
        <w:t xml:space="preserve">Plan práctico de inicio de 12 semanas</w:t>
      </w:r>
    </w:p>
    <w:p>
      <w:pPr>
        <w:pStyle w:val="FirstParagraph"/>
      </w:pPr>
      <w:r>
        <w:rPr>
          <w:bCs/>
          <w:b/>
        </w:rPr>
        <w:t xml:space="preserve">Semanas 1–2:</w:t>
      </w:r>
      <w:r>
        <w:t xml:space="preserve"> </w:t>
      </w:r>
      <w:r>
        <w:t xml:space="preserve">Elige tu ruta objetivo: pintura de construcción/mantenimiento o recubrimiento industrial. Revisa 15–20 vacantes locales y registra requisitos recurrentes.</w:t>
      </w:r>
    </w:p>
    <w:p>
      <w:pPr>
        <w:pStyle w:val="BodyText"/>
      </w:pPr>
      <w:r>
        <w:rPr>
          <w:bCs/>
          <w:b/>
        </w:rPr>
        <w:t xml:space="preserve">Semanas 3–4:</w:t>
      </w:r>
      <w:r>
        <w:t xml:space="preserve"> </w:t>
      </w:r>
      <w:r>
        <w:t xml:space="preserve">Aprende medición básica, tipos de superficies, terminología de sistemas de recubrimiento, conceptos de imprimante/capa final, etiquetas, uso de SDS/TDS, orden y limpieza, y lenguaje de calidad.</w:t>
      </w:r>
    </w:p>
    <w:p>
      <w:pPr>
        <w:pStyle w:val="BodyText"/>
      </w:pPr>
      <w:r>
        <w:rPr>
          <w:bCs/>
          <w:b/>
        </w:rPr>
        <w:t xml:space="preserve">Semanas 5–6:</w:t>
      </w:r>
      <w:r>
        <w:t xml:space="preserve"> </w:t>
      </w:r>
      <w:r>
        <w:t xml:space="preserve">Completa capacitación pública o aprobada por el empleador relevante para tu entorno: comunicación de peligros, PPE/EPP, escaleras/andamios/prevención de caídas, riesgos respiratorios y manejo de sustancias químicas. No realices tareas reguladas solamente porque completaste un curso en línea.</w:t>
      </w:r>
    </w:p>
    <w:p>
      <w:pPr>
        <w:pStyle w:val="BodyText"/>
      </w:pPr>
      <w:r>
        <w:rPr>
          <w:bCs/>
          <w:b/>
        </w:rPr>
        <w:t xml:space="preserve">Semanas 7–8:</w:t>
      </w:r>
      <w:r>
        <w:t xml:space="preserve"> </w:t>
      </w:r>
      <w:r>
        <w:t xml:space="preserve">Bajo supervisión, practica preparación de bajo riesgo, enmascarado, técnica con brocha/rodillo, limpieza, seguimiento de materiales e inspección de acabados usando materiales y superficies aprobados.</w:t>
      </w:r>
    </w:p>
    <w:p>
      <w:pPr>
        <w:pStyle w:val="BodyText"/>
      </w:pPr>
      <w:r>
        <w:rPr>
          <w:bCs/>
          <w:b/>
        </w:rPr>
        <w:t xml:space="preserve">Semanas 9–10:</w:t>
      </w:r>
      <w:r>
        <w:t xml:space="preserve"> </w:t>
      </w:r>
      <w:r>
        <w:t xml:space="preserve">Si tu objetivo es recubrimiento industrial, aprende el flujo de producción del empleador, controles de calidad, proceso de autorización de equipos, reglas de ventilación/cabina, límites de bloqueo y terminología de defectos. No operes equipos hasta recibir capacitación y autorización.</w:t>
      </w:r>
    </w:p>
    <w:p>
      <w:pPr>
        <w:pStyle w:val="BodyText"/>
      </w:pPr>
      <w:r>
        <w:rPr>
          <w:bCs/>
          <w:b/>
        </w:rPr>
        <w:t xml:space="preserve">Semanas 11–12:</w:t>
      </w:r>
      <w:r>
        <w:t xml:space="preserve"> </w:t>
      </w:r>
      <w:r>
        <w:t xml:space="preserve">Postúlate a cargos de ayudante, trainee, aprendiz o ingreso. Compara capacitación pública y pagada por el empleador con cualquier programa privado antes de inscribirte.</w:t>
      </w:r>
    </w:p>
    <w:bookmarkEnd w:id="47"/>
    <w:bookmarkStart w:id="48" w:name="X0dc18efb23a99b33866cf01f1dc6ee69093d417"/>
    <w:p>
      <w:pPr>
        <w:pStyle w:val="Heading2"/>
      </w:pPr>
      <w:r>
        <w:t xml:space="preserve">Cómo desarrollar experiencia sin tener todavía el cargo</w:t>
      </w:r>
    </w:p>
    <w:p>
      <w:pPr>
        <w:pStyle w:val="FirstParagraph"/>
      </w:pPr>
      <w:r>
        <w:t xml:space="preserve">La experiencia transferible puede provenir de:</w:t>
      </w:r>
    </w:p>
    <w:p>
      <w:pPr>
        <w:numPr>
          <w:ilvl w:val="0"/>
          <w:numId w:val="1011"/>
        </w:numPr>
        <w:pStyle w:val="Compact"/>
      </w:pPr>
      <w:r>
        <w:t xml:space="preserve">mantenimiento de edificios;</w:t>
      </w:r>
    </w:p>
    <w:p>
      <w:pPr>
        <w:numPr>
          <w:ilvl w:val="0"/>
          <w:numId w:val="1011"/>
        </w:numPr>
        <w:pStyle w:val="Compact"/>
      </w:pPr>
      <w:r>
        <w:t xml:space="preserve">trabajo de construcción o como ayudante de oficio;</w:t>
      </w:r>
    </w:p>
    <w:p>
      <w:pPr>
        <w:numPr>
          <w:ilvl w:val="0"/>
          <w:numId w:val="1011"/>
        </w:numPr>
        <w:pStyle w:val="Compact"/>
      </w:pPr>
      <w:r>
        <w:t xml:space="preserve">mantenimiento de instalaciones o propiedades;</w:t>
      </w:r>
    </w:p>
    <w:p>
      <w:pPr>
        <w:numPr>
          <w:ilvl w:val="0"/>
          <w:numId w:val="1011"/>
        </w:numPr>
        <w:pStyle w:val="Compact"/>
      </w:pPr>
      <w:r>
        <w:t xml:space="preserve">apoyo en carrocería/repintado automotriz;</w:t>
      </w:r>
    </w:p>
    <w:p>
      <w:pPr>
        <w:numPr>
          <w:ilvl w:val="0"/>
          <w:numId w:val="1011"/>
        </w:numPr>
        <w:pStyle w:val="Compact"/>
      </w:pPr>
      <w:r>
        <w:t xml:space="preserve">manufactura o producción;</w:t>
      </w:r>
    </w:p>
    <w:p>
      <w:pPr>
        <w:numPr>
          <w:ilvl w:val="0"/>
          <w:numId w:val="1011"/>
        </w:numPr>
        <w:pStyle w:val="Compact"/>
      </w:pPr>
      <w:r>
        <w:t xml:space="preserve">almacén y manejo de materiales;</w:t>
      </w:r>
    </w:p>
    <w:p>
      <w:pPr>
        <w:numPr>
          <w:ilvl w:val="0"/>
          <w:numId w:val="1011"/>
        </w:numPr>
        <w:pStyle w:val="Compact"/>
      </w:pPr>
      <w:r>
        <w:t xml:space="preserve">limpieza y preparación de superficies;</w:t>
      </w:r>
    </w:p>
    <w:p>
      <w:pPr>
        <w:numPr>
          <w:ilvl w:val="0"/>
          <w:numId w:val="1011"/>
        </w:numPr>
        <w:pStyle w:val="Compact"/>
      </w:pPr>
      <w:r>
        <w:t xml:space="preserve">funciones de apoyo marino, industrial o de infraestructura; o</w:t>
      </w:r>
    </w:p>
    <w:p>
      <w:pPr>
        <w:numPr>
          <w:ilvl w:val="0"/>
          <w:numId w:val="1011"/>
        </w:numPr>
        <w:pStyle w:val="Compact"/>
      </w:pPr>
      <w:r>
        <w:t xml:space="preserve">proyectos vocacionales o comunitarios supervisados.</w:t>
      </w:r>
    </w:p>
    <w:p>
      <w:pPr>
        <w:pStyle w:val="FirstParagraph"/>
      </w:pPr>
      <w:r>
        <w:t xml:space="preserve">Describe tu experiencia con precisión. La evidencia útil puede incluir preparación segura, bajo retrabajo, calidad de acabado consistente, asistencia confiable, manejo correcto de materiales, registros precisos, orden y limpieza, comunicación con clientes o finalización exitosa de capacitación supervisada.</w:t>
      </w:r>
    </w:p>
    <w:p>
      <w:pPr>
        <w:pStyle w:val="BodyText"/>
      </w:pPr>
      <w:r>
        <w:t xml:space="preserve">No afirmes ser aplicador certificado, Red Seal, pintor con licencia, operador de limpieza abrasiva industrial, participante autorizado de espacios confinados, trabajador habilitado para respiradores, repintador automotriz, inspector u operador de equipos salvo que realmente poseas la cualificación o autorización requerida.</w:t>
      </w:r>
    </w:p>
    <w:bookmarkEnd w:id="48"/>
    <w:bookmarkStart w:id="49" w:name="desarrollo-profesional"/>
    <w:p>
      <w:pPr>
        <w:pStyle w:val="Heading2"/>
      </w:pPr>
      <w:r>
        <w:t xml:space="preserve">Desarrollo profesional</w:t>
      </w:r>
    </w:p>
    <w:p>
      <w:pPr>
        <w:pStyle w:val="FirstParagraph"/>
      </w:pPr>
      <w:r>
        <w:t xml:space="preserve">La progresión posible puede incluir pintor experimentado, pintor/decorador de nivel oficial, pintor industrial, operador de recubrimiento, aplicador especializado, líder de cuadrilla, capataz, líder de línea de acabado, técnico de calidad, inspector de recubrimientos, estimador, supervisor, pintor de instalaciones, técnico de mantenimiento o trabajo independiente donde sea legalmente permitido.</w:t>
      </w:r>
    </w:p>
    <w:p>
      <w:pPr>
        <w:pStyle w:val="BodyText"/>
      </w:pPr>
      <w:r>
        <w:t xml:space="preserve">El trabajo especializado puede requerir capacitación adicional en áreas como recubrimientos protectores de alto desempeño, repintado automotriz, control de corrosión, pintura en polvo, limpieza abrasiva industrial, protección ignífuga, impermeabilización, trabajo en puentes/marítimo, inspección o controles de materiales peligrosos. Verifica los requisitos reales del empleador y de la jurisdicción antes de pagar por credenciales especializadas.</w:t>
      </w:r>
    </w:p>
    <w:bookmarkEnd w:id="49"/>
    <w:bookmarkStart w:id="50" w:name="uso-responsable-de-ia-en-este-trabajo"/>
    <w:p>
      <w:pPr>
        <w:pStyle w:val="Heading2"/>
      </w:pPr>
      <w:r>
        <w:t xml:space="preserve">Uso responsable de IA en este trabajo</w:t>
      </w:r>
    </w:p>
    <w:p>
      <w:pPr>
        <w:pStyle w:val="FirstParagraph"/>
      </w:pPr>
      <w:r>
        <w:t xml:space="preserve">Las herramientas de IA pueden ayudar a explicar terminología general, generar preguntas de práctica para entrevistas, resumir notas de estudio no sensibles u organizar una lista de capacitación. No deben sustituir:</w:t>
      </w:r>
    </w:p>
    <w:p>
      <w:pPr>
        <w:numPr>
          <w:ilvl w:val="0"/>
          <w:numId w:val="1012"/>
        </w:numPr>
        <w:pStyle w:val="Compact"/>
      </w:pPr>
      <w:r>
        <w:t xml:space="preserve">hojas de datos de seguridad ni hojas de datos técnicos;</w:t>
      </w:r>
    </w:p>
    <w:p>
      <w:pPr>
        <w:numPr>
          <w:ilvl w:val="0"/>
          <w:numId w:val="1012"/>
        </w:numPr>
        <w:pStyle w:val="Compact"/>
      </w:pPr>
      <w:r>
        <w:t xml:space="preserve">evaluaciones de exposición;</w:t>
      </w:r>
    </w:p>
    <w:p>
      <w:pPr>
        <w:numPr>
          <w:ilvl w:val="0"/>
          <w:numId w:val="1012"/>
        </w:numPr>
        <w:pStyle w:val="Compact"/>
      </w:pPr>
      <w:r>
        <w:t xml:space="preserve">selección de respiradores ni pruebas de ajuste;</w:t>
      </w:r>
    </w:p>
    <w:p>
      <w:pPr>
        <w:numPr>
          <w:ilvl w:val="0"/>
          <w:numId w:val="1012"/>
        </w:numPr>
        <w:pStyle w:val="Compact"/>
      </w:pPr>
      <w:r>
        <w:t xml:space="preserve">ingeniería de ventilación o cabinas de aspersión;</w:t>
      </w:r>
    </w:p>
    <w:p>
      <w:pPr>
        <w:numPr>
          <w:ilvl w:val="0"/>
          <w:numId w:val="1012"/>
        </w:numPr>
        <w:pStyle w:val="Compact"/>
      </w:pPr>
      <w:r>
        <w:t xml:space="preserve">planes de protección contra caídas;</w:t>
      </w:r>
    </w:p>
    <w:p>
      <w:pPr>
        <w:numPr>
          <w:ilvl w:val="0"/>
          <w:numId w:val="1012"/>
        </w:numPr>
        <w:pStyle w:val="Compact"/>
      </w:pPr>
      <w:r>
        <w:t xml:space="preserve">procedimientos para espacios confinados;</w:t>
      </w:r>
    </w:p>
    <w:p>
      <w:pPr>
        <w:numPr>
          <w:ilvl w:val="0"/>
          <w:numId w:val="1012"/>
        </w:numPr>
        <w:pStyle w:val="Compact"/>
      </w:pPr>
      <w:r>
        <w:t xml:space="preserve">determinaciones de materiales peligrosos;</w:t>
      </w:r>
    </w:p>
    <w:p>
      <w:pPr>
        <w:numPr>
          <w:ilvl w:val="0"/>
          <w:numId w:val="1012"/>
        </w:numPr>
        <w:pStyle w:val="Compact"/>
      </w:pPr>
      <w:r>
        <w:t xml:space="preserve">especificaciones de recubrimientos;</w:t>
      </w:r>
    </w:p>
    <w:p>
      <w:pPr>
        <w:numPr>
          <w:ilvl w:val="0"/>
          <w:numId w:val="1012"/>
        </w:numPr>
        <w:pStyle w:val="Compact"/>
      </w:pPr>
      <w:r>
        <w:t xml:space="preserve">límites de mezcla/aplicación del fabricante;</w:t>
      </w:r>
    </w:p>
    <w:p>
      <w:pPr>
        <w:numPr>
          <w:ilvl w:val="0"/>
          <w:numId w:val="1012"/>
        </w:numPr>
        <w:pStyle w:val="Compact"/>
      </w:pPr>
      <w:r>
        <w:t xml:space="preserve">criterios de aceptación de inspección; ni</w:t>
      </w:r>
    </w:p>
    <w:p>
      <w:pPr>
        <w:numPr>
          <w:ilvl w:val="0"/>
          <w:numId w:val="1012"/>
        </w:numPr>
        <w:pStyle w:val="Compact"/>
      </w:pPr>
      <w:r>
        <w:t xml:space="preserve">instrucciones de trabajo aprobadas por el empleador.</w:t>
      </w:r>
    </w:p>
    <w:p>
      <w:pPr>
        <w:pStyle w:val="FirstParagraph"/>
      </w:pPr>
      <w:r>
        <w:t xml:space="preserve">No pegues fórmulas propietarias, información de clientes, planos protegidos, detalles internos de incidentes, credenciales, precios ni especificaciones confidenciales en servicios públicos de IA sin autorización.</w:t>
      </w:r>
    </w:p>
    <w:p>
      <w:pPr>
        <w:pStyle w:val="BodyText"/>
      </w:pPr>
      <w:r>
        <w:t xml:space="preserve">Verifica proporciones, afirmaciones de compatibilidad, consejos de preparación de superficies, tiempos de curado, valores de espesor de película, límites ambientales, recomendaciones de seguridad y citas generados por IA contra documentos fuente aprobados antes de usarlos.</w:t>
      </w:r>
    </w:p>
    <w:bookmarkEnd w:id="50"/>
    <w:bookmarkStart w:id="51" w:name="X94b3f2df1e900dc58c37cb85b745caed7e4863e"/>
    <w:p>
      <w:pPr>
        <w:pStyle w:val="Heading2"/>
      </w:pPr>
      <w:r>
        <w:t xml:space="preserve">Conceptos básicos de ciberseguridad y privacidad</w:t>
      </w:r>
    </w:p>
    <w:p>
      <w:pPr>
        <w:pStyle w:val="FirstParagraph"/>
      </w:pPr>
      <w:r>
        <w:t xml:space="preserve">Los contratistas y fabricantes modernos pueden usar órdenes de trabajo en la nube, bibliotecas digitales de SDS, sistemas de calidad, bases de datos de especificaciones de recubrimiento, herramientas de estimación, portales de clientes y aplicaciones móviles de obra. Sigue las reglas del empleador sobre:</w:t>
      </w:r>
    </w:p>
    <w:p>
      <w:pPr>
        <w:numPr>
          <w:ilvl w:val="0"/>
          <w:numId w:val="1013"/>
        </w:numPr>
        <w:pStyle w:val="Compact"/>
      </w:pPr>
      <w:r>
        <w:t xml:space="preserve">contraseñas y autenticación multifactor;</w:t>
      </w:r>
    </w:p>
    <w:p>
      <w:pPr>
        <w:numPr>
          <w:ilvl w:val="0"/>
          <w:numId w:val="1013"/>
        </w:numPr>
        <w:pStyle w:val="Compact"/>
      </w:pPr>
      <w:r>
        <w:t xml:space="preserve">dispositivos y ubicaciones aprobadas para compartir archivos;</w:t>
      </w:r>
    </w:p>
    <w:p>
      <w:pPr>
        <w:numPr>
          <w:ilvl w:val="0"/>
          <w:numId w:val="1013"/>
        </w:numPr>
        <w:pStyle w:val="Compact"/>
      </w:pPr>
      <w:r>
        <w:t xml:space="preserve">enlaces y archivos adjuntos sospechosos;</w:t>
      </w:r>
    </w:p>
    <w:p>
      <w:pPr>
        <w:numPr>
          <w:ilvl w:val="0"/>
          <w:numId w:val="1013"/>
        </w:numPr>
        <w:pStyle w:val="Compact"/>
      </w:pPr>
      <w:r>
        <w:t xml:space="preserve">direcciones e información de contacto de clientes;</w:t>
      </w:r>
    </w:p>
    <w:p>
      <w:pPr>
        <w:numPr>
          <w:ilvl w:val="0"/>
          <w:numId w:val="1013"/>
        </w:numPr>
        <w:pStyle w:val="Compact"/>
      </w:pPr>
      <w:r>
        <w:t xml:space="preserve">especificaciones propietarias de recubrimiento y precios;</w:t>
      </w:r>
    </w:p>
    <w:p>
      <w:pPr>
        <w:numPr>
          <w:ilvl w:val="0"/>
          <w:numId w:val="1013"/>
        </w:numPr>
        <w:pStyle w:val="Compact"/>
      </w:pPr>
      <w:r>
        <w:t xml:space="preserve">registros de incidentes y seguridad;</w:t>
      </w:r>
    </w:p>
    <w:p>
      <w:pPr>
        <w:numPr>
          <w:ilvl w:val="0"/>
          <w:numId w:val="1013"/>
        </w:numPr>
        <w:pStyle w:val="Compact"/>
      </w:pPr>
      <w:r>
        <w:t xml:space="preserve">fotografías tomadas en instalaciones industriales o de clientes; y</w:t>
      </w:r>
    </w:p>
    <w:p>
      <w:pPr>
        <w:numPr>
          <w:ilvl w:val="0"/>
          <w:numId w:val="1013"/>
        </w:numPr>
        <w:pStyle w:val="Compact"/>
      </w:pPr>
      <w:r>
        <w:t xml:space="preserve">uso de dispositivos personales o herramientas públicas de IA.</w:t>
      </w:r>
    </w:p>
    <w:p>
      <w:pPr>
        <w:pStyle w:val="FirstParagraph"/>
      </w:pPr>
      <w:r>
        <w:t xml:space="preserve">Verifica solicitudes inusuales de cambios bancarios, pagos urgentes, restablecimientos de credenciales o transferencias de archivos confidenciales mediante un segundo canal aprobado.</w:t>
      </w:r>
    </w:p>
    <w:bookmarkEnd w:id="51"/>
    <w:bookmarkStart w:id="52" w:name="Xe6a02d246b28f3781dccad9125c74eee6b20d3a"/>
    <w:p>
      <w:pPr>
        <w:pStyle w:val="Heading2"/>
      </w:pPr>
      <w:r>
        <w:t xml:space="preserve">Cómo evitar estafas y ofertas de capacitación débiles</w:t>
      </w:r>
    </w:p>
    <w:p>
      <w:pPr>
        <w:pStyle w:val="FirstParagraph"/>
      </w:pPr>
      <w:r>
        <w:t xml:space="preserve">Ten precaución cuando un proveedor de capacitación, reclutador o empleador:</w:t>
      </w:r>
    </w:p>
    <w:p>
      <w:pPr>
        <w:numPr>
          <w:ilvl w:val="0"/>
          <w:numId w:val="1014"/>
        </w:numPr>
        <w:pStyle w:val="Compact"/>
      </w:pPr>
      <w:r>
        <w:t xml:space="preserve">garantice un empleo, aprendizaje, licencia o salario específico;</w:t>
      </w:r>
    </w:p>
    <w:p>
      <w:pPr>
        <w:numPr>
          <w:ilvl w:val="0"/>
          <w:numId w:val="1014"/>
        </w:numPr>
        <w:pStyle w:val="Compact"/>
      </w:pPr>
      <w:r>
        <w:t xml:space="preserve">afirme que un certificado privado es legalmente obligatorio sin mostrar la norma oficial;</w:t>
      </w:r>
    </w:p>
    <w:p>
      <w:pPr>
        <w:numPr>
          <w:ilvl w:val="0"/>
          <w:numId w:val="1014"/>
        </w:numPr>
        <w:pStyle w:val="Compact"/>
      </w:pPr>
      <w:r>
        <w:t xml:space="preserve">te presione para pagar inmediatamente;</w:t>
      </w:r>
    </w:p>
    <w:p>
      <w:pPr>
        <w:numPr>
          <w:ilvl w:val="0"/>
          <w:numId w:val="1014"/>
        </w:numPr>
        <w:pStyle w:val="Compact"/>
      </w:pPr>
      <w:r>
        <w:t xml:space="preserve">no revele matrícula total, costos de equipos, reglas de reembolso o reconocimiento de la credencial;</w:t>
      </w:r>
    </w:p>
    <w:p>
      <w:pPr>
        <w:numPr>
          <w:ilvl w:val="0"/>
          <w:numId w:val="1014"/>
        </w:numPr>
        <w:pStyle w:val="Compact"/>
      </w:pPr>
      <w:r>
        <w:t xml:space="preserve">afirme que un curso corto en línea por sí solo autoriza trabajos peligrosos de aspersión, limpieza abrasiva, respiración, plomo, andamios o espacios confinados;</w:t>
      </w:r>
    </w:p>
    <w:p>
      <w:pPr>
        <w:numPr>
          <w:ilvl w:val="0"/>
          <w:numId w:val="1014"/>
        </w:numPr>
        <w:pStyle w:val="Compact"/>
      </w:pPr>
      <w:r>
        <w:t xml:space="preserve">te pida pagar por una oferta de trabajo o envío de equipo usando tarjetas de regalo, criptomonedas o métodos de pago inusuales; o</w:t>
      </w:r>
    </w:p>
    <w:p>
      <w:pPr>
        <w:numPr>
          <w:ilvl w:val="0"/>
          <w:numId w:val="1014"/>
        </w:numPr>
        <w:pStyle w:val="Compact"/>
      </w:pPr>
      <w:r>
        <w:t xml:space="preserve">solicite información sensible de identidad o bancaria antes de que puedas verificar de forma independiente a la organización.</w:t>
      </w:r>
    </w:p>
    <w:p>
      <w:pPr>
        <w:pStyle w:val="FirstParagraph"/>
      </w:pPr>
      <w:r>
        <w:t xml:space="preserve">Usa fuentes oficiales gubernamentales, de aprendizaje, del empleador, sindicales/industriales o de capacitación pública reconocida para verificar afirmaciones.</w:t>
      </w:r>
    </w:p>
    <w:bookmarkEnd w:id="52"/>
    <w:bookmarkStart w:id="53" w:name="cuándo-detenerte-antes-de-gastar-dinero"/>
    <w:p>
      <w:pPr>
        <w:pStyle w:val="Heading2"/>
      </w:pPr>
      <w:r>
        <w:t xml:space="preserve">Cuándo detenerte antes de gastar dinero</w:t>
      </w:r>
    </w:p>
    <w:p>
      <w:pPr>
        <w:pStyle w:val="FirstParagraph"/>
      </w:pPr>
      <w:r>
        <w:t xml:space="preserve">Detente antes de pagar cuando:</w:t>
      </w:r>
    </w:p>
    <w:p>
      <w:pPr>
        <w:numPr>
          <w:ilvl w:val="0"/>
          <w:numId w:val="1015"/>
        </w:numPr>
        <w:pStyle w:val="Compact"/>
      </w:pPr>
      <w:r>
        <w:t xml:space="preserve">los empleadores locales no solicitan repetidamente la credencial;</w:t>
      </w:r>
    </w:p>
    <w:p>
      <w:pPr>
        <w:numPr>
          <w:ilvl w:val="0"/>
          <w:numId w:val="1015"/>
        </w:numPr>
        <w:pStyle w:val="Compact"/>
      </w:pPr>
      <w:r>
        <w:t xml:space="preserve">el proveedor no puede explicar si el curso aplica a pintura de construcción, recubrimiento industrial, repintado automotriz u otra especialidad;</w:t>
      </w:r>
    </w:p>
    <w:p>
      <w:pPr>
        <w:numPr>
          <w:ilvl w:val="0"/>
          <w:numId w:val="1015"/>
        </w:numPr>
        <w:pStyle w:val="Compact"/>
      </w:pPr>
      <w:r>
        <w:t xml:space="preserve">capacitación pública o pagada por el empleador puede cubrir la misma habilidad;</w:t>
      </w:r>
    </w:p>
    <w:p>
      <w:pPr>
        <w:numPr>
          <w:ilvl w:val="0"/>
          <w:numId w:val="1015"/>
        </w:numPr>
        <w:pStyle w:val="Compact"/>
      </w:pPr>
      <w:r>
        <w:t xml:space="preserve">no has verificado si una credencial es reconocida en tu jurisdicción;</w:t>
      </w:r>
    </w:p>
    <w:p>
      <w:pPr>
        <w:numPr>
          <w:ilvl w:val="0"/>
          <w:numId w:val="1015"/>
        </w:numPr>
        <w:pStyle w:val="Compact"/>
      </w:pPr>
      <w:r>
        <w:t xml:space="preserve">el proveedor no puede informar por escrito el costo total y las condiciones de reembolso;</w:t>
      </w:r>
    </w:p>
    <w:p>
      <w:pPr>
        <w:numPr>
          <w:ilvl w:val="0"/>
          <w:numId w:val="1015"/>
        </w:numPr>
        <w:pStyle w:val="Compact"/>
      </w:pPr>
      <w:r>
        <w:t xml:space="preserve">el curso fomenta práctica peligrosa sin controles supervisados; o</w:t>
      </w:r>
    </w:p>
    <w:p>
      <w:pPr>
        <w:numPr>
          <w:ilvl w:val="0"/>
          <w:numId w:val="1015"/>
        </w:numPr>
        <w:pStyle w:val="Compact"/>
      </w:pPr>
      <w:r>
        <w:t xml:space="preserve">el financiamiento crearía una deuda que no puedes pagar cómodamente.</w:t>
      </w:r>
    </w:p>
    <w:bookmarkEnd w:id="53"/>
    <w:bookmarkStart w:id="70" w:name="fuentes-actuales"/>
    <w:p>
      <w:pPr>
        <w:pStyle w:val="Heading2"/>
      </w:pPr>
      <w:r>
        <w:t xml:space="preserve">Fuentes actuales</w:t>
      </w:r>
    </w:p>
    <w:p>
      <w:pPr>
        <w:pStyle w:val="FirstParagraph"/>
      </w:pPr>
      <w:r>
        <w:t xml:space="preserve">Fuentes oficiales/públicas:</w:t>
      </w:r>
    </w:p>
    <w:p>
      <w:pPr>
        <w:numPr>
          <w:ilvl w:val="0"/>
          <w:numId w:val="1016"/>
        </w:numPr>
        <w:pStyle w:val="Compact"/>
      </w:pPr>
      <w:r>
        <w:t xml:space="preserve">U.S. Bureau of Labor Statistics — Painters, Construction and Maintenance:</w:t>
      </w:r>
      <w:r>
        <w:t xml:space="preserve"> </w:t>
      </w:r>
      <w:hyperlink r:id="rId54">
        <w:r>
          <w:rPr>
            <w:rStyle w:val="Hyperlink"/>
          </w:rPr>
          <w:t xml:space="preserve">https://www.bls.gov/ooh/construction-and-extraction/painters-construction-and-maintenance.htm</w:t>
        </w:r>
      </w:hyperlink>
    </w:p>
    <w:p>
      <w:pPr>
        <w:numPr>
          <w:ilvl w:val="0"/>
          <w:numId w:val="1016"/>
        </w:numPr>
        <w:pStyle w:val="Compact"/>
      </w:pPr>
      <w:r>
        <w:t xml:space="preserve">O*NET OnLine — Coating, Painting, and Spraying Machine Setters, Operators, and Tenders (51-9124.00):</w:t>
      </w:r>
      <w:r>
        <w:t xml:space="preserve"> </w:t>
      </w:r>
      <w:hyperlink r:id="rId55">
        <w:r>
          <w:rPr>
            <w:rStyle w:val="Hyperlink"/>
          </w:rPr>
          <w:t xml:space="preserve">https://www.onetonline.org/link/details/51-9124.00</w:t>
        </w:r>
      </w:hyperlink>
    </w:p>
    <w:p>
      <w:pPr>
        <w:numPr>
          <w:ilvl w:val="0"/>
          <w:numId w:val="1016"/>
        </w:numPr>
        <w:pStyle w:val="Compact"/>
      </w:pPr>
      <w:r>
        <w:t xml:space="preserve">OSHA — 29 CFR 1910.107, Spray finishing using flammable and combustible materials:</w:t>
      </w:r>
      <w:r>
        <w:t xml:space="preserve"> </w:t>
      </w:r>
      <w:hyperlink r:id="rId56">
        <w:r>
          <w:rPr>
            <w:rStyle w:val="Hyperlink"/>
          </w:rPr>
          <w:t xml:space="preserve">https://www.osha.gov/laws-regs/regulations/standardnumber/1910/1910.107</w:t>
        </w:r>
      </w:hyperlink>
    </w:p>
    <w:p>
      <w:pPr>
        <w:numPr>
          <w:ilvl w:val="0"/>
          <w:numId w:val="1016"/>
        </w:numPr>
        <w:pStyle w:val="Compact"/>
      </w:pPr>
      <w:r>
        <w:t xml:space="preserve">OSHA — 29 CFR 1926.62, Lead:</w:t>
      </w:r>
      <w:r>
        <w:t xml:space="preserve"> </w:t>
      </w:r>
      <w:hyperlink r:id="rId57">
        <w:r>
          <w:rPr>
            <w:rStyle w:val="Hyperlink"/>
          </w:rPr>
          <w:t xml:space="preserve">https://www.osha.gov/laws-regs/regulations/standardnumber/1926/1926.62</w:t>
        </w:r>
      </w:hyperlink>
    </w:p>
    <w:p>
      <w:pPr>
        <w:numPr>
          <w:ilvl w:val="0"/>
          <w:numId w:val="1016"/>
        </w:numPr>
        <w:pStyle w:val="Compact"/>
      </w:pPr>
      <w:r>
        <w:t xml:space="preserve">OSHA — 29 CFR 1910.134, Respiratory protection:</w:t>
      </w:r>
      <w:r>
        <w:t xml:space="preserve"> </w:t>
      </w:r>
      <w:hyperlink r:id="rId58">
        <w:r>
          <w:rPr>
            <w:rStyle w:val="Hyperlink"/>
          </w:rPr>
          <w:t xml:space="preserve">https://www.osha.gov/laws-regs/regulations/standardnumber/1910/1910.134</w:t>
        </w:r>
      </w:hyperlink>
    </w:p>
    <w:p>
      <w:pPr>
        <w:numPr>
          <w:ilvl w:val="0"/>
          <w:numId w:val="1016"/>
        </w:numPr>
        <w:pStyle w:val="Compact"/>
      </w:pPr>
      <w:r>
        <w:t xml:space="preserve">Red Seal Program — Painter and Decorator:</w:t>
      </w:r>
      <w:r>
        <w:t xml:space="preserve"> </w:t>
      </w:r>
      <w:hyperlink r:id="rId59">
        <w:r>
          <w:rPr>
            <w:rStyle w:val="Hyperlink"/>
          </w:rPr>
          <w:t xml:space="preserve">https://red-seal.ca/eng/trades/painter-decorator.shtml</w:t>
        </w:r>
      </w:hyperlink>
    </w:p>
    <w:p>
      <w:pPr>
        <w:numPr>
          <w:ilvl w:val="0"/>
          <w:numId w:val="1016"/>
        </w:numPr>
        <w:pStyle w:val="Compact"/>
      </w:pPr>
      <w:r>
        <w:t xml:space="preserve">Red Seal Occupational Standard — Painter and Decorator:</w:t>
      </w:r>
      <w:r>
        <w:t xml:space="preserve"> </w:t>
      </w:r>
      <w:hyperlink r:id="rId60">
        <w:r>
          <w:rPr>
            <w:rStyle w:val="Hyperlink"/>
          </w:rPr>
          <w:t xml:space="preserve">https://red-seal.ca/eng/trades/paintdeco/overview.shtml</w:t>
        </w:r>
      </w:hyperlink>
    </w:p>
    <w:p>
      <w:pPr>
        <w:numPr>
          <w:ilvl w:val="0"/>
          <w:numId w:val="1016"/>
        </w:numPr>
        <w:pStyle w:val="Compact"/>
      </w:pPr>
      <w:r>
        <w:t xml:space="preserve">Government of Canada Job Bank — Painters and decorators wages:</w:t>
      </w:r>
      <w:r>
        <w:t xml:space="preserve"> </w:t>
      </w:r>
      <w:hyperlink r:id="rId61">
        <w:r>
          <w:rPr>
            <w:rStyle w:val="Hyperlink"/>
          </w:rPr>
          <w:t xml:space="preserve">https://www.jobbank.gc.ca/wagereport/occupation/6523</w:t>
        </w:r>
      </w:hyperlink>
    </w:p>
    <w:p>
      <w:pPr>
        <w:numPr>
          <w:ilvl w:val="0"/>
          <w:numId w:val="1016"/>
        </w:numPr>
        <w:pStyle w:val="Compact"/>
      </w:pPr>
      <w:r>
        <w:t xml:space="preserve">Government of Canada Job Bank — Industrial painters/coaters wages:</w:t>
      </w:r>
      <w:r>
        <w:t xml:space="preserve"> </w:t>
      </w:r>
      <w:hyperlink r:id="rId62">
        <w:r>
          <w:rPr>
            <w:rStyle w:val="Hyperlink"/>
          </w:rPr>
          <w:t xml:space="preserve">https://www.jobbank.gc.ca/wagereport/occupation/18915</w:t>
        </w:r>
      </w:hyperlink>
    </w:p>
    <w:p>
      <w:pPr>
        <w:numPr>
          <w:ilvl w:val="0"/>
          <w:numId w:val="1016"/>
        </w:numPr>
        <w:pStyle w:val="Compact"/>
      </w:pPr>
      <w:r>
        <w:t xml:space="preserve">Government of Canada Job Bank — Industrial painter labour-market summary:</w:t>
      </w:r>
      <w:r>
        <w:t xml:space="preserve"> </w:t>
      </w:r>
      <w:hyperlink r:id="rId63">
        <w:r>
          <w:rPr>
            <w:rStyle w:val="Hyperlink"/>
          </w:rPr>
          <w:t xml:space="preserve">https://www.jobbank.gc.ca/marketreport/summary-occupation/18980/ca</w:t>
        </w:r>
      </w:hyperlink>
    </w:p>
    <w:p>
      <w:pPr>
        <w:numPr>
          <w:ilvl w:val="0"/>
          <w:numId w:val="1016"/>
        </w:numPr>
        <w:pStyle w:val="Compact"/>
      </w:pPr>
      <w:r>
        <w:t xml:space="preserve">Colombia Ministry of Labour OCUPACOL — Pintores y empapeladores:</w:t>
      </w:r>
      <w:r>
        <w:t xml:space="preserve"> </w:t>
      </w:r>
      <w:hyperlink r:id="rId64">
        <w:r>
          <w:rPr>
            <w:rStyle w:val="Hyperlink"/>
          </w:rPr>
          <w:t xml:space="preserve">https://ocupacol.mintrabajo.gov.co/Profile/OccupationalProfile/71310</w:t>
        </w:r>
      </w:hyperlink>
    </w:p>
    <w:p>
      <w:pPr>
        <w:numPr>
          <w:ilvl w:val="0"/>
          <w:numId w:val="1016"/>
        </w:numPr>
        <w:pStyle w:val="Compact"/>
      </w:pPr>
      <w:r>
        <w:t xml:space="preserve">SENA — training framework including Pintura arquitectónica y acabados especiales:</w:t>
      </w:r>
      <w:r>
        <w:t xml:space="preserve"> </w:t>
      </w:r>
      <w:hyperlink r:id="rId65">
        <w:r>
          <w:rPr>
            <w:rStyle w:val="Hyperlink"/>
          </w:rPr>
          <w:t xml:space="preserve">https://normograma.sena.edu.co/compilacion/docs/circular_sena_0021_2025.htm</w:t>
        </w:r>
      </w:hyperlink>
    </w:p>
    <w:p>
      <w:pPr>
        <w:numPr>
          <w:ilvl w:val="0"/>
          <w:numId w:val="1016"/>
        </w:numPr>
        <w:pStyle w:val="Compact"/>
      </w:pPr>
      <w:r>
        <w:t xml:space="preserve">SENA — architectural-painting training example:</w:t>
      </w:r>
      <w:r>
        <w:t xml:space="preserve"> </w:t>
      </w:r>
      <w:hyperlink r:id="rId66">
        <w:r>
          <w:rPr>
            <w:rStyle w:val="Hyperlink"/>
          </w:rPr>
          <w:t xml:space="preserve">https://www.sena.edu.co/es-co/Noticias/Paginas/noticia.aspx?IdNoticia=7988</w:t>
        </w:r>
      </w:hyperlink>
    </w:p>
    <w:p>
      <w:pPr>
        <w:numPr>
          <w:ilvl w:val="0"/>
          <w:numId w:val="1016"/>
        </w:numPr>
        <w:pStyle w:val="Compact"/>
      </w:pPr>
      <w:r>
        <w:t xml:space="preserve">OIT/Cinterfor — institutional vocational-training network:</w:t>
      </w:r>
      <w:r>
        <w:t xml:space="preserve"> </w:t>
      </w:r>
      <w:hyperlink r:id="rId67">
        <w:r>
          <w:rPr>
            <w:rStyle w:val="Hyperlink"/>
          </w:rPr>
          <w:t xml:space="preserve">https://www.oitcinterfor.org/red-institucional</w:t>
        </w:r>
      </w:hyperlink>
    </w:p>
    <w:p>
      <w:pPr>
        <w:numPr>
          <w:ilvl w:val="0"/>
          <w:numId w:val="1016"/>
        </w:numPr>
        <w:pStyle w:val="Compact"/>
      </w:pPr>
      <w:r>
        <w:t xml:space="preserve">OIT/Cinterfor — Central America, Panama, Dominican Republic and Haiti vocational-training network:</w:t>
      </w:r>
      <w:r>
        <w:t xml:space="preserve"> </w:t>
      </w:r>
      <w:hyperlink r:id="rId68">
        <w:r>
          <w:rPr>
            <w:rStyle w:val="Hyperlink"/>
          </w:rPr>
          <w:t xml:space="preserve">https://www.oitcinterfor.org/recursos/redIFP</w:t>
        </w:r>
      </w:hyperlink>
    </w:p>
    <w:p>
      <w:pPr>
        <w:numPr>
          <w:ilvl w:val="0"/>
          <w:numId w:val="1016"/>
        </w:numPr>
        <w:pStyle w:val="Compact"/>
      </w:pPr>
      <w:r>
        <w:t xml:space="preserve">Chile SENCE — construction training including painting and varnishing:</w:t>
      </w:r>
      <w:r>
        <w:t xml:space="preserve"> </w:t>
      </w:r>
      <w:hyperlink r:id="rId69">
        <w:r>
          <w:rPr>
            <w:rStyle w:val="Hyperlink"/>
          </w:rPr>
          <w:t xml:space="preserve">https://sence.gob.cl/node/5146</w:t>
        </w:r>
      </w:hyperlink>
    </w:p>
    <w:bookmarkEnd w:id="70"/>
    <w:bookmarkStart w:id="71" w:name="limitaciones-importantes"/>
    <w:p>
      <w:pPr>
        <w:pStyle w:val="Heading2"/>
      </w:pPr>
      <w:r>
        <w:t xml:space="preserve">Limitaciones importantes</w:t>
      </w:r>
    </w:p>
    <w:p>
      <w:pPr>
        <w:pStyle w:val="FirstParagraph"/>
      </w:pPr>
      <w:r>
        <w:t xml:space="preserve">Esta guía proporciona información general de carácter educativo y de orientación profesional. No constituye asesoría legal, asesoría de salud ocupacional, asesoría médica, asesoría de cumplimiento ambiental, asesoría de ingeniería, una determinación de licencia ni un sustituto de la capacitación del empleador o de supervisión competente.</w:t>
      </w:r>
    </w:p>
    <w:p>
      <w:pPr>
        <w:pStyle w:val="BodyText"/>
      </w:pPr>
      <w:r>
        <w:t xml:space="preserve">La disponibilidad de capacitación, salarios, clasificaciones ocupacionales, reglas de certificación, requisitos de licencia, normas de seguridad y financiamiento pueden cambiar. Verifica la regla vigente y la fuente local antes de actuar.</w:t>
      </w:r>
    </w:p>
    <w:p>
      <w:pPr>
        <w:pStyle w:val="BodyText"/>
      </w:pPr>
      <w:r>
        <w:t xml:space="preserve">Esta edición no afirma contar con certificación humana independiente, certificación profesional de traducción, certificación de accesibilidad, revisión legal, aprobación ambiental, acreditación, empleo garantizado ni ingresos garantizados.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normograma.sena.edu.co/compilacion/docs/circular_sena_0021_2025.htm" TargetMode="External" /><Relationship Type="http://schemas.openxmlformats.org/officeDocument/2006/relationships/hyperlink" Id="rId64" Target="https://ocupacol.mintrabajo.gov.co/Profile/OccupationalProfile/71310" TargetMode="External" /><Relationship Type="http://schemas.openxmlformats.org/officeDocument/2006/relationships/hyperlink" Id="rId60" Target="https://red-seal.ca/eng/trades/paintdeco/overview.shtml" TargetMode="External" /><Relationship Type="http://schemas.openxmlformats.org/officeDocument/2006/relationships/hyperlink" Id="rId59" Target="https://red-seal.ca/eng/trades/painter-decorator.shtml" TargetMode="External" /><Relationship Type="http://schemas.openxmlformats.org/officeDocument/2006/relationships/hyperlink" Id="rId69" Target="https://sence.gob.cl/node/5146" TargetMode="External" /><Relationship Type="http://schemas.openxmlformats.org/officeDocument/2006/relationships/hyperlink" Id="rId54" Target="https://www.bls.gov/ooh/construction-and-extraction/painters-construction-and-maintenance.htm" TargetMode="External" /><Relationship Type="http://schemas.openxmlformats.org/officeDocument/2006/relationships/hyperlink" Id="rId63" Target="https://www.jobbank.gc.ca/marketreport/summary-occupation/18980/ca" TargetMode="External" /><Relationship Type="http://schemas.openxmlformats.org/officeDocument/2006/relationships/hyperlink" Id="rId62" Target="https://www.jobbank.gc.ca/wagereport/occupation/18915" TargetMode="External" /><Relationship Type="http://schemas.openxmlformats.org/officeDocument/2006/relationships/hyperlink" Id="rId61" Target="https://www.jobbank.gc.ca/wagereport/occupation/6523" TargetMode="External" /><Relationship Type="http://schemas.openxmlformats.org/officeDocument/2006/relationships/hyperlink" Id="rId68" Target="https://www.oitcinterfor.org/recursos/redIFP" TargetMode="External" /><Relationship Type="http://schemas.openxmlformats.org/officeDocument/2006/relationships/hyperlink" Id="rId67" Target="https://www.oitcinterfor.org/red-institucional" TargetMode="External" /><Relationship Type="http://schemas.openxmlformats.org/officeDocument/2006/relationships/hyperlink" Id="rId55" Target="https://www.onetonline.org/link/details/51-9124.00" TargetMode="External" /><Relationship Type="http://schemas.openxmlformats.org/officeDocument/2006/relationships/hyperlink" Id="rId56" Target="https://www.osha.gov/laws-regs/regulations/standardnumber/1910/1910.107" TargetMode="External" /><Relationship Type="http://schemas.openxmlformats.org/officeDocument/2006/relationships/hyperlink" Id="rId58" Target="https://www.osha.gov/laws-regs/regulations/standardnumber/1910/1910.134" TargetMode="External" /><Relationship Type="http://schemas.openxmlformats.org/officeDocument/2006/relationships/hyperlink" Id="rId57" Target="https://www.osha.gov/laws-regs/regulations/standardnumber/1926/1926.62" TargetMode="External" /><Relationship Type="http://schemas.openxmlformats.org/officeDocument/2006/relationships/hyperlink" Id="rId66" Target="https://www.sena.edu.co/es-co/Noticias/Paginas/noticia.aspx?IdNoticia=7988" TargetMode="External" /></Relationships>
</file>

<file path=word/_rels/footnotes.xml.rels><?xml version="1.0" encoding="UTF-8"?><Relationships xmlns="http://schemas.openxmlformats.org/package/2006/relationships"><Relationship Type="http://schemas.openxmlformats.org/officeDocument/2006/relationships/hyperlink" Id="rId65" Target="https://normograma.sena.edu.co/compilacion/docs/circular_sena_0021_2025.htm" TargetMode="External" /><Relationship Type="http://schemas.openxmlformats.org/officeDocument/2006/relationships/hyperlink" Id="rId64" Target="https://ocupacol.mintrabajo.gov.co/Profile/OccupationalProfile/71310" TargetMode="External" /><Relationship Type="http://schemas.openxmlformats.org/officeDocument/2006/relationships/hyperlink" Id="rId60" Target="https://red-seal.ca/eng/trades/paintdeco/overview.shtml" TargetMode="External" /><Relationship Type="http://schemas.openxmlformats.org/officeDocument/2006/relationships/hyperlink" Id="rId59" Target="https://red-seal.ca/eng/trades/painter-decorator.shtml" TargetMode="External" /><Relationship Type="http://schemas.openxmlformats.org/officeDocument/2006/relationships/hyperlink" Id="rId69" Target="https://sence.gob.cl/node/5146" TargetMode="External" /><Relationship Type="http://schemas.openxmlformats.org/officeDocument/2006/relationships/hyperlink" Id="rId54" Target="https://www.bls.gov/ooh/construction-and-extraction/painters-construction-and-maintenance.htm" TargetMode="External" /><Relationship Type="http://schemas.openxmlformats.org/officeDocument/2006/relationships/hyperlink" Id="rId63" Target="https://www.jobbank.gc.ca/marketreport/summary-occupation/18980/ca" TargetMode="External" /><Relationship Type="http://schemas.openxmlformats.org/officeDocument/2006/relationships/hyperlink" Id="rId62" Target="https://www.jobbank.gc.ca/wagereport/occupation/18915" TargetMode="External" /><Relationship Type="http://schemas.openxmlformats.org/officeDocument/2006/relationships/hyperlink" Id="rId61" Target="https://www.jobbank.gc.ca/wagereport/occupation/6523" TargetMode="External" /><Relationship Type="http://schemas.openxmlformats.org/officeDocument/2006/relationships/hyperlink" Id="rId68" Target="https://www.oitcinterfor.org/recursos/redIFP" TargetMode="External" /><Relationship Type="http://schemas.openxmlformats.org/officeDocument/2006/relationships/hyperlink" Id="rId67" Target="https://www.oitcinterfor.org/red-institucional" TargetMode="External" /><Relationship Type="http://schemas.openxmlformats.org/officeDocument/2006/relationships/hyperlink" Id="rId55" Target="https://www.onetonline.org/link/details/51-9124.00" TargetMode="External" /><Relationship Type="http://schemas.openxmlformats.org/officeDocument/2006/relationships/hyperlink" Id="rId56" Target="https://www.osha.gov/laws-regs/regulations/standardnumber/1910/1910.107" TargetMode="External" /><Relationship Type="http://schemas.openxmlformats.org/officeDocument/2006/relationships/hyperlink" Id="rId58" Target="https://www.osha.gov/laws-regs/regulations/standardnumber/1910/1910.134" TargetMode="External" /><Relationship Type="http://schemas.openxmlformats.org/officeDocument/2006/relationships/hyperlink" Id="rId57" Target="https://www.osha.gov/laws-regs/regulations/standardnumber/1926/1926.62" TargetMode="External" /><Relationship Type="http://schemas.openxmlformats.org/officeDocument/2006/relationships/hyperlink" Id="rId66" Target="https://www.sena.edu.co/es-co/Noticias/Paginas/noticia.aspx?IdNoticia=79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2026-08-16T17:04:06Z</dcterms:created>
  <dcterms:modified xsi:type="dcterms:W3CDTF">2026-08-16T17:04:06Z</dcterms:modified>
</cp:coreProperties>
</file>

<file path=docProps/custom.xml><?xml version="1.0" encoding="utf-8"?>
<Properties xmlns="http://schemas.openxmlformats.org/officeDocument/2006/custom-properties" xmlns:vt="http://schemas.openxmlformats.org/officeDocument/2006/docPropsVTypes"/>
</file>