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77592a956ecfa348d69444b158c5402accbb8a4"/>
    <w:p>
      <w:pPr>
        <w:pStyle w:val="Heading1"/>
      </w:pPr>
      <w:r>
        <w:t xml:space="preserve">Guía de Oportunidades para Toda la Vida 66 — Aprendiz de gerencia de servicios de alimentos y supervisor/a de restaurante</w:t>
      </w:r>
    </w:p>
    <w:p>
      <w:pPr>
        <w:pStyle w:val="FirstParagraph"/>
      </w:pPr>
      <w:r>
        <w:rPr>
          <w:bCs/>
          <w:b/>
        </w:rPr>
        <w:t xml:space="preserve">Versión:</w:t>
      </w:r>
      <w:r>
        <w:t xml:space="preserve"> </w:t>
      </w:r>
      <w:r>
        <w:t xml:space="preserve">2.0, borrador maestro controlado</w:t>
      </w:r>
      <w:r>
        <w:br/>
      </w:r>
      <w:r>
        <w:rPr>
          <w:bCs/>
          <w:b/>
        </w:rPr>
        <w:t xml:space="preserve">Idioma:</w:t>
      </w:r>
      <w:r>
        <w:t xml:space="preserve"> </w:t>
      </w:r>
      <w:r>
        <w:t xml:space="preserve">español neutro de América Latina (</w:t>
      </w:r>
      <w:r>
        <w:rPr>
          <w:rStyle w:val="VerbatimChar"/>
        </w:rPr>
        <w:t xml:space="preserve">es-419</w:t>
      </w:r>
      <w:r>
        <w:t xml:space="preserve">)</w:t>
      </w:r>
      <w:r>
        <w:br/>
      </w:r>
      <w:r>
        <w:rPr>
          <w:bCs/>
          <w:b/>
        </w:rPr>
        <w:t xml:space="preserve">Referencia ocupacional:</w:t>
      </w:r>
      <w:r>
        <w:t xml:space="preserve"> </w:t>
      </w:r>
      <w:r>
        <w:t xml:space="preserve">O*NET-SOC 11-9051.00 — Food Service Managers</w:t>
      </w:r>
      <w:r>
        <w:br/>
      </w:r>
      <w:r>
        <w:rPr>
          <w:bCs/>
          <w:b/>
        </w:rPr>
        <w:t xml:space="preserve">Comparación con Canadá:</w:t>
      </w:r>
      <w:r>
        <w:t xml:space="preserve"> </w:t>
      </w:r>
      <w:r>
        <w:t xml:space="preserve">NOC 60030 — Restaurant and food service managers</w:t>
      </w:r>
      <w:r>
        <w:br/>
      </w:r>
      <w:r>
        <w:rPr>
          <w:bCs/>
          <w:b/>
        </w:rPr>
        <w:t xml:space="preserve">Fecha de revisión:</w:t>
      </w:r>
      <w:r>
        <w:t xml:space="preserve"> </w:t>
      </w:r>
      <w:r>
        <w:t xml:space="preserve">2026-08-20</w:t>
      </w:r>
    </w:p>
    <w:bookmarkStart w:id="20" w:name="en-qué-consiste-esta-carrera"/>
    <w:p>
      <w:pPr>
        <w:pStyle w:val="Heading2"/>
      </w:pPr>
      <w:r>
        <w:t xml:space="preserve">En qué consiste esta carrera</w:t>
      </w:r>
    </w:p>
    <w:p>
      <w:pPr>
        <w:pStyle w:val="FirstParagraph"/>
      </w:pPr>
      <w:r>
        <w:t xml:space="preserve">Una persona en formación gerencial de servicios de alimentos o un/a supervisor/a de restaurante ayuda a que un restaurante, café, cafetería, punto de alimentos de un hotel, operación de catering u otro negocio similar de alimentos y bebidas funcione de manera segura y consistente. Según el empleador, el puesto puede coordinar un turno, asignar tareas, orientar al personal, vigilar la calidad del servicio, apoyar el inventario y los pedidos, resolver problemas rutinarios de clientes, verificar tareas de saneamiento, ayudar con los horarios y reportar problemas operativos a un gerente.</w:t>
      </w:r>
    </w:p>
    <w:p>
      <w:pPr>
        <w:pStyle w:val="BodyText"/>
      </w:pPr>
      <w:r>
        <w:t xml:space="preserve">El título no está estandarizado. Un/a</w:t>
      </w:r>
      <w:r>
        <w:t xml:space="preserve"> </w:t>
      </w:r>
      <w:r>
        <w:rPr>
          <w:bCs/>
          <w:b/>
        </w:rPr>
        <w:t xml:space="preserve">supervisor/a de restaurante</w:t>
      </w:r>
      <w:r>
        <w:t xml:space="preserve"> </w:t>
      </w:r>
      <w:r>
        <w:t xml:space="preserve">puede dirigir un turno sin tener autoridad completa sobre contratación, nómina, compras, precios, contratos o disciplina. Una</w:t>
      </w:r>
      <w:r>
        <w:t xml:space="preserve"> </w:t>
      </w:r>
      <w:r>
        <w:rPr>
          <w:bCs/>
          <w:b/>
        </w:rPr>
        <w:t xml:space="preserve">persona en formación gerencial</w:t>
      </w:r>
      <w:r>
        <w:t xml:space="preserve"> </w:t>
      </w:r>
      <w:r>
        <w:t xml:space="preserve">puede rotar por cocina, servicio, inventario, programación de turnos, atención al cliente y funciones administrativas mientras aprende cómo opera el negocio. Un/a</w:t>
      </w:r>
      <w:r>
        <w:t xml:space="preserve"> </w:t>
      </w:r>
      <w:r>
        <w:rPr>
          <w:bCs/>
          <w:b/>
        </w:rPr>
        <w:t xml:space="preserve">Food Service Manager</w:t>
      </w:r>
      <w:r>
        <w:t xml:space="preserve"> </w:t>
      </w:r>
      <w:r>
        <w:t xml:space="preserve">plenamente responsable suele tener una responsabilidad más amplia sobre dotación de personal, presupuestos, cumplimiento, seguridad, registros financieros y desempeño general.</w:t>
      </w:r>
    </w:p>
    <w:p>
      <w:pPr>
        <w:pStyle w:val="BodyText"/>
      </w:pPr>
      <w:r>
        <w:t xml:space="preserve">Por eso, esta guía utiliza</w:t>
      </w:r>
      <w:r>
        <w:t xml:space="preserve"> </w:t>
      </w:r>
      <w:r>
        <w:rPr>
          <w:bCs/>
          <w:b/>
        </w:rPr>
        <w:t xml:space="preserve">O*NET-SOC 11-9051.00 — Food Service Managers</w:t>
      </w:r>
      <w:r>
        <w:t xml:space="preserve"> </w:t>
      </w:r>
      <w:r>
        <w:t xml:space="preserve">como referencia ocupacional principal de Estados Unidos, dejando clara la diferencia entre las funciones de aprendiz/supervisión y la autoridad plena de gestión.</w:t>
      </w:r>
    </w:p>
    <w:bookmarkEnd w:id="20"/>
    <w:bookmarkStart w:id="21" w:name="X3a3cab30941c2ad5eeb9511d280b51b45a20256"/>
    <w:p>
      <w:pPr>
        <w:pStyle w:val="Heading2"/>
      </w:pPr>
      <w:r>
        <w:t xml:space="preserve">Por qué este puesto puede representar una oportunidad</w:t>
      </w:r>
    </w:p>
    <w:p>
      <w:pPr>
        <w:pStyle w:val="FirstParagraph"/>
      </w:pPr>
      <w:r>
        <w:t xml:space="preserve">El servicio de alimentos es uno de los sectores donde todavía es posible avanzar desde puestos de primera línea hacia supervisión y gerencia mediante una combinación de confiabilidad, servicio al cliente, disciplina en inocuidad de alimentos, liderazgo y habilidades empresariales prácticas. Muchas personas que llegan a ser gerentes comienzan como meseros/as, cocineros/as, cajeros/as, anfitriones/as, trabajadores/as de preparación de alimentos o líderes de turno y avanzan después de demostrar competencia.</w:t>
      </w:r>
    </w:p>
    <w:p>
      <w:pPr>
        <w:pStyle w:val="BodyText"/>
      </w:pPr>
      <w:r>
        <w:t xml:space="preserve">El campo puede ser adecuado para quienes prefieren trabajo activo, interacción frecuente, resultados visibles, resolución de problemas y liderazgo de equipos en tiempo real. También puede aportar experiencia transferible en programación de turnos, inventario, control de calidad, capacitación, servicio al cliente, control de costos, seguridad laboral y liderazgo operativo.</w:t>
      </w:r>
    </w:p>
    <w:p>
      <w:pPr>
        <w:pStyle w:val="BodyText"/>
      </w:pPr>
      <w:r>
        <w:t xml:space="preserve">No es una ocupación fácil. El trabajo en restaurantes puede implicar largos periodos de pie y caminando, áreas calientes o congestionadas, resbalones y cortaduras, clientes insatisfechos, presión de tiempo, madrugadas, noches, fines de semana, días festivos y cambios de horario con poca anticipación.</w:t>
      </w:r>
    </w:p>
    <w:bookmarkEnd w:id="21"/>
    <w:bookmarkStart w:id="22" w:name="responsabilidades-típicas"/>
    <w:p>
      <w:pPr>
        <w:pStyle w:val="Heading2"/>
      </w:pPr>
      <w:r>
        <w:t xml:space="preserve">Responsabilidades típicas</w:t>
      </w:r>
    </w:p>
    <w:p>
      <w:pPr>
        <w:pStyle w:val="FirstParagraph"/>
      </w:pPr>
      <w:r>
        <w:t xml:space="preserve">A una persona en formación o a un/a supervisor/a se le puede pedir que:</w:t>
      </w:r>
    </w:p>
    <w:p>
      <w:pPr>
        <w:numPr>
          <w:ilvl w:val="0"/>
          <w:numId w:val="1001"/>
        </w:numPr>
        <w:pStyle w:val="Compact"/>
      </w:pPr>
      <w:r>
        <w:t xml:space="preserve">abra o cierre un turno de acuerdo con los procedimientos del empleador;</w:t>
      </w:r>
    </w:p>
    <w:p>
      <w:pPr>
        <w:numPr>
          <w:ilvl w:val="0"/>
          <w:numId w:val="1001"/>
        </w:numPr>
        <w:pStyle w:val="Compact"/>
      </w:pPr>
      <w:r>
        <w:t xml:space="preserve">confirme la dotación de personal y asigne estaciones o tareas;</w:t>
      </w:r>
    </w:p>
    <w:p>
      <w:pPr>
        <w:numPr>
          <w:ilvl w:val="0"/>
          <w:numId w:val="1001"/>
        </w:numPr>
        <w:pStyle w:val="Compact"/>
      </w:pPr>
      <w:r>
        <w:t xml:space="preserve">supervise el ritmo del servicio y la experiencia del cliente;</w:t>
      </w:r>
    </w:p>
    <w:p>
      <w:pPr>
        <w:numPr>
          <w:ilvl w:val="0"/>
          <w:numId w:val="1001"/>
        </w:numPr>
        <w:pStyle w:val="Compact"/>
      </w:pPr>
      <w:r>
        <w:t xml:space="preserve">apoye la orientación de personal nuevo y la enseñanza de tareas;</w:t>
      </w:r>
    </w:p>
    <w:p>
      <w:pPr>
        <w:numPr>
          <w:ilvl w:val="0"/>
          <w:numId w:val="1001"/>
        </w:numPr>
        <w:pStyle w:val="Compact"/>
      </w:pPr>
      <w:r>
        <w:t xml:space="preserve">verifique rutinas de limpieza, saneamiento, temperatura y manipulación de alimentos;</w:t>
      </w:r>
    </w:p>
    <w:p>
      <w:pPr>
        <w:numPr>
          <w:ilvl w:val="0"/>
          <w:numId w:val="1001"/>
        </w:numPr>
        <w:pStyle w:val="Compact"/>
      </w:pPr>
      <w:r>
        <w:t xml:space="preserve">revise niveles de inventario y reporte faltantes;</w:t>
      </w:r>
    </w:p>
    <w:p>
      <w:pPr>
        <w:numPr>
          <w:ilvl w:val="0"/>
          <w:numId w:val="1001"/>
        </w:numPr>
        <w:pStyle w:val="Compact"/>
      </w:pPr>
      <w:r>
        <w:t xml:space="preserve">reciba entregas dentro de la autoridad delegada y verifique cantidad o condición;</w:t>
      </w:r>
    </w:p>
    <w:p>
      <w:pPr>
        <w:numPr>
          <w:ilvl w:val="0"/>
          <w:numId w:val="1001"/>
        </w:numPr>
        <w:pStyle w:val="Compact"/>
      </w:pPr>
      <w:r>
        <w:t xml:space="preserve">coordine la comunicación entre cocina y personal de atención al público;</w:t>
      </w:r>
    </w:p>
    <w:p>
      <w:pPr>
        <w:numPr>
          <w:ilvl w:val="0"/>
          <w:numId w:val="1001"/>
        </w:numPr>
        <w:pStyle w:val="Compact"/>
      </w:pPr>
      <w:r>
        <w:t xml:space="preserve">gestione inquietudes rutinarias de clientes y escale quejas de mayor riesgo;</w:t>
      </w:r>
    </w:p>
    <w:p>
      <w:pPr>
        <w:numPr>
          <w:ilvl w:val="0"/>
          <w:numId w:val="1001"/>
        </w:numPr>
        <w:pStyle w:val="Compact"/>
      </w:pPr>
      <w:r>
        <w:t xml:space="preserve">apoye procedimientos de control de efectivo y punto de venta cuando esté autorizado/a;</w:t>
      </w:r>
    </w:p>
    <w:p>
      <w:pPr>
        <w:numPr>
          <w:ilvl w:val="0"/>
          <w:numId w:val="1001"/>
        </w:numPr>
        <w:pStyle w:val="Compact"/>
      </w:pPr>
      <w:r>
        <w:t xml:space="preserve">documente incidentes, faltantes, necesidades de mantenimiento o problemas de servicio;</w:t>
      </w:r>
    </w:p>
    <w:p>
      <w:pPr>
        <w:numPr>
          <w:ilvl w:val="0"/>
          <w:numId w:val="1001"/>
        </w:numPr>
        <w:pStyle w:val="Compact"/>
      </w:pPr>
      <w:r>
        <w:t xml:space="preserve">apoye cambios de horario y seguimiento de asistencia;</w:t>
      </w:r>
    </w:p>
    <w:p>
      <w:pPr>
        <w:numPr>
          <w:ilvl w:val="0"/>
          <w:numId w:val="1001"/>
        </w:numPr>
        <w:pStyle w:val="Compact"/>
      </w:pPr>
      <w:r>
        <w:t xml:space="preserve">supervise el cumplimiento de políticas del empleador sobre servicio de alcohol cuando corresponda;</w:t>
      </w:r>
    </w:p>
    <w:p>
      <w:pPr>
        <w:numPr>
          <w:ilvl w:val="0"/>
          <w:numId w:val="1001"/>
        </w:numPr>
        <w:pStyle w:val="Compact"/>
      </w:pPr>
      <w:r>
        <w:t xml:space="preserve">ayude a mantener un lugar de trabajo seguro, accesible y respetuoso.</w:t>
      </w:r>
    </w:p>
    <w:p>
      <w:pPr>
        <w:pStyle w:val="FirstParagraph"/>
      </w:pPr>
      <w:r>
        <w:t xml:space="preserve">Un/a gerente de servicios de alimentos plenamente responsable también puede gestionar dotación de personal, contratación, desempeño, presupuestos, registros de nómina, compras, relaciones con proveedores, registros regulatorios, servicios de instalaciones, precios y decisiones financieras más amplias.</w:t>
      </w:r>
    </w:p>
    <w:bookmarkEnd w:id="22"/>
    <w:bookmarkStart w:id="23" w:name="límites-de-autoridad"/>
    <w:p>
      <w:pPr>
        <w:pStyle w:val="Heading2"/>
      </w:pPr>
      <w:r>
        <w:t xml:space="preserve">Límites de autoridad</w:t>
      </w:r>
    </w:p>
    <w:p>
      <w:pPr>
        <w:pStyle w:val="FirstParagraph"/>
      </w:pPr>
      <w:r>
        <w:t xml:space="preserve">No supongas que un título de aprendiz o supervisor/a otorga autoridad para:</w:t>
      </w:r>
    </w:p>
    <w:p>
      <w:pPr>
        <w:numPr>
          <w:ilvl w:val="0"/>
          <w:numId w:val="1002"/>
        </w:numPr>
        <w:pStyle w:val="Compact"/>
      </w:pPr>
      <w:r>
        <w:t xml:space="preserve">contratar, despedir, suspender o disciplinar formalmente a empleados;</w:t>
      </w:r>
    </w:p>
    <w:p>
      <w:pPr>
        <w:numPr>
          <w:ilvl w:val="0"/>
          <w:numId w:val="1002"/>
        </w:numPr>
        <w:pStyle w:val="Compact"/>
      </w:pPr>
      <w:r>
        <w:t xml:space="preserve">modificar salarios, registros de nómina o registros de tiempo fuera de los procedimientos aprobados;</w:t>
      </w:r>
    </w:p>
    <w:p>
      <w:pPr>
        <w:numPr>
          <w:ilvl w:val="0"/>
          <w:numId w:val="1002"/>
        </w:numPr>
        <w:pStyle w:val="Compact"/>
      </w:pPr>
      <w:r>
        <w:t xml:space="preserve">firmar contratos con proveedores, arrendamientos, catering o servicios;</w:t>
      </w:r>
    </w:p>
    <w:p>
      <w:pPr>
        <w:numPr>
          <w:ilvl w:val="0"/>
          <w:numId w:val="1002"/>
        </w:numPr>
        <w:pStyle w:val="Compact"/>
      </w:pPr>
      <w:r>
        <w:t xml:space="preserve">aprobar compras importantes o gastos de capital;</w:t>
      </w:r>
    </w:p>
    <w:p>
      <w:pPr>
        <w:numPr>
          <w:ilvl w:val="0"/>
          <w:numId w:val="1002"/>
        </w:numPr>
        <w:pStyle w:val="Compact"/>
      </w:pPr>
      <w:r>
        <w:t xml:space="preserve">cambiar precios del menú, impuestos, descuentos o reglas de reembolso;</w:t>
      </w:r>
    </w:p>
    <w:p>
      <w:pPr>
        <w:numPr>
          <w:ilvl w:val="0"/>
          <w:numId w:val="1002"/>
        </w:numPr>
        <w:pStyle w:val="Compact"/>
      </w:pPr>
      <w:r>
        <w:t xml:space="preserve">anular requisitos de inocuidad de alimentos para acelerar el servicio;</w:t>
      </w:r>
    </w:p>
    <w:p>
      <w:pPr>
        <w:numPr>
          <w:ilvl w:val="0"/>
          <w:numId w:val="1002"/>
        </w:numPr>
        <w:pStyle w:val="Compact"/>
      </w:pPr>
      <w:r>
        <w:t xml:space="preserve">autorizar servicio de alcohol en contra de la ley o la política de la empresa;</w:t>
      </w:r>
    </w:p>
    <w:p>
      <w:pPr>
        <w:numPr>
          <w:ilvl w:val="0"/>
          <w:numId w:val="1002"/>
        </w:numPr>
        <w:pStyle w:val="Compact"/>
      </w:pPr>
      <w:r>
        <w:t xml:space="preserve">acceder sin restricciones a información de recursos humanos, nómina, tarjetas de pago o clientes;</w:t>
      </w:r>
    </w:p>
    <w:p>
      <w:pPr>
        <w:numPr>
          <w:ilvl w:val="0"/>
          <w:numId w:val="1002"/>
        </w:numPr>
        <w:pStyle w:val="Compact"/>
      </w:pPr>
      <w:r>
        <w:t xml:space="preserve">representar a la empresa ante autoridades regulatorias salvo designación formal;</w:t>
      </w:r>
    </w:p>
    <w:p>
      <w:pPr>
        <w:numPr>
          <w:ilvl w:val="0"/>
          <w:numId w:val="1002"/>
        </w:numPr>
        <w:pStyle w:val="Compact"/>
      </w:pPr>
      <w:r>
        <w:t xml:space="preserve">ocultar lesiones, incidentes de inocuidad de alimentos, reportes de acoso, robos u otros hechos que deban informarse.</w:t>
      </w:r>
    </w:p>
    <w:p>
      <w:pPr>
        <w:pStyle w:val="FirstParagraph"/>
      </w:pPr>
      <w:r>
        <w:t xml:space="preserve">Cuando la autoridad no esté clara, escala el asunto al gerente designado.</w:t>
      </w:r>
    </w:p>
    <w:bookmarkEnd w:id="23"/>
    <w:bookmarkStart w:id="24" w:name="entorno-de-trabajo"/>
    <w:p>
      <w:pPr>
        <w:pStyle w:val="Heading2"/>
      </w:pPr>
      <w:r>
        <w:t xml:space="preserve">Entorno de trabajo</w:t>
      </w:r>
    </w:p>
    <w:p>
      <w:pPr>
        <w:pStyle w:val="FirstParagraph"/>
      </w:pPr>
      <w:r>
        <w:t xml:space="preserve">Los gerentes y supervisores de servicios de alimentos trabajan en restaurantes, hoteles, cafeterías, escuelas, cocinas institucionales, empresas de catering y otros establecimientos que preparan o sirven alimentos y bebidas. Los horarios suelen incluir noches, fines de semana y días festivos. Algunos gerentes con responsabilidad completa trabajan más de 40 horas por semana.</w:t>
      </w:r>
    </w:p>
    <w:p>
      <w:pPr>
        <w:pStyle w:val="BodyText"/>
      </w:pPr>
      <w:r>
        <w:t xml:space="preserve">Entre los riesgos comunes se encuentran superficies calientes, herramientas afiladas, pisos resbalosos, levantamiento de cargas, movimientos repetitivos, áreas congestionadas, prisa y conflictos con clientes o compañeros de trabajo. El calzado antideslizante, el equipo de protección apropiado, el levantamiento seguro, la respuesta a derrames, la seguridad con cuchillos, la prevención de quemaduras y el cumplimiento de procedimientos de emergencia forman parte práctica del trabajo.</w:t>
      </w:r>
    </w:p>
    <w:bookmarkEnd w:id="24"/>
    <w:bookmarkStart w:id="29" w:name="habilidades-que-valoran-los-empleadores"/>
    <w:p>
      <w:pPr>
        <w:pStyle w:val="Heading2"/>
      </w:pPr>
      <w:r>
        <w:t xml:space="preserve">Habilidades que valoran los empleadores</w:t>
      </w:r>
    </w:p>
    <w:bookmarkStart w:id="25" w:name="Xa0e7342ea5411830cd0d1c21f70b9466b79f090"/>
    <w:p>
      <w:pPr>
        <w:pStyle w:val="Heading3"/>
      </w:pPr>
      <w:r>
        <w:t xml:space="preserve">Habilidades de trato con personas y servicio</w:t>
      </w:r>
    </w:p>
    <w:p>
      <w:pPr>
        <w:numPr>
          <w:ilvl w:val="0"/>
          <w:numId w:val="1003"/>
        </w:numPr>
        <w:pStyle w:val="Compact"/>
      </w:pPr>
      <w:r>
        <w:t xml:space="preserve">comunicación verbal clara;</w:t>
      </w:r>
    </w:p>
    <w:p>
      <w:pPr>
        <w:numPr>
          <w:ilvl w:val="0"/>
          <w:numId w:val="1003"/>
        </w:numPr>
        <w:pStyle w:val="Compact"/>
      </w:pPr>
      <w:r>
        <w:t xml:space="preserve">criterio de servicio al cliente;</w:t>
      </w:r>
    </w:p>
    <w:p>
      <w:pPr>
        <w:numPr>
          <w:ilvl w:val="0"/>
          <w:numId w:val="1003"/>
        </w:numPr>
        <w:pStyle w:val="Compact"/>
      </w:pPr>
      <w:r>
        <w:t xml:space="preserve">desescalamiento de conflictos;</w:t>
      </w:r>
    </w:p>
    <w:p>
      <w:pPr>
        <w:numPr>
          <w:ilvl w:val="0"/>
          <w:numId w:val="1003"/>
        </w:numPr>
        <w:pStyle w:val="Compact"/>
      </w:pPr>
      <w:r>
        <w:t xml:space="preserve">orientación e instrucción;</w:t>
      </w:r>
    </w:p>
    <w:p>
      <w:pPr>
        <w:numPr>
          <w:ilvl w:val="0"/>
          <w:numId w:val="1003"/>
        </w:numPr>
        <w:pStyle w:val="Compact"/>
      </w:pPr>
      <w:r>
        <w:t xml:space="preserve">trabajo en equipo y coordinación de turnos;</w:t>
      </w:r>
    </w:p>
    <w:p>
      <w:pPr>
        <w:numPr>
          <w:ilvl w:val="0"/>
          <w:numId w:val="1003"/>
        </w:numPr>
        <w:pStyle w:val="Compact"/>
      </w:pPr>
      <w:r>
        <w:t xml:space="preserve">retroalimentación respetuosa;</w:t>
      </w:r>
    </w:p>
    <w:p>
      <w:pPr>
        <w:numPr>
          <w:ilvl w:val="0"/>
          <w:numId w:val="1003"/>
        </w:numPr>
        <w:pStyle w:val="Compact"/>
      </w:pPr>
      <w:r>
        <w:t xml:space="preserve">comunicación con sensibilidad cultural.</w:t>
      </w:r>
    </w:p>
    <w:bookmarkEnd w:id="25"/>
    <w:bookmarkStart w:id="26" w:name="habilidades-operativas"/>
    <w:p>
      <w:pPr>
        <w:pStyle w:val="Heading3"/>
      </w:pPr>
      <w:r>
        <w:t xml:space="preserve">Habilidades operativas</w:t>
      </w:r>
    </w:p>
    <w:p>
      <w:pPr>
        <w:numPr>
          <w:ilvl w:val="0"/>
          <w:numId w:val="1004"/>
        </w:numPr>
        <w:pStyle w:val="Compact"/>
      </w:pPr>
      <w:r>
        <w:t xml:space="preserve">conocimiento de programación de turnos y dotación de personal;</w:t>
      </w:r>
    </w:p>
    <w:p>
      <w:pPr>
        <w:numPr>
          <w:ilvl w:val="0"/>
          <w:numId w:val="1004"/>
        </w:numPr>
        <w:pStyle w:val="Compact"/>
      </w:pPr>
      <w:r>
        <w:t xml:space="preserve">control de inventario;</w:t>
      </w:r>
    </w:p>
    <w:p>
      <w:pPr>
        <w:numPr>
          <w:ilvl w:val="0"/>
          <w:numId w:val="1004"/>
        </w:numPr>
        <w:pStyle w:val="Compact"/>
      </w:pPr>
      <w:r>
        <w:t xml:space="preserve">recepción y rotación de existencias;</w:t>
      </w:r>
    </w:p>
    <w:p>
      <w:pPr>
        <w:numPr>
          <w:ilvl w:val="0"/>
          <w:numId w:val="1004"/>
        </w:numPr>
        <w:pStyle w:val="Compact"/>
      </w:pPr>
      <w:r>
        <w:t xml:space="preserve">procedimientos de punto de venta;</w:t>
      </w:r>
    </w:p>
    <w:p>
      <w:pPr>
        <w:numPr>
          <w:ilvl w:val="0"/>
          <w:numId w:val="1004"/>
        </w:numPr>
        <w:pStyle w:val="Compact"/>
      </w:pPr>
      <w:r>
        <w:t xml:space="preserve">disciplina de control de efectivo;</w:t>
      </w:r>
    </w:p>
    <w:p>
      <w:pPr>
        <w:numPr>
          <w:ilvl w:val="0"/>
          <w:numId w:val="1004"/>
        </w:numPr>
        <w:pStyle w:val="Compact"/>
      </w:pPr>
      <w:r>
        <w:t xml:space="preserve">verificación de saneamiento;</w:t>
      </w:r>
    </w:p>
    <w:p>
      <w:pPr>
        <w:numPr>
          <w:ilvl w:val="0"/>
          <w:numId w:val="1004"/>
        </w:numPr>
        <w:pStyle w:val="Compact"/>
      </w:pPr>
      <w:r>
        <w:t xml:space="preserve">observación de calidad de alimentos;</w:t>
      </w:r>
    </w:p>
    <w:p>
      <w:pPr>
        <w:numPr>
          <w:ilvl w:val="0"/>
          <w:numId w:val="1004"/>
        </w:numPr>
        <w:pStyle w:val="Compact"/>
      </w:pPr>
      <w:r>
        <w:t xml:space="preserve">manejo de quejas;</w:t>
      </w:r>
    </w:p>
    <w:p>
      <w:pPr>
        <w:numPr>
          <w:ilvl w:val="0"/>
          <w:numId w:val="1004"/>
        </w:numPr>
        <w:pStyle w:val="Compact"/>
      </w:pPr>
      <w:r>
        <w:t xml:space="preserve">escalamiento de mantenimiento;</w:t>
      </w:r>
    </w:p>
    <w:p>
      <w:pPr>
        <w:numPr>
          <w:ilvl w:val="0"/>
          <w:numId w:val="1004"/>
        </w:numPr>
        <w:pStyle w:val="Compact"/>
      </w:pPr>
      <w:r>
        <w:t xml:space="preserve">listas de verificación de apertura y cierre.</w:t>
      </w:r>
    </w:p>
    <w:bookmarkEnd w:id="26"/>
    <w:bookmarkStart w:id="27" w:name="habilidades-empresariales"/>
    <w:p>
      <w:pPr>
        <w:pStyle w:val="Heading3"/>
      </w:pPr>
      <w:r>
        <w:t xml:space="preserve">Habilidades empresariales</w:t>
      </w:r>
    </w:p>
    <w:p>
      <w:pPr>
        <w:numPr>
          <w:ilvl w:val="0"/>
          <w:numId w:val="1005"/>
        </w:numPr>
        <w:pStyle w:val="Compact"/>
      </w:pPr>
      <w:r>
        <w:t xml:space="preserve">nociones básicas de presupuesto y costos;</w:t>
      </w:r>
    </w:p>
    <w:p>
      <w:pPr>
        <w:numPr>
          <w:ilvl w:val="0"/>
          <w:numId w:val="1005"/>
        </w:numPr>
        <w:pStyle w:val="Compact"/>
      </w:pPr>
      <w:r>
        <w:t xml:space="preserve">conocimiento de costos laborales;</w:t>
      </w:r>
    </w:p>
    <w:p>
      <w:pPr>
        <w:numPr>
          <w:ilvl w:val="0"/>
          <w:numId w:val="1005"/>
        </w:numPr>
        <w:pStyle w:val="Compact"/>
      </w:pPr>
      <w:r>
        <w:t xml:space="preserve">seguimiento de ventas y productividad;</w:t>
      </w:r>
    </w:p>
    <w:p>
      <w:pPr>
        <w:numPr>
          <w:ilvl w:val="0"/>
          <w:numId w:val="1005"/>
        </w:numPr>
        <w:pStyle w:val="Compact"/>
      </w:pPr>
      <w:r>
        <w:t xml:space="preserve">mantenimiento de registros;</w:t>
      </w:r>
    </w:p>
    <w:p>
      <w:pPr>
        <w:numPr>
          <w:ilvl w:val="0"/>
          <w:numId w:val="1005"/>
        </w:numPr>
        <w:pStyle w:val="Compact"/>
      </w:pPr>
      <w:r>
        <w:t xml:space="preserve">fundamentos de hojas de cálculo;</w:t>
      </w:r>
    </w:p>
    <w:p>
      <w:pPr>
        <w:numPr>
          <w:ilvl w:val="0"/>
          <w:numId w:val="1005"/>
        </w:numPr>
        <w:pStyle w:val="Compact"/>
      </w:pPr>
      <w:r>
        <w:t xml:space="preserve">conocimiento de procesos de compra y proveedores;</w:t>
      </w:r>
    </w:p>
    <w:p>
      <w:pPr>
        <w:numPr>
          <w:ilvl w:val="0"/>
          <w:numId w:val="1005"/>
        </w:numPr>
        <w:pStyle w:val="Compact"/>
      </w:pPr>
      <w:r>
        <w:t xml:space="preserve">métricas sencillas de desempeño.</w:t>
      </w:r>
    </w:p>
    <w:bookmarkEnd w:id="27"/>
    <w:bookmarkStart w:id="28" w:name="hábitos-de-liderazgo"/>
    <w:p>
      <w:pPr>
        <w:pStyle w:val="Heading3"/>
      </w:pPr>
      <w:r>
        <w:t xml:space="preserve">Hábitos de liderazgo</w:t>
      </w:r>
    </w:p>
    <w:p>
      <w:pPr>
        <w:pStyle w:val="FirstParagraph"/>
      </w:pPr>
      <w:r>
        <w:t xml:space="preserve">Los supervisores sólidos son confiables, mantienen la calma bajo presión, actúan con justicia y consistencia, priorizan la seguridad, ayudan durante periodos de alta demanda y saben distinguir entre problemas urgentes y asuntos que pueden esperar.</w:t>
      </w:r>
    </w:p>
    <w:bookmarkEnd w:id="28"/>
    <w:bookmarkEnd w:id="29"/>
    <w:bookmarkStart w:id="30" w:name="Xb4972cc4f5477c5c173c4f9b150ed42f568bb2c"/>
    <w:p>
      <w:pPr>
        <w:pStyle w:val="Heading2"/>
      </w:pPr>
      <w:r>
        <w:t xml:space="preserve">Educación y vías de entrada — Estados Unidos</w:t>
      </w:r>
    </w:p>
    <w:p>
      <w:pPr>
        <w:pStyle w:val="FirstParagraph"/>
      </w:pPr>
      <w:r>
        <w:t xml:space="preserve">La Oficina de Estadísticas Laborales de Estados Unidos (BLS) indica que los gerentes de servicios de alimentos normalmente necesitan</w:t>
      </w:r>
      <w:r>
        <w:t xml:space="preserve"> </w:t>
      </w:r>
      <w:r>
        <w:rPr>
          <w:bCs/>
          <w:b/>
        </w:rPr>
        <w:t xml:space="preserve">diploma de escuela secundaria o equivalente</w:t>
      </w:r>
      <w:r>
        <w:t xml:space="preserve"> </w:t>
      </w:r>
      <w:r>
        <w:t xml:space="preserve">y varios años de experiencia relacionada en servicios de alimentos. Muchas personas empiezan en puestos de primera línea y avanzan hacia supervisión. Algunos empleadores prefieren educación postsecundaria en hotelería, artes culinarias, administración de restaurantes o negocios, especialmente en restaurantes de alta gama, hoteles, operaciones institucionales o programas estructurados de formación gerencial.</w:t>
      </w:r>
    </w:p>
    <w:p>
      <w:pPr>
        <w:pStyle w:val="BodyText"/>
      </w:pPr>
      <w:r>
        <w:t xml:space="preserve">BLS señala que algunas empresas de servicios de alimentos y cadenas hoteleras o de restaurantes reclutan personas en formación gerencial de programas de hotelería o administración de servicios de alimentos. Estos programas pueden combinar estudio en aula con prácticas o experiencia en la industria.</w:t>
      </w:r>
    </w:p>
    <w:p>
      <w:pPr>
        <w:pStyle w:val="BodyText"/>
      </w:pPr>
      <w:r>
        <w:t xml:space="preserve">Una progresión práctica y de bajo costo puede ser:</w:t>
      </w:r>
    </w:p>
    <w:p>
      <w:pPr>
        <w:numPr>
          <w:ilvl w:val="0"/>
          <w:numId w:val="1006"/>
        </w:numPr>
        <w:pStyle w:val="Compact"/>
      </w:pPr>
      <w:r>
        <w:t xml:space="preserve">adquirir experiencia en servicios de alimentos;</w:t>
      </w:r>
    </w:p>
    <w:p>
      <w:pPr>
        <w:numPr>
          <w:ilvl w:val="0"/>
          <w:numId w:val="1006"/>
        </w:numPr>
        <w:pStyle w:val="Compact"/>
      </w:pPr>
      <w:r>
        <w:t xml:space="preserve">aprender procedimientos de saneamiento, servicio, control de efectivo y apertura/cierre;</w:t>
      </w:r>
    </w:p>
    <w:p>
      <w:pPr>
        <w:numPr>
          <w:ilvl w:val="0"/>
          <w:numId w:val="1006"/>
        </w:numPr>
        <w:pStyle w:val="Compact"/>
      </w:pPr>
      <w:r>
        <w:t xml:space="preserve">ofrecerse para tareas de capacitación, inventario o coordinación de turnos;</w:t>
      </w:r>
    </w:p>
    <w:p>
      <w:pPr>
        <w:numPr>
          <w:ilvl w:val="0"/>
          <w:numId w:val="1006"/>
        </w:numPr>
        <w:pStyle w:val="Compact"/>
      </w:pPr>
      <w:r>
        <w:t xml:space="preserve">completar la capacitación de inocuidad de alimentos exigida por el empleador;</w:t>
      </w:r>
    </w:p>
    <w:p>
      <w:pPr>
        <w:numPr>
          <w:ilvl w:val="0"/>
          <w:numId w:val="1006"/>
        </w:numPr>
        <w:pStyle w:val="Compact"/>
      </w:pPr>
      <w:r>
        <w:t xml:space="preserve">desarrollar habilidades básicas en hojas de cálculo, programación de turnos y control de costos;</w:t>
      </w:r>
    </w:p>
    <w:p>
      <w:pPr>
        <w:numPr>
          <w:ilvl w:val="0"/>
          <w:numId w:val="1006"/>
        </w:numPr>
        <w:pStyle w:val="Compact"/>
      </w:pPr>
      <w:r>
        <w:t xml:space="preserve">postularse a puestos de líder de turno, supervisor/a, subgerente o formación gerencial;</w:t>
      </w:r>
    </w:p>
    <w:p>
      <w:pPr>
        <w:numPr>
          <w:ilvl w:val="0"/>
          <w:numId w:val="1006"/>
        </w:numPr>
        <w:pStyle w:val="Compact"/>
      </w:pPr>
      <w:r>
        <w:t xml:space="preserve">añadir educación formal solo cuando mejore el acceso a un empleador o puesto objetivo.</w:t>
      </w:r>
    </w:p>
    <w:bookmarkEnd w:id="30"/>
    <w:bookmarkStart w:id="31" w:name="Xd94ca6192e4ae7cb6eef7bd6dd5a42938d3377a"/>
    <w:p>
      <w:pPr>
        <w:pStyle w:val="Heading2"/>
      </w:pPr>
      <w:r>
        <w:t xml:space="preserve">Certificación de inocuidad de alimentos y verificación de jurisdicción</w:t>
      </w:r>
    </w:p>
    <w:p>
      <w:pPr>
        <w:pStyle w:val="FirstParagraph"/>
      </w:pPr>
      <w:r>
        <w:t xml:space="preserve">La FDA publica el</w:t>
      </w:r>
      <w:r>
        <w:t xml:space="preserve"> </w:t>
      </w:r>
      <w:r>
        <w:rPr>
          <w:bCs/>
          <w:b/>
        </w:rPr>
        <w:t xml:space="preserve">Food Code 2022</w:t>
      </w:r>
      <w:r>
        <w:t xml:space="preserve">, con un suplemento de 2024, como modelo para la inocuidad en establecimientos minoristas y servicios de alimentos. No es una única ley nacional aplicable a todos los restaurantes. Autoridades estatales, locales, tribales, territoriales y otras deciden cómo adoptar y aplicar sus disposiciones.</w:t>
      </w:r>
    </w:p>
    <w:p>
      <w:pPr>
        <w:pStyle w:val="BodyText"/>
      </w:pPr>
      <w:r>
        <w:t xml:space="preserve">El Food Code modelo incluye conceptos de gerente certificado en protección de alimentos y persona a cargo, pero la adopción local y las excepciones varían. BLS también señala que algunos estados y localidades exigen que los gerentes de servicios de alimentos tengan certificación de inocuidad de alimentos.</w:t>
      </w:r>
    </w:p>
    <w:p>
      <w:pPr>
        <w:pStyle w:val="BodyText"/>
      </w:pPr>
      <w:r>
        <w:t xml:space="preserve">Antes de pagar por un curso o examen, verifica:</w:t>
      </w:r>
    </w:p>
    <w:p>
      <w:pPr>
        <w:numPr>
          <w:ilvl w:val="0"/>
          <w:numId w:val="1007"/>
        </w:numPr>
        <w:pStyle w:val="Compact"/>
      </w:pPr>
      <w:r>
        <w:t xml:space="preserve">el requisito real del estado, condado, ciudad u otra autoridad sanitaria;</w:t>
      </w:r>
    </w:p>
    <w:p>
      <w:pPr>
        <w:numPr>
          <w:ilvl w:val="0"/>
          <w:numId w:val="1007"/>
        </w:numPr>
        <w:pStyle w:val="Compact"/>
      </w:pPr>
      <w:r>
        <w:t xml:space="preserve">qué certificaciones acepta el empleador;</w:t>
      </w:r>
    </w:p>
    <w:p>
      <w:pPr>
        <w:numPr>
          <w:ilvl w:val="0"/>
          <w:numId w:val="1007"/>
        </w:numPr>
        <w:pStyle w:val="Compact"/>
      </w:pPr>
      <w:r>
        <w:t xml:space="preserve">si el empleador paga la capacitación o las tarifas de examen;</w:t>
      </w:r>
    </w:p>
    <w:p>
      <w:pPr>
        <w:numPr>
          <w:ilvl w:val="0"/>
          <w:numId w:val="1007"/>
        </w:numPr>
        <w:pStyle w:val="Compact"/>
      </w:pPr>
      <w:r>
        <w:t xml:space="preserve">los requisitos de renovación;</w:t>
      </w:r>
    </w:p>
    <w:p>
      <w:pPr>
        <w:numPr>
          <w:ilvl w:val="0"/>
          <w:numId w:val="1007"/>
        </w:numPr>
        <w:pStyle w:val="Compact"/>
      </w:pPr>
      <w:r>
        <w:t xml:space="preserve">si un/a aprendiz o supervisor/a de turno debe tener personalmente la credencial o puede trabajar bajo una persona a cargo que esté certificada.</w:t>
      </w:r>
    </w:p>
    <w:bookmarkEnd w:id="31"/>
    <w:bookmarkStart w:id="32" w:name="Xf976f55befd39313bca2b377277f8c62e1b4465"/>
    <w:p>
      <w:pPr>
        <w:pStyle w:val="Heading2"/>
      </w:pPr>
      <w:r>
        <w:t xml:space="preserve">Límite relacionado con el servicio de alcohol</w:t>
      </w:r>
    </w:p>
    <w:p>
      <w:pPr>
        <w:pStyle w:val="FirstParagraph"/>
      </w:pPr>
      <w:r>
        <w:t xml:space="preserve">Los restaurantes que sirven alcohol pueden tener requisitos separados de capacitación en servicio responsable de bebidas, edad, licencias o supervisión. Estos requisitos varían según la jurisdicción. Nunca supongas que una credencial de inocuidad de alimentos autoriza el servicio de alcohol.</w:t>
      </w:r>
    </w:p>
    <w:p>
      <w:pPr>
        <w:pStyle w:val="BodyText"/>
      </w:pPr>
      <w:r>
        <w:t xml:space="preserve">Un/a supervisor/a debe seguir los procedimientos del empleador para escalar situaciones de intoxicación, verificación de edad, negativa de servicio, disturbios e incidentes de seguridad. No improvises fuera de la capacitación y autoridad delegada.</w:t>
      </w:r>
    </w:p>
    <w:bookmarkEnd w:id="32"/>
    <w:bookmarkStart w:id="33" w:name="vía-en-canadá"/>
    <w:p>
      <w:pPr>
        <w:pStyle w:val="Heading2"/>
      </w:pPr>
      <w:r>
        <w:t xml:space="preserve">Vía en Canadá</w:t>
      </w:r>
    </w:p>
    <w:p>
      <w:pPr>
        <w:pStyle w:val="FirstParagraph"/>
      </w:pPr>
      <w:r>
        <w:t xml:space="preserve">La referencia canadiense más cercana es</w:t>
      </w:r>
      <w:r>
        <w:t xml:space="preserve"> </w:t>
      </w:r>
      <w:r>
        <w:rPr>
          <w:bCs/>
          <w:b/>
        </w:rPr>
        <w:t xml:space="preserve">NOC 60030 — Restaurant and food service managers</w:t>
      </w:r>
      <w:r>
        <w:t xml:space="preserve">. Job Bank describe a estos trabajadores como personas que planifican, organizan, dirigen, controlan y evalúan operaciones de restaurantes, bares, cafeterías y otros servicios de alimentos y bebidas.</w:t>
      </w:r>
    </w:p>
    <w:p>
      <w:pPr>
        <w:pStyle w:val="BodyText"/>
      </w:pPr>
      <w:r>
        <w:t xml:space="preserve">Job Bank indica actualmente que normalmente se requiere un programa universitario de ciclo corto u otro programa relacionado con hotelería o administración de servicios de alimentos y bebidas, varios años de experiencia en servicios de alimentos incluida experiencia supervisora, y certificación de servicio responsable de bebidas cuando se gestiona un establecimiento que sirve alcohol. Job Bank señala que la ocupación en sí no está regulada a nivel nacional.</w:t>
      </w:r>
    </w:p>
    <w:p>
      <w:pPr>
        <w:pStyle w:val="BodyText"/>
      </w:pPr>
      <w:r>
        <w:t xml:space="preserve">Como los requisitos canadienses varían por provincia, territorio, empleador y tipo de establecimiento, verifica los requisitos locales específicos de inocuidad de alimentos, servicio de alcohol, salud y seguridad ocupacional y empleo antes de inscribirte o aceptar responsabilidad.</w:t>
      </w:r>
    </w:p>
    <w:bookmarkEnd w:id="33"/>
    <w:bookmarkStart w:id="36" w:name="vía-en-colombia"/>
    <w:p>
      <w:pPr>
        <w:pStyle w:val="Heading2"/>
      </w:pPr>
      <w:r>
        <w:t xml:space="preserve">Vía en Colombia</w:t>
      </w:r>
    </w:p>
    <w:p>
      <w:pPr>
        <w:pStyle w:val="FirstParagraph"/>
      </w:pPr>
      <w:r>
        <w:t xml:space="preserve">SENA ofrece vías públicas de formación profesional que pueden desarrollar habilidades de servicio en restaurantes antes de avanzar hacia supervisión o gerencia.</w:t>
      </w:r>
    </w:p>
    <w:bookmarkStart w:id="34" w:name="servicio-de-restaurante-y-bar"/>
    <w:p>
      <w:pPr>
        <w:pStyle w:val="Heading3"/>
      </w:pPr>
      <w:r>
        <w:t xml:space="preserve">Servicio de restaurante y bar</w:t>
      </w:r>
    </w:p>
    <w:p>
      <w:pPr>
        <w:pStyle w:val="FirstParagraph"/>
      </w:pPr>
      <w:r>
        <w:t xml:space="preserve">La información actual de SENA Betowa identifica</w:t>
      </w:r>
      <w:r>
        <w:t xml:space="preserve"> </w:t>
      </w:r>
      <w:r>
        <w:rPr>
          <w:bCs/>
          <w:b/>
        </w:rPr>
        <w:t xml:space="preserve">Servicio de restaurante y bar</w:t>
      </w:r>
      <w:r>
        <w:t xml:space="preserve"> </w:t>
      </w:r>
      <w:r>
        <w:t xml:space="preserve">como programa</w:t>
      </w:r>
      <w:r>
        <w:t xml:space="preserve"> </w:t>
      </w:r>
      <w:r>
        <w:rPr>
          <w:bCs/>
          <w:b/>
        </w:rPr>
        <w:t xml:space="preserve">Técnico</w:t>
      </w:r>
      <w:r>
        <w:t xml:space="preserve"> </w:t>
      </w:r>
      <w:r>
        <w:t xml:space="preserve">de formación titulada (</w:t>
      </w:r>
      <w:r>
        <w:rPr>
          <w:rStyle w:val="VerbatimChar"/>
        </w:rPr>
        <w:t xml:space="preserve">Titulada</w:t>
      </w:r>
      <w:r>
        <w:t xml:space="preserve">) con una duración indicada de</w:t>
      </w:r>
      <w:r>
        <w:t xml:space="preserve"> </w:t>
      </w:r>
      <w:r>
        <w:rPr>
          <w:bCs/>
          <w:b/>
        </w:rPr>
        <w:t xml:space="preserve">2,208 horas</w:t>
      </w:r>
      <w:r>
        <w:t xml:space="preserve">. Las competencias incluyen manipulación de alimentos conforme a la normativa vigente, servicio de alimentos y bebidas según estándares técnicos, seguridad y salud en el trabajo, comunicación, emprendimiento/procesos empresariales, inglés en contextos sociales y laborales y una etapa práctica.</w:t>
      </w:r>
    </w:p>
    <w:p>
      <w:pPr>
        <w:pStyle w:val="BodyText"/>
      </w:pPr>
      <w:r>
        <w:t xml:space="preserve">La página actual del programa también incluye requisitos adicionales de ingreso para participar en talleres. Verifica siempre convocatorias, ubicación, requisitos previos y disponibilidad directamente en Betowa.</w:t>
      </w:r>
    </w:p>
    <w:bookmarkEnd w:id="34"/>
    <w:bookmarkStart w:id="35" w:name="X167b39daa760c9c90e9a831ad2953cd89784e67"/>
    <w:p>
      <w:pPr>
        <w:pStyle w:val="Heading3"/>
      </w:pPr>
      <w:r>
        <w:t xml:space="preserve">Emprendedor en técnicas de mesa y bar para el servicio de alimentos y bebidas</w:t>
      </w:r>
    </w:p>
    <w:p>
      <w:pPr>
        <w:pStyle w:val="FirstParagraph"/>
      </w:pPr>
      <w:r>
        <w:t xml:space="preserve">SENA Betowa también incluye este curso complementario especial de</w:t>
      </w:r>
      <w:r>
        <w:t xml:space="preserve"> </w:t>
      </w:r>
      <w:r>
        <w:rPr>
          <w:bCs/>
          <w:b/>
        </w:rPr>
        <w:t xml:space="preserve">330 horas</w:t>
      </w:r>
      <w:r>
        <w:t xml:space="preserve">. Puede ser útil para desarrollar técnicas de servicio y emprendimiento, pero completarlo no convierte por sí solo a una persona en gerente de restaurante ni garantiza empleo.</w:t>
      </w:r>
    </w:p>
    <w:p>
      <w:pPr>
        <w:pStyle w:val="BodyText"/>
      </w:pPr>
      <w:r>
        <w:t xml:space="preserve">Esta guía no presenta una cifra salarial nacional para Colombia.</w:t>
      </w:r>
    </w:p>
    <w:bookmarkEnd w:id="35"/>
    <w:bookmarkEnd w:id="36"/>
    <w:bookmarkStart w:id="37" w:name="vía-en-américa-latina"/>
    <w:p>
      <w:pPr>
        <w:pStyle w:val="Heading2"/>
      </w:pPr>
      <w:r>
        <w:t xml:space="preserve">Vía en América Latina</w:t>
      </w:r>
    </w:p>
    <w:p>
      <w:pPr>
        <w:pStyle w:val="FirstParagraph"/>
      </w:pPr>
      <w:r>
        <w:t xml:space="preserve">La educación en restaurantes y hotelería varía ampliamente en América Latina. Como puntos de partida pueden servir instituciones nacionales de formación profesional, ministerios de educación o trabajo, institutos públicos de turismo/hotelería, academias de empleadores e instituciones vinculadas con OIT/Cinterfor.</w:t>
      </w:r>
    </w:p>
    <w:p>
      <w:pPr>
        <w:pStyle w:val="BodyText"/>
      </w:pPr>
      <w:r>
        <w:t xml:space="preserve">Al comparar programas, verifica:</w:t>
      </w:r>
    </w:p>
    <w:p>
      <w:pPr>
        <w:numPr>
          <w:ilvl w:val="0"/>
          <w:numId w:val="1008"/>
        </w:numPr>
        <w:pStyle w:val="Compact"/>
      </w:pPr>
      <w:r>
        <w:t xml:space="preserve">si el proveedor tiene reconocimiento oficial donde este sea relevante;</w:t>
      </w:r>
    </w:p>
    <w:p>
      <w:pPr>
        <w:numPr>
          <w:ilvl w:val="0"/>
          <w:numId w:val="1008"/>
        </w:numPr>
        <w:pStyle w:val="Compact"/>
      </w:pPr>
      <w:r>
        <w:t xml:space="preserve">el costo total, incluidos uniformes, herramientas, exámenes, transporte y materiales;</w:t>
      </w:r>
    </w:p>
    <w:p>
      <w:pPr>
        <w:numPr>
          <w:ilvl w:val="0"/>
          <w:numId w:val="1008"/>
        </w:numPr>
        <w:pStyle w:val="Compact"/>
      </w:pPr>
      <w:r>
        <w:t xml:space="preserve">requisitos de manipulación de alimentos o documentos de salud;</w:t>
      </w:r>
    </w:p>
    <w:p>
      <w:pPr>
        <w:numPr>
          <w:ilvl w:val="0"/>
          <w:numId w:val="1008"/>
        </w:numPr>
        <w:pStyle w:val="Compact"/>
      </w:pPr>
      <w:r>
        <w:t xml:space="preserve">requisitos de pasantía o etapa práctica;</w:t>
      </w:r>
    </w:p>
    <w:p>
      <w:pPr>
        <w:numPr>
          <w:ilvl w:val="0"/>
          <w:numId w:val="1008"/>
        </w:numPr>
        <w:pStyle w:val="Compact"/>
      </w:pPr>
      <w:r>
        <w:t xml:space="preserve">compatibilidad del horario con el trabajo;</w:t>
      </w:r>
    </w:p>
    <w:p>
      <w:pPr>
        <w:numPr>
          <w:ilvl w:val="0"/>
          <w:numId w:val="1008"/>
        </w:numPr>
        <w:pStyle w:val="Compact"/>
      </w:pPr>
      <w:r>
        <w:t xml:space="preserve">si las credenciales son transferibles a otra región o empleador.</w:t>
      </w:r>
    </w:p>
    <w:bookmarkEnd w:id="37"/>
    <w:bookmarkStart w:id="40" w:name="Xe5be6b91e3da2fcaa8e13ce499f33da83237e9a"/>
    <w:p>
      <w:pPr>
        <w:pStyle w:val="Heading2"/>
      </w:pPr>
      <w:r>
        <w:t xml:space="preserve">Estrategia de capacitación con prioridad en opciones gratuitas</w:t>
      </w:r>
    </w:p>
    <w:p>
      <w:pPr>
        <w:pStyle w:val="FirstParagraph"/>
      </w:pPr>
      <w:r>
        <w:t xml:space="preserve">Antes de pagar un programa privado, utiliza opciones gratuitas o apoyadas por el empleador cuando cumplan el objetivo.</w:t>
      </w:r>
    </w:p>
    <w:bookmarkStart w:id="38" w:name="estados-unidos"/>
    <w:p>
      <w:pPr>
        <w:pStyle w:val="Heading3"/>
      </w:pPr>
      <w:r>
        <w:t xml:space="preserve">Estados Unidos</w:t>
      </w:r>
    </w:p>
    <w:p>
      <w:pPr>
        <w:pStyle w:val="FirstParagraph"/>
      </w:pPr>
      <w:r>
        <w:t xml:space="preserve">El</w:t>
      </w:r>
      <w:r>
        <w:t xml:space="preserve"> </w:t>
      </w:r>
      <w:r>
        <w:rPr>
          <w:bCs/>
          <w:b/>
        </w:rPr>
        <w:t xml:space="preserve">WIOA-Eligible Training Program Finder</w:t>
      </w:r>
      <w:r>
        <w:t xml:space="preserve"> </w:t>
      </w:r>
      <w:r>
        <w:t xml:space="preserve">de CareerOneStop puede ayudar a localizar capacitación aprobada por los estados que podría calificar para apoyo de la Workforce Innovation and Opportunity Act para participantes elegibles. Los American Job Centers locales pueden explicar elegibilidad y servicios disponibles.</w:t>
      </w:r>
    </w:p>
    <w:p>
      <w:pPr>
        <w:pStyle w:val="BodyText"/>
      </w:pPr>
      <w:r>
        <w:t xml:space="preserve">O*NET identifica</w:t>
      </w:r>
      <w:r>
        <w:t xml:space="preserve"> </w:t>
      </w:r>
      <w:r>
        <w:rPr>
          <w:bCs/>
          <w:b/>
        </w:rPr>
        <w:t xml:space="preserve">Manager, Food Service</w:t>
      </w:r>
      <w:r>
        <w:t xml:space="preserve"> </w:t>
      </w:r>
      <w:r>
        <w:t xml:space="preserve">y</w:t>
      </w:r>
      <w:r>
        <w:t xml:space="preserve"> </w:t>
      </w:r>
      <w:r>
        <w:rPr>
          <w:bCs/>
          <w:b/>
        </w:rPr>
        <w:t xml:space="preserve">Restaurant Manager</w:t>
      </w:r>
      <w:r>
        <w:t xml:space="preserve"> </w:t>
      </w:r>
      <w:r>
        <w:t xml:space="preserve">como ejemplos de títulos de Registered Apprenticeship. La disponibilidad de aprendizaje registrado no es universal; consulta Apprenticeship.gov y socios locales de fuerza laboral para conocer vacantes reales.</w:t>
      </w:r>
    </w:p>
    <w:bookmarkEnd w:id="38"/>
    <w:bookmarkStart w:id="39" w:name="desarrollo-apoyado-por-el-empleador"/>
    <w:p>
      <w:pPr>
        <w:pStyle w:val="Heading3"/>
      </w:pPr>
      <w:r>
        <w:t xml:space="preserve">Desarrollo apoyado por el empleador</w:t>
      </w:r>
    </w:p>
    <w:p>
      <w:pPr>
        <w:pStyle w:val="FirstParagraph"/>
      </w:pPr>
      <w:r>
        <w:t xml:space="preserve">Pregunta si el empleador ofrece:</w:t>
      </w:r>
    </w:p>
    <w:p>
      <w:pPr>
        <w:numPr>
          <w:ilvl w:val="0"/>
          <w:numId w:val="1009"/>
        </w:numPr>
        <w:pStyle w:val="Compact"/>
      </w:pPr>
      <w:r>
        <w:t xml:space="preserve">certificación de inocuidad de alimentos pagada;</w:t>
      </w:r>
    </w:p>
    <w:p>
      <w:pPr>
        <w:numPr>
          <w:ilvl w:val="0"/>
          <w:numId w:val="1009"/>
        </w:numPr>
        <w:pStyle w:val="Compact"/>
      </w:pPr>
      <w:r>
        <w:t xml:space="preserve">programas de formación gerencial;</w:t>
      </w:r>
    </w:p>
    <w:p>
      <w:pPr>
        <w:numPr>
          <w:ilvl w:val="0"/>
          <w:numId w:val="1009"/>
        </w:numPr>
        <w:pStyle w:val="Compact"/>
      </w:pPr>
      <w:r>
        <w:t xml:space="preserve">reembolso de matrícula;</w:t>
      </w:r>
    </w:p>
    <w:p>
      <w:pPr>
        <w:numPr>
          <w:ilvl w:val="0"/>
          <w:numId w:val="1009"/>
        </w:numPr>
        <w:pStyle w:val="Compact"/>
      </w:pPr>
      <w:r>
        <w:t xml:space="preserve">capacitación cruzada entre cocina y atención al público;</w:t>
      </w:r>
    </w:p>
    <w:p>
      <w:pPr>
        <w:numPr>
          <w:ilvl w:val="0"/>
          <w:numId w:val="1009"/>
        </w:numPr>
        <w:pStyle w:val="Compact"/>
      </w:pPr>
      <w:r>
        <w:t xml:space="preserve">talleres de liderazgo;</w:t>
      </w:r>
    </w:p>
    <w:p>
      <w:pPr>
        <w:numPr>
          <w:ilvl w:val="0"/>
          <w:numId w:val="1009"/>
        </w:numPr>
        <w:pStyle w:val="Compact"/>
      </w:pPr>
      <w:r>
        <w:t xml:space="preserve">capacitación en punto de venta o sistemas de inventario;</w:t>
      </w:r>
    </w:p>
    <w:p>
      <w:pPr>
        <w:numPr>
          <w:ilvl w:val="0"/>
          <w:numId w:val="1009"/>
        </w:numPr>
        <w:pStyle w:val="Compact"/>
      </w:pPr>
      <w:r>
        <w:t xml:space="preserve">capacitación en sistemas de programación de turnos/nómina;</w:t>
      </w:r>
    </w:p>
    <w:p>
      <w:pPr>
        <w:numPr>
          <w:ilvl w:val="0"/>
          <w:numId w:val="1009"/>
        </w:numPr>
        <w:pStyle w:val="Compact"/>
      </w:pPr>
      <w:r>
        <w:t xml:space="preserve">capacitación en servicio responsable de bebidas;</w:t>
      </w:r>
    </w:p>
    <w:p>
      <w:pPr>
        <w:numPr>
          <w:ilvl w:val="0"/>
          <w:numId w:val="1009"/>
        </w:numPr>
        <w:pStyle w:val="Compact"/>
      </w:pPr>
      <w:r>
        <w:t xml:space="preserve">mentoría por parte de un gerente general o gerente distrital.</w:t>
      </w:r>
    </w:p>
    <w:p>
      <w:pPr>
        <w:pStyle w:val="FirstParagraph"/>
      </w:pPr>
      <w:r>
        <w:t xml:space="preserve">La capacitación proporcionada por el empleador puede ser más valiosa que un curso genérico costoso cuando enseña exactamente los sistemas y estándares utilizados en el trabajo.</w:t>
      </w:r>
    </w:p>
    <w:bookmarkEnd w:id="39"/>
    <w:bookmarkEnd w:id="40"/>
    <w:bookmarkStart w:id="43" w:name="compensación--estados-unidos"/>
    <w:p>
      <w:pPr>
        <w:pStyle w:val="Heading2"/>
      </w:pPr>
      <w:r>
        <w:t xml:space="preserve">Compensación — Estados Unidos</w:t>
      </w:r>
    </w:p>
    <w:bookmarkStart w:id="41" w:name="X453da9da4f4f36e49102ecc227a5317e4cb079f"/>
    <w:p>
      <w:pPr>
        <w:pStyle w:val="Heading3"/>
      </w:pPr>
      <w:r>
        <w:t xml:space="preserve">Referencia oficial de Food Service Manager</w:t>
      </w:r>
    </w:p>
    <w:p>
      <w:pPr>
        <w:pStyle w:val="FirstParagraph"/>
      </w:pPr>
      <w:r>
        <w:t xml:space="preserve">O*NET informa actualmente datos salariales BLS de</w:t>
      </w:r>
      <w:r>
        <w:t xml:space="preserve"> </w:t>
      </w:r>
      <w:r>
        <w:rPr>
          <w:bCs/>
          <w:b/>
        </w:rPr>
        <w:t xml:space="preserve">2025</w:t>
      </w:r>
      <w:r>
        <w:t xml:space="preserve"> </w:t>
      </w:r>
      <w:r>
        <w:t xml:space="preserve">para Food Service Managers (</w:t>
      </w:r>
      <w:r>
        <w:rPr>
          <w:rStyle w:val="VerbatimChar"/>
        </w:rPr>
        <w:t xml:space="preserve">11-9051.00</w:t>
      </w:r>
      <w:r>
        <w:t xml:space="preserve">):</w:t>
      </w:r>
    </w:p>
    <w:p>
      <w:pPr>
        <w:numPr>
          <w:ilvl w:val="0"/>
          <w:numId w:val="1010"/>
        </w:numPr>
        <w:pStyle w:val="Compact"/>
      </w:pPr>
      <w:r>
        <w:t xml:space="preserve">mediana por hora:</w:t>
      </w:r>
      <w:r>
        <w:t xml:space="preserve"> </w:t>
      </w:r>
      <w:r>
        <w:rPr>
          <w:bCs/>
          <w:b/>
        </w:rPr>
        <w:t xml:space="preserve">USD $33.36</w:t>
      </w:r>
      <w:r>
        <w:t xml:space="preserve">;</w:t>
      </w:r>
    </w:p>
    <w:p>
      <w:pPr>
        <w:numPr>
          <w:ilvl w:val="0"/>
          <w:numId w:val="1010"/>
        </w:numPr>
        <w:pStyle w:val="Compact"/>
      </w:pPr>
      <w:r>
        <w:t xml:space="preserve">mediana anual:</w:t>
      </w:r>
      <w:r>
        <w:t xml:space="preserve"> </w:t>
      </w:r>
      <w:r>
        <w:rPr>
          <w:bCs/>
          <w:b/>
        </w:rPr>
        <w:t xml:space="preserve">USD $69,390</w:t>
      </w:r>
      <w:r>
        <w:t xml:space="preserve">;</w:t>
      </w:r>
    </w:p>
    <w:p>
      <w:pPr>
        <w:numPr>
          <w:ilvl w:val="0"/>
          <w:numId w:val="1010"/>
        </w:numPr>
        <w:pStyle w:val="Compact"/>
      </w:pPr>
      <w:r>
        <w:t xml:space="preserve">percentil 25 anual:</w:t>
      </w:r>
      <w:r>
        <w:t xml:space="preserve"> </w:t>
      </w:r>
      <w:r>
        <w:rPr>
          <w:bCs/>
          <w:b/>
        </w:rPr>
        <w:t xml:space="preserve">USD $56,870</w:t>
      </w:r>
      <w:r>
        <w:t xml:space="preserve">;</w:t>
      </w:r>
    </w:p>
    <w:p>
      <w:pPr>
        <w:numPr>
          <w:ilvl w:val="0"/>
          <w:numId w:val="1010"/>
        </w:numPr>
        <w:pStyle w:val="Compact"/>
      </w:pPr>
      <w:r>
        <w:t xml:space="preserve">percentil 75 anual:</w:t>
      </w:r>
      <w:r>
        <w:t xml:space="preserve"> </w:t>
      </w:r>
      <w:r>
        <w:rPr>
          <w:bCs/>
          <w:b/>
        </w:rPr>
        <w:t xml:space="preserve">USD $86,800</w:t>
      </w:r>
      <w:r>
        <w:t xml:space="preserve">.</w:t>
      </w:r>
    </w:p>
    <w:p>
      <w:pPr>
        <w:pStyle w:val="FirstParagraph"/>
      </w:pPr>
      <w:r>
        <w:t xml:space="preserve">Las proyecciones de O*NET/BLS muestran aproximadamente</w:t>
      </w:r>
      <w:r>
        <w:t xml:space="preserve"> </w:t>
      </w:r>
      <w:r>
        <w:rPr>
          <w:bCs/>
          <w:b/>
        </w:rPr>
        <w:t xml:space="preserve">352,800</w:t>
      </w:r>
      <w:r>
        <w:t xml:space="preserve"> </w:t>
      </w:r>
      <w:r>
        <w:t xml:space="preserve">trabajadores en 2024, empleo proyectado de aproximadamente</w:t>
      </w:r>
      <w:r>
        <w:t xml:space="preserve"> </w:t>
      </w:r>
      <w:r>
        <w:rPr>
          <w:bCs/>
          <w:b/>
        </w:rPr>
        <w:t xml:space="preserve">375,300</w:t>
      </w:r>
      <w:r>
        <w:t xml:space="preserve"> </w:t>
      </w:r>
      <w:r>
        <w:t xml:space="preserve">en 2034, crecimiento de</w:t>
      </w:r>
      <w:r>
        <w:t xml:space="preserve"> </w:t>
      </w:r>
      <w:r>
        <w:rPr>
          <w:bCs/>
          <w:b/>
        </w:rPr>
        <w:t xml:space="preserve">6%</w:t>
      </w:r>
      <w:r>
        <w:t xml:space="preserve"> </w:t>
      </w:r>
      <w:r>
        <w:t xml:space="preserve">entre 2024–2034 y aproximadamente</w:t>
      </w:r>
      <w:r>
        <w:t xml:space="preserve"> </w:t>
      </w:r>
      <w:r>
        <w:rPr>
          <w:bCs/>
          <w:b/>
        </w:rPr>
        <w:t xml:space="preserve">42,000 vacantes anuales</w:t>
      </w:r>
      <w:r>
        <w:t xml:space="preserve">.</w:t>
      </w:r>
    </w:p>
    <w:p>
      <w:pPr>
        <w:pStyle w:val="BodyText"/>
      </w:pPr>
      <w:r>
        <w:t xml:space="preserve">El Occupational Outlook Handbook de BLS informa por separado una</w:t>
      </w:r>
      <w:r>
        <w:t xml:space="preserve"> </w:t>
      </w:r>
      <w:r>
        <w:rPr>
          <w:bCs/>
          <w:b/>
        </w:rPr>
        <w:t xml:space="preserve">mediana de mayo de 2024 de $65,310 al año ($31.40 por hora)</w:t>
      </w:r>
      <w:r>
        <w:t xml:space="preserve">. La diferencia corresponde a periodos de referencia salarial distintos; utiliza la fecha asociada a cada fuente.</w:t>
      </w:r>
    </w:p>
    <w:bookmarkEnd w:id="41"/>
    <w:bookmarkStart w:id="42" w:name="Xb751747588c4ea9dde7ba29a56e320825f2db15"/>
    <w:p>
      <w:pPr>
        <w:pStyle w:val="Heading3"/>
      </w:pPr>
      <w:r>
        <w:t xml:space="preserve">Estimaciones no gubernamentales actuales para Restaurant Supervisor</w:t>
      </w:r>
    </w:p>
    <w:p>
      <w:pPr>
        <w:pStyle w:val="FirstParagraph"/>
      </w:pPr>
      <w:r>
        <w:t xml:space="preserve">Estas cifras describen el título más específico de</w:t>
      </w:r>
      <w:r>
        <w:t xml:space="preserve"> </w:t>
      </w:r>
      <w:r>
        <w:rPr>
          <w:bCs/>
          <w:b/>
        </w:rPr>
        <w:t xml:space="preserve">Restaurant Supervisor</w:t>
      </w:r>
      <w:r>
        <w:t xml:space="preserve"> </w:t>
      </w:r>
      <w:r>
        <w:t xml:space="preserve">y no deben tratarse como estadísticas gubernamentales:</w:t>
      </w:r>
    </w:p>
    <w:p>
      <w:pPr>
        <w:numPr>
          <w:ilvl w:val="0"/>
          <w:numId w:val="1011"/>
        </w:numPr>
        <w:pStyle w:val="Compact"/>
      </w:pPr>
      <w:r>
        <w:t xml:space="preserve">Salary.com, 1 de agosto de 2026: promedio de</w:t>
      </w:r>
      <w:r>
        <w:t xml:space="preserve"> </w:t>
      </w:r>
      <w:r>
        <w:rPr>
          <w:bCs/>
          <w:b/>
        </w:rPr>
        <w:t xml:space="preserve">$42,306 al año</w:t>
      </w:r>
      <w:r>
        <w:t xml:space="preserve">, aproximadamente</w:t>
      </w:r>
      <w:r>
        <w:t xml:space="preserve"> </w:t>
      </w:r>
      <w:r>
        <w:rPr>
          <w:bCs/>
          <w:b/>
        </w:rPr>
        <w:t xml:space="preserve">$20 por hora</w:t>
      </w:r>
      <w:r>
        <w:t xml:space="preserve">, con un rango informado de percentil 25–75 de</w:t>
      </w:r>
      <w:r>
        <w:t xml:space="preserve"> </w:t>
      </w:r>
      <w:r>
        <w:rPr>
          <w:bCs/>
          <w:b/>
        </w:rPr>
        <w:t xml:space="preserve">$37,639–$49,149</w:t>
      </w:r>
      <w:r>
        <w:t xml:space="preserve">.</w:t>
      </w:r>
    </w:p>
    <w:p>
      <w:pPr>
        <w:numPr>
          <w:ilvl w:val="0"/>
          <w:numId w:val="1011"/>
        </w:numPr>
        <w:pStyle w:val="Compact"/>
      </w:pPr>
      <w:r>
        <w:t xml:space="preserve">ZipRecruiter, 5 de agosto de 2026: promedio de</w:t>
      </w:r>
      <w:r>
        <w:t xml:space="preserve"> </w:t>
      </w:r>
      <w:r>
        <w:rPr>
          <w:bCs/>
          <w:b/>
        </w:rPr>
        <w:t xml:space="preserve">$54,962 al año</w:t>
      </w:r>
      <w:r>
        <w:t xml:space="preserve">, aproximadamente</w:t>
      </w:r>
      <w:r>
        <w:t xml:space="preserve"> </w:t>
      </w:r>
      <w:r>
        <w:rPr>
          <w:bCs/>
          <w:b/>
        </w:rPr>
        <w:t xml:space="preserve">$26.42 por hora</w:t>
      </w:r>
      <w:r>
        <w:t xml:space="preserve">, con un rango mayoritario informado de</w:t>
      </w:r>
      <w:r>
        <w:t xml:space="preserve"> </w:t>
      </w:r>
      <w:r>
        <w:rPr>
          <w:bCs/>
          <w:b/>
        </w:rPr>
        <w:t xml:space="preserve">$45,000–$63,500</w:t>
      </w:r>
      <w:r>
        <w:t xml:space="preserve">.</w:t>
      </w:r>
    </w:p>
    <w:p>
      <w:pPr>
        <w:pStyle w:val="FirstParagraph"/>
      </w:pPr>
      <w:r>
        <w:t xml:space="preserve">No promedies estas estimaciones. La remuneración varía según empleador, ciudad, horas, propinas o bonificaciones cuando correspondan, alcance de supervisión, tipo de restaurante y experiencia.</w:t>
      </w:r>
    </w:p>
    <w:bookmarkEnd w:id="42"/>
    <w:bookmarkEnd w:id="43"/>
    <w:bookmarkStart w:id="44" w:name="compensación--canadá"/>
    <w:p>
      <w:pPr>
        <w:pStyle w:val="Heading2"/>
      </w:pPr>
      <w:r>
        <w:t xml:space="preserve">Compensación — Canadá</w:t>
      </w:r>
    </w:p>
    <w:p>
      <w:pPr>
        <w:pStyle w:val="FirstParagraph"/>
      </w:pPr>
      <w:r>
        <w:t xml:space="preserve">Los datos salariales nacionales actuales de Job Bank para</w:t>
      </w:r>
      <w:r>
        <w:t xml:space="preserve"> </w:t>
      </w:r>
      <w:r>
        <w:rPr>
          <w:bCs/>
          <w:b/>
        </w:rPr>
        <w:t xml:space="preserve">NOC 60030</w:t>
      </w:r>
      <w:r>
        <w:t xml:space="preserve">, actualizados el 19 de noviembre de 2025 y basados en el periodo de referencia 2023–2024 de la Labour Force Survey, indican:</w:t>
      </w:r>
    </w:p>
    <w:p>
      <w:pPr>
        <w:numPr>
          <w:ilvl w:val="0"/>
          <w:numId w:val="1012"/>
        </w:numPr>
        <w:pStyle w:val="Compact"/>
      </w:pPr>
      <w:r>
        <w:t xml:space="preserve">bajo:</w:t>
      </w:r>
      <w:r>
        <w:t xml:space="preserve"> </w:t>
      </w:r>
      <w:r>
        <w:rPr>
          <w:bCs/>
          <w:b/>
        </w:rPr>
        <w:t xml:space="preserve">CAD $18.00 por hora</w:t>
      </w:r>
      <w:r>
        <w:t xml:space="preserve">;</w:t>
      </w:r>
    </w:p>
    <w:p>
      <w:pPr>
        <w:numPr>
          <w:ilvl w:val="0"/>
          <w:numId w:val="1012"/>
        </w:numPr>
        <w:pStyle w:val="Compact"/>
      </w:pPr>
      <w:r>
        <w:t xml:space="preserve">mediana:</w:t>
      </w:r>
      <w:r>
        <w:t xml:space="preserve"> </w:t>
      </w:r>
      <w:r>
        <w:rPr>
          <w:bCs/>
          <w:b/>
        </w:rPr>
        <w:t xml:space="preserve">CAD $26.00 por hora</w:t>
      </w:r>
      <w:r>
        <w:t xml:space="preserve">;</w:t>
      </w:r>
    </w:p>
    <w:p>
      <w:pPr>
        <w:numPr>
          <w:ilvl w:val="0"/>
          <w:numId w:val="1012"/>
        </w:numPr>
        <w:pStyle w:val="Compact"/>
      </w:pPr>
      <w:r>
        <w:t xml:space="preserve">alto:</w:t>
      </w:r>
      <w:r>
        <w:t xml:space="preserve"> </w:t>
      </w:r>
      <w:r>
        <w:rPr>
          <w:bCs/>
          <w:b/>
        </w:rPr>
        <w:t xml:space="preserve">CAD $48.08 por hora</w:t>
      </w:r>
      <w:r>
        <w:t xml:space="preserve">.</w:t>
      </w:r>
    </w:p>
    <w:p>
      <w:pPr>
        <w:pStyle w:val="FirstParagraph"/>
      </w:pPr>
      <w:r>
        <w:t xml:space="preserve">Estos son salarios de una ocupación gerencial y no deben asignarse automáticamente a cada supervisor/a de turno o persona en formación.</w:t>
      </w:r>
    </w:p>
    <w:bookmarkEnd w:id="44"/>
    <w:bookmarkStart w:id="45" w:name="Xb75736471ff860c3b6a8a60d2e9bcdbfe00f8f1"/>
    <w:p>
      <w:pPr>
        <w:pStyle w:val="Heading2"/>
      </w:pPr>
      <w:r>
        <w:t xml:space="preserve">Inocuidad de alimentos y conciencia sobre alérgenos</w:t>
      </w:r>
    </w:p>
    <w:p>
      <w:pPr>
        <w:pStyle w:val="FirstParagraph"/>
      </w:pPr>
      <w:r>
        <w:t xml:space="preserve">Los gerentes y supervisores deben tratar los procedimientos de inocuidad de alimentos como controles operativos, no como sugerencias opcionales. Sigue las normas vigentes adoptadas por la autoridad competente y los procedimientos aprobados por el empleador para:</w:t>
      </w:r>
    </w:p>
    <w:p>
      <w:pPr>
        <w:numPr>
          <w:ilvl w:val="0"/>
          <w:numId w:val="1013"/>
        </w:numPr>
        <w:pStyle w:val="Compact"/>
      </w:pPr>
      <w:r>
        <w:t xml:space="preserve">lavado de manos e higiene;</w:t>
      </w:r>
    </w:p>
    <w:p>
      <w:pPr>
        <w:numPr>
          <w:ilvl w:val="0"/>
          <w:numId w:val="1013"/>
        </w:numPr>
        <w:pStyle w:val="Compact"/>
      </w:pPr>
      <w:r>
        <w:t xml:space="preserve">reporte de enfermedades del personal;</w:t>
      </w:r>
    </w:p>
    <w:p>
      <w:pPr>
        <w:numPr>
          <w:ilvl w:val="0"/>
          <w:numId w:val="1013"/>
        </w:numPr>
        <w:pStyle w:val="Compact"/>
      </w:pPr>
      <w:r>
        <w:t xml:space="preserve">controles de tiempo y temperatura;</w:t>
      </w:r>
    </w:p>
    <w:p>
      <w:pPr>
        <w:numPr>
          <w:ilvl w:val="0"/>
          <w:numId w:val="1013"/>
        </w:numPr>
        <w:pStyle w:val="Compact"/>
      </w:pPr>
      <w:r>
        <w:t xml:space="preserve">prevención de contaminación cruzada;</w:t>
      </w:r>
    </w:p>
    <w:p>
      <w:pPr>
        <w:numPr>
          <w:ilvl w:val="0"/>
          <w:numId w:val="1013"/>
        </w:numPr>
        <w:pStyle w:val="Compact"/>
      </w:pPr>
      <w:r>
        <w:t xml:space="preserve">limpieza y desinfección;</w:t>
      </w:r>
    </w:p>
    <w:p>
      <w:pPr>
        <w:numPr>
          <w:ilvl w:val="0"/>
          <w:numId w:val="1013"/>
        </w:numPr>
        <w:pStyle w:val="Compact"/>
      </w:pPr>
      <w:r>
        <w:t xml:space="preserve">recepción y almacenamiento;</w:t>
      </w:r>
    </w:p>
    <w:p>
      <w:pPr>
        <w:numPr>
          <w:ilvl w:val="0"/>
          <w:numId w:val="1013"/>
        </w:numPr>
        <w:pStyle w:val="Compact"/>
      </w:pPr>
      <w:r>
        <w:t xml:space="preserve">comunicación sobre alérgenos;</w:t>
      </w:r>
    </w:p>
    <w:p>
      <w:pPr>
        <w:numPr>
          <w:ilvl w:val="0"/>
          <w:numId w:val="1013"/>
        </w:numPr>
        <w:pStyle w:val="Compact"/>
      </w:pPr>
      <w:r>
        <w:t xml:space="preserve">control de plagas;</w:t>
      </w:r>
    </w:p>
    <w:p>
      <w:pPr>
        <w:numPr>
          <w:ilvl w:val="0"/>
          <w:numId w:val="1013"/>
        </w:numPr>
        <w:pStyle w:val="Compact"/>
      </w:pPr>
      <w:r>
        <w:t xml:space="preserve">manejo de residuos;</w:t>
      </w:r>
    </w:p>
    <w:p>
      <w:pPr>
        <w:numPr>
          <w:ilvl w:val="0"/>
          <w:numId w:val="1013"/>
        </w:numPr>
        <w:pStyle w:val="Compact"/>
      </w:pPr>
      <w:r>
        <w:t xml:space="preserve">escalamiento de incidentes.</w:t>
      </w:r>
    </w:p>
    <w:p>
      <w:pPr>
        <w:pStyle w:val="FirstParagraph"/>
      </w:pPr>
      <w:r>
        <w:t xml:space="preserve">No diagnostiques alergias ni hagas afirmaciones médicas. Ante preguntas sobre alérgenos, utiliza información aprobada sobre ingredientes y preparación y escala la incertidumbre en lugar de adivinar.</w:t>
      </w:r>
    </w:p>
    <w:bookmarkEnd w:id="45"/>
    <w:bookmarkStart w:id="46" w:name="seguridad-de-los-trabajadores"/>
    <w:p>
      <w:pPr>
        <w:pStyle w:val="Heading2"/>
      </w:pPr>
      <w:r>
        <w:t xml:space="preserve">Seguridad de los trabajadores</w:t>
      </w:r>
    </w:p>
    <w:p>
      <w:pPr>
        <w:pStyle w:val="FirstParagraph"/>
      </w:pPr>
      <w:r>
        <w:t xml:space="preserve">Un/a supervisor/a ayuda a crear un turno seguro al corregir o escalar riesgos como derrames, equipos dañados, salidas bloqueadas, levantamiento inseguro, uso inadecuado de cuchillos, quemaduras, problemas eléctricos, acoso, violencia o alteración de capacidades.</w:t>
      </w:r>
    </w:p>
    <w:p>
      <w:pPr>
        <w:pStyle w:val="BodyText"/>
      </w:pPr>
      <w:r>
        <w:t xml:space="preserve">Nunca presiones a empleados para ocultar lesiones ni para evitar un control de seguridad con el fin de proteger la velocidad del servicio o metas de ventas.</w:t>
      </w:r>
    </w:p>
    <w:bookmarkEnd w:id="46"/>
    <w:bookmarkStart w:id="47" w:name="privacidad-e-información-de-pagos"/>
    <w:p>
      <w:pPr>
        <w:pStyle w:val="Heading2"/>
      </w:pPr>
      <w:r>
        <w:t xml:space="preserve">Privacidad e información de pagos</w:t>
      </w:r>
    </w:p>
    <w:p>
      <w:pPr>
        <w:pStyle w:val="FirstParagraph"/>
      </w:pPr>
      <w:r>
        <w:t xml:space="preserve">Los sistemas de restaurantes pueden contener información sensible de clientes, empleados, pagos, reservas, programas de lealtad y plataformas de entrega. Utiliza únicamente el acceso necesario para tu trabajo.</w:t>
      </w:r>
    </w:p>
    <w:p>
      <w:pPr>
        <w:pStyle w:val="BodyText"/>
      </w:pPr>
      <w:r>
        <w:t xml:space="preserve">Buenas prácticas incluyen:</w:t>
      </w:r>
    </w:p>
    <w:p>
      <w:pPr>
        <w:numPr>
          <w:ilvl w:val="0"/>
          <w:numId w:val="1014"/>
        </w:numPr>
        <w:pStyle w:val="Compact"/>
      </w:pPr>
      <w:r>
        <w:t xml:space="preserve">nunca compartir contraseñas ni credenciales de punto de venta;</w:t>
      </w:r>
    </w:p>
    <w:p>
      <w:pPr>
        <w:numPr>
          <w:ilvl w:val="0"/>
          <w:numId w:val="1014"/>
        </w:numPr>
        <w:pStyle w:val="Compact"/>
      </w:pPr>
      <w:r>
        <w:t xml:space="preserve">bloquear la pantalla al alejarse de un terminal;</w:t>
      </w:r>
    </w:p>
    <w:p>
      <w:pPr>
        <w:numPr>
          <w:ilvl w:val="0"/>
          <w:numId w:val="1014"/>
        </w:numPr>
        <w:pStyle w:val="Compact"/>
      </w:pPr>
      <w:r>
        <w:t xml:space="preserve">seguir los procedimientos para tarjetas de pago;</w:t>
      </w:r>
    </w:p>
    <w:p>
      <w:pPr>
        <w:numPr>
          <w:ilvl w:val="0"/>
          <w:numId w:val="1014"/>
        </w:numPr>
        <w:pStyle w:val="Compact"/>
      </w:pPr>
      <w:r>
        <w:t xml:space="preserve">evitar dispositivos personales para datos restringidos de empleados o clientes salvo autorización;</w:t>
      </w:r>
    </w:p>
    <w:p>
      <w:pPr>
        <w:numPr>
          <w:ilvl w:val="0"/>
          <w:numId w:val="1014"/>
        </w:numPr>
        <w:pStyle w:val="Compact"/>
      </w:pPr>
      <w:r>
        <w:t xml:space="preserve">utilizar canales aprobados para horarios e información de recursos humanos;</w:t>
      </w:r>
    </w:p>
    <w:p>
      <w:pPr>
        <w:numPr>
          <w:ilvl w:val="0"/>
          <w:numId w:val="1014"/>
        </w:numPr>
        <w:pStyle w:val="Compact"/>
      </w:pPr>
      <w:r>
        <w:t xml:space="preserve">limitar informes impresos y desecharlos de forma segura;</w:t>
      </w:r>
    </w:p>
    <w:p>
      <w:pPr>
        <w:numPr>
          <w:ilvl w:val="0"/>
          <w:numId w:val="1014"/>
        </w:numPr>
        <w:pStyle w:val="Compact"/>
      </w:pPr>
      <w:r>
        <w:t xml:space="preserve">escalar sospechas de fraude, phishing o compromiso de cuentas.</w:t>
      </w:r>
    </w:p>
    <w:bookmarkEnd w:id="47"/>
    <w:bookmarkStart w:id="48" w:name="ciberseguridad"/>
    <w:p>
      <w:pPr>
        <w:pStyle w:val="Heading2"/>
      </w:pPr>
      <w:r>
        <w:t xml:space="preserve">Ciberseguridad</w:t>
      </w:r>
    </w:p>
    <w:p>
      <w:pPr>
        <w:pStyle w:val="FirstParagraph"/>
      </w:pPr>
      <w:r>
        <w:t xml:space="preserve">Los restaurantes dependen cada vez más de plataformas POS en la nube, Wi-Fi, servicios de entrega, pedidos en línea, tarjetas de regalo digitales, programas de lealtad, sistemas de nómina y aplicaciones de inventario. La urgencia operativa no justifica omitir controles de ciberseguridad.</w:t>
      </w:r>
    </w:p>
    <w:p>
      <w:pPr>
        <w:pStyle w:val="BodyText"/>
      </w:pPr>
      <w:r>
        <w:t xml:space="preserve">Ten precaución con restablecimientos inesperados de contraseñas, mensajes de proveedores, solicitudes de pago, códigos QR, archivos adjuntos y solicitudes para cambiar información bancaria o de nómina. Verifica solicitudes inusuales mediante un segundo canal aprobado.</w:t>
      </w:r>
    </w:p>
    <w:bookmarkEnd w:id="48"/>
    <w:bookmarkStart w:id="49" w:name="accesibilidad-e-inclusión"/>
    <w:p>
      <w:pPr>
        <w:pStyle w:val="Heading2"/>
      </w:pPr>
      <w:r>
        <w:t xml:space="preserve">Accesibilidad e inclusión</w:t>
      </w:r>
    </w:p>
    <w:p>
      <w:pPr>
        <w:pStyle w:val="FirstParagraph"/>
      </w:pPr>
      <w:r>
        <w:t xml:space="preserve">Los supervisores deben apoyar un servicio accesible y un lugar de trabajo respetuoso. Sigue los procedimientos del empleador y la legislación aplicable respecto del acceso de clientes, adaptaciones para empleados, necesidades de comunicación, movilidad, animales de servicio y otras situaciones relacionadas con discapacidad.</w:t>
      </w:r>
    </w:p>
    <w:p>
      <w:pPr>
        <w:pStyle w:val="BodyText"/>
      </w:pPr>
      <w:r>
        <w:t xml:space="preserve">No hagas suposiciones sobre las capacidades de una persona. Cuando sea necesario, escala las preguntas sobre adaptaciones al gerente correspondiente o al proceso de recursos humanos.</w:t>
      </w:r>
    </w:p>
    <w:bookmarkEnd w:id="49"/>
    <w:bookmarkStart w:id="50" w:name="Xe01c5725d55edcaab8a5ea7ad603b01dd816969"/>
    <w:p>
      <w:pPr>
        <w:pStyle w:val="Heading2"/>
      </w:pPr>
      <w:r>
        <w:t xml:space="preserve">Uso responsable de la inteligencia artificial</w:t>
      </w:r>
    </w:p>
    <w:p>
      <w:pPr>
        <w:pStyle w:val="FirstParagraph"/>
      </w:pPr>
      <w:r>
        <w:t xml:space="preserve">Las herramientas de IA pueden ayudar a redactar esquemas de capacitación, resumir notas operativas no sensibles, generar ideas de lenguaje para atención al cliente, crear preguntas de práctica para entrevistas u organizar un plan de aprendizaje.</w:t>
      </w:r>
    </w:p>
    <w:p>
      <w:pPr>
        <w:pStyle w:val="BodyText"/>
      </w:pPr>
      <w:r>
        <w:rPr>
          <w:bCs/>
          <w:b/>
        </w:rPr>
        <w:t xml:space="preserve">No</w:t>
      </w:r>
      <w:r>
        <w:t xml:space="preserve"> </w:t>
      </w:r>
      <w:r>
        <w:t xml:space="preserve">introduzcas información de tarjetas de pago, datos de nómina, expedientes de empleados, información personal de clientes, datos de ventas no publicados, reportes de incidentes, contraseñas, recetas confidenciales, investigaciones internas u otra información empresarial restringida en un sistema público de IA sin aprobación organizacional explícita.</w:t>
      </w:r>
    </w:p>
    <w:p>
      <w:pPr>
        <w:pStyle w:val="BodyText"/>
      </w:pPr>
      <w:r>
        <w:t xml:space="preserve">La IA no debe decidir por sí sola:</w:t>
      </w:r>
    </w:p>
    <w:p>
      <w:pPr>
        <w:numPr>
          <w:ilvl w:val="0"/>
          <w:numId w:val="1015"/>
        </w:numPr>
        <w:pStyle w:val="Compact"/>
      </w:pPr>
      <w:r>
        <w:t xml:space="preserve">quién es contratado, despedido, disciplinado o promovido;</w:t>
      </w:r>
    </w:p>
    <w:p>
      <w:pPr>
        <w:numPr>
          <w:ilvl w:val="0"/>
          <w:numId w:val="1015"/>
        </w:numPr>
        <w:pStyle w:val="Compact"/>
      </w:pPr>
      <w:r>
        <w:t xml:space="preserve">si un empleado tiene una condición médica;</w:t>
      </w:r>
    </w:p>
    <w:p>
      <w:pPr>
        <w:numPr>
          <w:ilvl w:val="0"/>
          <w:numId w:val="1015"/>
        </w:numPr>
        <w:pStyle w:val="Compact"/>
      </w:pPr>
      <w:r>
        <w:t xml:space="preserve">si un cliente tiene una alergia;</w:t>
      </w:r>
    </w:p>
    <w:p>
      <w:pPr>
        <w:numPr>
          <w:ilvl w:val="0"/>
          <w:numId w:val="1015"/>
        </w:numPr>
        <w:pStyle w:val="Compact"/>
      </w:pPr>
      <w:r>
        <w:t xml:space="preserve">si un alimento es seguro para servir;</w:t>
      </w:r>
    </w:p>
    <w:p>
      <w:pPr>
        <w:numPr>
          <w:ilvl w:val="0"/>
          <w:numId w:val="1015"/>
        </w:numPr>
        <w:pStyle w:val="Compact"/>
      </w:pPr>
      <w:r>
        <w:t xml:space="preserve">si el servicio de alcohol es legal;</w:t>
      </w:r>
    </w:p>
    <w:p>
      <w:pPr>
        <w:numPr>
          <w:ilvl w:val="0"/>
          <w:numId w:val="1015"/>
        </w:numPr>
        <w:pStyle w:val="Compact"/>
      </w:pPr>
      <w:r>
        <w:t xml:space="preserve">si un incidente de seguridad puede ignorarse;</w:t>
      </w:r>
    </w:p>
    <w:p>
      <w:pPr>
        <w:numPr>
          <w:ilvl w:val="0"/>
          <w:numId w:val="1015"/>
        </w:numPr>
        <w:pStyle w:val="Compact"/>
      </w:pPr>
      <w:r>
        <w:t xml:space="preserve">si aplica un requisito legal o regulatorio.</w:t>
      </w:r>
    </w:p>
    <w:p>
      <w:pPr>
        <w:pStyle w:val="FirstParagraph"/>
      </w:pPr>
      <w:r>
        <w:t xml:space="preserve">Se requiere revisión humana para horarios, políticas, materiales de capacitación, descripciones de menú, comunicaciones con clientes y decisiones operativas asistidas por IA.</w:t>
      </w:r>
    </w:p>
    <w:bookmarkEnd w:id="50"/>
    <w:bookmarkStart w:id="57" w:name="plan-inicial-de-12-semanas"/>
    <w:p>
      <w:pPr>
        <w:pStyle w:val="Heading2"/>
      </w:pPr>
      <w:r>
        <w:t xml:space="preserve">Plan inicial de 12 semanas</w:t>
      </w:r>
    </w:p>
    <w:bookmarkStart w:id="51" w:name="semanas-12--aprende-la-operación"/>
    <w:p>
      <w:pPr>
        <w:pStyle w:val="Heading3"/>
      </w:pPr>
      <w:r>
        <w:t xml:space="preserve">Semanas 1–2 — Aprende la operación</w:t>
      </w:r>
    </w:p>
    <w:p>
      <w:pPr>
        <w:numPr>
          <w:ilvl w:val="0"/>
          <w:numId w:val="1016"/>
        </w:numPr>
        <w:pStyle w:val="Compact"/>
      </w:pPr>
      <w:r>
        <w:t xml:space="preserve">Aprende procedimientos de apertura, cierre, saneamiento y emergencia.</w:t>
      </w:r>
    </w:p>
    <w:p>
      <w:pPr>
        <w:numPr>
          <w:ilvl w:val="0"/>
          <w:numId w:val="1016"/>
        </w:numPr>
        <w:pStyle w:val="Compact"/>
      </w:pPr>
      <w:r>
        <w:t xml:space="preserve">Comprende el menú y el modelo de servicio.</w:t>
      </w:r>
    </w:p>
    <w:p>
      <w:pPr>
        <w:numPr>
          <w:ilvl w:val="0"/>
          <w:numId w:val="1016"/>
        </w:numPr>
        <w:pStyle w:val="Compact"/>
      </w:pPr>
      <w:r>
        <w:t xml:space="preserve">Aprende las líneas de reporte y los límites de autoridad.</w:t>
      </w:r>
    </w:p>
    <w:p>
      <w:pPr>
        <w:numPr>
          <w:ilvl w:val="0"/>
          <w:numId w:val="1016"/>
        </w:numPr>
        <w:pStyle w:val="Compact"/>
      </w:pPr>
      <w:r>
        <w:t xml:space="preserve">Revisa las reglas de inocuidad de alimentos y prevención de lesiones.</w:t>
      </w:r>
    </w:p>
    <w:bookmarkEnd w:id="51"/>
    <w:bookmarkStart w:id="52" w:name="X3652a1b403a9a80ea014ed9669426563ff3f7be"/>
    <w:p>
      <w:pPr>
        <w:pStyle w:val="Heading3"/>
      </w:pPr>
      <w:r>
        <w:t xml:space="preserve">Semanas 3–4 — Fortalece habilidades de sistemas</w:t>
      </w:r>
    </w:p>
    <w:p>
      <w:pPr>
        <w:numPr>
          <w:ilvl w:val="0"/>
          <w:numId w:val="1017"/>
        </w:numPr>
        <w:pStyle w:val="Compact"/>
      </w:pPr>
      <w:r>
        <w:t xml:space="preserve">Aprende el POS y el proceso aprobado de control de efectivo.</w:t>
      </w:r>
    </w:p>
    <w:p>
      <w:pPr>
        <w:numPr>
          <w:ilvl w:val="0"/>
          <w:numId w:val="1017"/>
        </w:numPr>
        <w:pStyle w:val="Compact"/>
      </w:pPr>
      <w:r>
        <w:t xml:space="preserve">Practica conteos de inventario y recepción.</w:t>
      </w:r>
    </w:p>
    <w:p>
      <w:pPr>
        <w:numPr>
          <w:ilvl w:val="0"/>
          <w:numId w:val="1017"/>
        </w:numPr>
        <w:pStyle w:val="Compact"/>
      </w:pPr>
      <w:r>
        <w:t xml:space="preserve">Aprende terminología de programación de turnos y fundamentos de horas laborales.</w:t>
      </w:r>
    </w:p>
    <w:p>
      <w:pPr>
        <w:numPr>
          <w:ilvl w:val="0"/>
          <w:numId w:val="1017"/>
        </w:numPr>
        <w:pStyle w:val="Compact"/>
      </w:pPr>
      <w:r>
        <w:t xml:space="preserve">Mejora tu manejo de hojas de cálculo.</w:t>
      </w:r>
    </w:p>
    <w:bookmarkEnd w:id="52"/>
    <w:bookmarkStart w:id="53" w:name="semanas-56--practica-liderazgo"/>
    <w:p>
      <w:pPr>
        <w:pStyle w:val="Heading3"/>
      </w:pPr>
      <w:r>
        <w:t xml:space="preserve">Semanas 5–6 — Practica liderazgo</w:t>
      </w:r>
    </w:p>
    <w:p>
      <w:pPr>
        <w:numPr>
          <w:ilvl w:val="0"/>
          <w:numId w:val="1018"/>
        </w:numPr>
        <w:pStyle w:val="Compact"/>
      </w:pPr>
      <w:r>
        <w:t xml:space="preserve">Dirige una reunión previa al turno bajo supervisión.</w:t>
      </w:r>
    </w:p>
    <w:p>
      <w:pPr>
        <w:numPr>
          <w:ilvl w:val="0"/>
          <w:numId w:val="1018"/>
        </w:numPr>
        <w:pStyle w:val="Compact"/>
      </w:pPr>
      <w:r>
        <w:t xml:space="preserve">Enseña una tarea rutinaria utilizando el estándar del empleador.</w:t>
      </w:r>
    </w:p>
    <w:p>
      <w:pPr>
        <w:numPr>
          <w:ilvl w:val="0"/>
          <w:numId w:val="1018"/>
        </w:numPr>
        <w:pStyle w:val="Compact"/>
      </w:pPr>
      <w:r>
        <w:t xml:space="preserve">Practica corrección respetuosa y escalamiento.</w:t>
      </w:r>
    </w:p>
    <w:p>
      <w:pPr>
        <w:numPr>
          <w:ilvl w:val="0"/>
          <w:numId w:val="1018"/>
        </w:numPr>
        <w:pStyle w:val="Compact"/>
      </w:pPr>
      <w:r>
        <w:t xml:space="preserve">Observa cómo los gerentes con experiencia resuelven quejas.</w:t>
      </w:r>
    </w:p>
    <w:bookmarkEnd w:id="53"/>
    <w:bookmarkStart w:id="54" w:name="Xfa07fcef7306f6eb1571b8f6685f65aaa4873ed"/>
    <w:p>
      <w:pPr>
        <w:pStyle w:val="Heading3"/>
      </w:pPr>
      <w:r>
        <w:t xml:space="preserve">Semanas 7–8 — Aprende sobre costos y calidad</w:t>
      </w:r>
    </w:p>
    <w:p>
      <w:pPr>
        <w:numPr>
          <w:ilvl w:val="0"/>
          <w:numId w:val="1019"/>
        </w:numPr>
        <w:pStyle w:val="Compact"/>
      </w:pPr>
      <w:r>
        <w:t xml:space="preserve">Estudia desperdicio, control de porciones, variación de inventario y conceptos de costo laboral.</w:t>
      </w:r>
    </w:p>
    <w:p>
      <w:pPr>
        <w:numPr>
          <w:ilvl w:val="0"/>
          <w:numId w:val="1019"/>
        </w:numPr>
        <w:pStyle w:val="Compact"/>
      </w:pPr>
      <w:r>
        <w:t xml:space="preserve">Revisa métricas de tiempo de servicio y experiencia del cliente.</w:t>
      </w:r>
    </w:p>
    <w:p>
      <w:pPr>
        <w:numPr>
          <w:ilvl w:val="0"/>
          <w:numId w:val="1019"/>
        </w:numPr>
        <w:pStyle w:val="Compact"/>
      </w:pPr>
      <w:r>
        <w:t xml:space="preserve">Aprende cómo los problemas de mantenimiento afectan la inocuidad y la operación.</w:t>
      </w:r>
    </w:p>
    <w:bookmarkEnd w:id="54"/>
    <w:bookmarkStart w:id="55" w:name="semanas-910--construye-evidencia"/>
    <w:p>
      <w:pPr>
        <w:pStyle w:val="Heading3"/>
      </w:pPr>
      <w:r>
        <w:t xml:space="preserve">Semanas 9–10 — Construye evidencia</w:t>
      </w:r>
    </w:p>
    <w:p>
      <w:pPr>
        <w:numPr>
          <w:ilvl w:val="0"/>
          <w:numId w:val="1020"/>
        </w:numPr>
        <w:pStyle w:val="Compact"/>
      </w:pPr>
      <w:r>
        <w:t xml:space="preserve">Documenta la capacitación completada.</w:t>
      </w:r>
    </w:p>
    <w:p>
      <w:pPr>
        <w:numPr>
          <w:ilvl w:val="0"/>
          <w:numId w:val="1020"/>
        </w:numPr>
        <w:pStyle w:val="Compact"/>
      </w:pPr>
      <w:r>
        <w:t xml:space="preserve">Registra mejoras medibles que hayas apoyado.</w:t>
      </w:r>
    </w:p>
    <w:p>
      <w:pPr>
        <w:numPr>
          <w:ilvl w:val="0"/>
          <w:numId w:val="1020"/>
        </w:numPr>
        <w:pStyle w:val="Compact"/>
      </w:pPr>
      <w:r>
        <w:t xml:space="preserve">Añade ejemplos de resolución de conflictos, mejoras de seguridad, capacitación, precisión de inventario o recuperación de servicio a tus notas para el currículum sin revelar datos confidenciales.</w:t>
      </w:r>
    </w:p>
    <w:bookmarkEnd w:id="55"/>
    <w:bookmarkStart w:id="56" w:name="semanas-1112--prepárate-para-avanzar"/>
    <w:p>
      <w:pPr>
        <w:pStyle w:val="Heading3"/>
      </w:pPr>
      <w:r>
        <w:t xml:space="preserve">Semanas 11–12 — Prepárate para avanzar</w:t>
      </w:r>
    </w:p>
    <w:p>
      <w:pPr>
        <w:numPr>
          <w:ilvl w:val="0"/>
          <w:numId w:val="1021"/>
        </w:numPr>
        <w:pStyle w:val="Compact"/>
      </w:pPr>
      <w:r>
        <w:t xml:space="preserve">Pregunta qué diferencia a un/a supervisor/a de un/a subgerente en tu organización.</w:t>
      </w:r>
    </w:p>
    <w:p>
      <w:pPr>
        <w:numPr>
          <w:ilvl w:val="0"/>
          <w:numId w:val="1021"/>
        </w:numPr>
        <w:pStyle w:val="Compact"/>
      </w:pPr>
      <w:r>
        <w:t xml:space="preserve">Identifica habilidades o credenciales faltantes.</w:t>
      </w:r>
    </w:p>
    <w:p>
      <w:pPr>
        <w:numPr>
          <w:ilvl w:val="0"/>
          <w:numId w:val="1021"/>
        </w:numPr>
        <w:pStyle w:val="Compact"/>
      </w:pPr>
      <w:r>
        <w:t xml:space="preserve">Solicita retroalimentación de un gerente.</w:t>
      </w:r>
    </w:p>
    <w:p>
      <w:pPr>
        <w:numPr>
          <w:ilvl w:val="0"/>
          <w:numId w:val="1021"/>
        </w:numPr>
        <w:pStyle w:val="Compact"/>
      </w:pPr>
      <w:r>
        <w:t xml:space="preserve">Postúlate a oportunidades apropiadas de supervisión, subgerencia o formación gerencial.</w:t>
      </w:r>
    </w:p>
    <w:bookmarkEnd w:id="56"/>
    <w:bookmarkEnd w:id="57"/>
    <w:bookmarkStart w:id="58" w:name="ideas-para-desarrollar-experiencia"/>
    <w:p>
      <w:pPr>
        <w:pStyle w:val="Heading2"/>
      </w:pPr>
      <w:r>
        <w:t xml:space="preserve">Ideas para desarrollar experiencia</w:t>
      </w:r>
    </w:p>
    <w:p>
      <w:pPr>
        <w:pStyle w:val="FirstParagraph"/>
      </w:pPr>
      <w:r>
        <w:t xml:space="preserve">La experiencia útil puede provenir de:</w:t>
      </w:r>
    </w:p>
    <w:p>
      <w:pPr>
        <w:numPr>
          <w:ilvl w:val="0"/>
          <w:numId w:val="1022"/>
        </w:numPr>
        <w:pStyle w:val="Compact"/>
      </w:pPr>
      <w:r>
        <w:t xml:space="preserve">capacitar a una persona recién contratada;</w:t>
      </w:r>
    </w:p>
    <w:p>
      <w:pPr>
        <w:numPr>
          <w:ilvl w:val="0"/>
          <w:numId w:val="1022"/>
        </w:numPr>
        <w:pStyle w:val="Compact"/>
      </w:pPr>
      <w:r>
        <w:t xml:space="preserve">liderar una estación durante un periodo de alta demanda;</w:t>
      </w:r>
    </w:p>
    <w:p>
      <w:pPr>
        <w:numPr>
          <w:ilvl w:val="0"/>
          <w:numId w:val="1022"/>
        </w:numPr>
        <w:pStyle w:val="Compact"/>
      </w:pPr>
      <w:r>
        <w:t xml:space="preserve">mejorar una lista de verificación de apertura o cierre;</w:t>
      </w:r>
    </w:p>
    <w:p>
      <w:pPr>
        <w:numPr>
          <w:ilvl w:val="0"/>
          <w:numId w:val="1022"/>
        </w:numPr>
        <w:pStyle w:val="Compact"/>
      </w:pPr>
      <w:r>
        <w:t xml:space="preserve">ayudar a reducir errores de inventario;</w:t>
      </w:r>
    </w:p>
    <w:p>
      <w:pPr>
        <w:numPr>
          <w:ilvl w:val="0"/>
          <w:numId w:val="1022"/>
        </w:numPr>
        <w:pStyle w:val="Compact"/>
      </w:pPr>
      <w:r>
        <w:t xml:space="preserve">documentar correctamente un problema de mantenimiento;</w:t>
      </w:r>
    </w:p>
    <w:p>
      <w:pPr>
        <w:numPr>
          <w:ilvl w:val="0"/>
          <w:numId w:val="1022"/>
        </w:numPr>
        <w:pStyle w:val="Compact"/>
      </w:pPr>
      <w:r>
        <w:t xml:space="preserve">resolver una queja de cliente dentro de la política;</w:t>
      </w:r>
    </w:p>
    <w:p>
      <w:pPr>
        <w:numPr>
          <w:ilvl w:val="0"/>
          <w:numId w:val="1022"/>
        </w:numPr>
        <w:pStyle w:val="Compact"/>
      </w:pPr>
      <w:r>
        <w:t xml:space="preserve">organizar una reunión previa al turno;</w:t>
      </w:r>
    </w:p>
    <w:p>
      <w:pPr>
        <w:numPr>
          <w:ilvl w:val="0"/>
          <w:numId w:val="1022"/>
        </w:numPr>
        <w:pStyle w:val="Compact"/>
      </w:pPr>
      <w:r>
        <w:t xml:space="preserve">apoyar una inspección de inocuidad de alimentos;</w:t>
      </w:r>
    </w:p>
    <w:p>
      <w:pPr>
        <w:numPr>
          <w:ilvl w:val="0"/>
          <w:numId w:val="1022"/>
        </w:numPr>
        <w:pStyle w:val="Compact"/>
      </w:pPr>
      <w:r>
        <w:t xml:space="preserve">participar en el lanzamiento de un menú;</w:t>
      </w:r>
    </w:p>
    <w:p>
      <w:pPr>
        <w:numPr>
          <w:ilvl w:val="0"/>
          <w:numId w:val="1022"/>
        </w:numPr>
        <w:pStyle w:val="Compact"/>
      </w:pPr>
      <w:r>
        <w:t xml:space="preserve">ayudar a implementar un nuevo proceso de POS o entrega.</w:t>
      </w:r>
    </w:p>
    <w:p>
      <w:pPr>
        <w:pStyle w:val="FirstParagraph"/>
      </w:pPr>
      <w:r>
        <w:t xml:space="preserve">Describe la acción y el resultado sin revelar información confidencial del empleador.</w:t>
      </w:r>
    </w:p>
    <w:bookmarkEnd w:id="58"/>
    <w:bookmarkStart w:id="59" w:name="progresión-profesional"/>
    <w:p>
      <w:pPr>
        <w:pStyle w:val="Heading2"/>
      </w:pPr>
      <w:r>
        <w:t xml:space="preserve">Progresión profesional</w:t>
      </w:r>
    </w:p>
    <w:p>
      <w:pPr>
        <w:pStyle w:val="FirstParagraph"/>
      </w:pPr>
      <w:r>
        <w:t xml:space="preserve">Las posibles rutas incluyen:</w:t>
      </w:r>
    </w:p>
    <w:p>
      <w:pPr>
        <w:numPr>
          <w:ilvl w:val="0"/>
          <w:numId w:val="1023"/>
        </w:numPr>
        <w:pStyle w:val="Compact"/>
      </w:pPr>
      <w:r>
        <w:t xml:space="preserve">miembro de equipo / mesero/a / anfitrión/a / cajero/a / trabajador/a de preparación de alimentos;</w:t>
      </w:r>
    </w:p>
    <w:p>
      <w:pPr>
        <w:numPr>
          <w:ilvl w:val="0"/>
          <w:numId w:val="1023"/>
        </w:numPr>
        <w:pStyle w:val="Compact"/>
      </w:pPr>
      <w:r>
        <w:t xml:space="preserve">líder de turno;</w:t>
      </w:r>
    </w:p>
    <w:p>
      <w:pPr>
        <w:numPr>
          <w:ilvl w:val="0"/>
          <w:numId w:val="1023"/>
        </w:numPr>
        <w:pStyle w:val="Compact"/>
      </w:pPr>
      <w:r>
        <w:t xml:space="preserve">supervisor/a de restaurante;</w:t>
      </w:r>
    </w:p>
    <w:p>
      <w:pPr>
        <w:numPr>
          <w:ilvl w:val="0"/>
          <w:numId w:val="1023"/>
        </w:numPr>
        <w:pStyle w:val="Compact"/>
      </w:pPr>
      <w:r>
        <w:t xml:space="preserve">persona en formación gerencial;</w:t>
      </w:r>
    </w:p>
    <w:p>
      <w:pPr>
        <w:numPr>
          <w:ilvl w:val="0"/>
          <w:numId w:val="1023"/>
        </w:numPr>
        <w:pStyle w:val="Compact"/>
      </w:pPr>
      <w:r>
        <w:t xml:space="preserve">subgerente;</w:t>
      </w:r>
    </w:p>
    <w:p>
      <w:pPr>
        <w:numPr>
          <w:ilvl w:val="0"/>
          <w:numId w:val="1023"/>
        </w:numPr>
        <w:pStyle w:val="Compact"/>
      </w:pPr>
      <w:r>
        <w:t xml:space="preserve">gerente de restaurante o de servicios de alimentos;</w:t>
      </w:r>
    </w:p>
    <w:p>
      <w:pPr>
        <w:numPr>
          <w:ilvl w:val="0"/>
          <w:numId w:val="1023"/>
        </w:numPr>
        <w:pStyle w:val="Compact"/>
      </w:pPr>
      <w:r>
        <w:t xml:space="preserve">gerente general;</w:t>
      </w:r>
    </w:p>
    <w:p>
      <w:pPr>
        <w:numPr>
          <w:ilvl w:val="0"/>
          <w:numId w:val="1023"/>
        </w:numPr>
        <w:pStyle w:val="Compact"/>
      </w:pPr>
      <w:r>
        <w:t xml:space="preserve">gerente de múltiples unidades o gerente distrital;</w:t>
      </w:r>
    </w:p>
    <w:p>
      <w:pPr>
        <w:numPr>
          <w:ilvl w:val="0"/>
          <w:numId w:val="1023"/>
        </w:numPr>
        <w:pStyle w:val="Compact"/>
      </w:pPr>
      <w:r>
        <w:t xml:space="preserve">puestos en catering, hotelería, servicios de alimentos institucionales, capacitación, operaciones o apoyo a franquicias.</w:t>
      </w:r>
    </w:p>
    <w:p>
      <w:pPr>
        <w:pStyle w:val="FirstParagraph"/>
      </w:pPr>
      <w:r>
        <w:t xml:space="preserve">El avance no es automático y los títulos varían ampliamente según el empleador.</w:t>
      </w:r>
    </w:p>
    <w:bookmarkEnd w:id="59"/>
    <w:bookmarkStart w:id="60" w:name="Xcb9ae8eb420e37e111137a7561c22f496ba7ab2"/>
    <w:p>
      <w:pPr>
        <w:pStyle w:val="Heading2"/>
      </w:pPr>
      <w:r>
        <w:t xml:space="preserve">Antes de aceptar un empleo o programa de capacitación</w:t>
      </w:r>
    </w:p>
    <w:p>
      <w:pPr>
        <w:pStyle w:val="FirstParagraph"/>
      </w:pPr>
      <w:r>
        <w:t xml:space="preserve">Verifica:</w:t>
      </w:r>
    </w:p>
    <w:p>
      <w:pPr>
        <w:numPr>
          <w:ilvl w:val="0"/>
          <w:numId w:val="1024"/>
        </w:numPr>
        <w:pStyle w:val="Compact"/>
      </w:pPr>
      <w:r>
        <w:t xml:space="preserve">si el puesto es por hora o asalariado;</w:t>
      </w:r>
    </w:p>
    <w:p>
      <w:pPr>
        <w:numPr>
          <w:ilvl w:val="0"/>
          <w:numId w:val="1024"/>
        </w:numPr>
        <w:pStyle w:val="Compact"/>
      </w:pPr>
      <w:r>
        <w:t xml:space="preserve">horas semanales esperadas y reglas de horas extra;</w:t>
      </w:r>
    </w:p>
    <w:p>
      <w:pPr>
        <w:numPr>
          <w:ilvl w:val="0"/>
          <w:numId w:val="1024"/>
        </w:numPr>
        <w:pStyle w:val="Compact"/>
      </w:pPr>
      <w:r>
        <w:t xml:space="preserve">expectativas de noches, fines de semana, días festivos y disponibilidad de guardia;</w:t>
      </w:r>
    </w:p>
    <w:p>
      <w:pPr>
        <w:numPr>
          <w:ilvl w:val="0"/>
          <w:numId w:val="1024"/>
        </w:numPr>
        <w:pStyle w:val="Compact"/>
      </w:pPr>
      <w:r>
        <w:t xml:space="preserve">si se incluyen propinas, bonificaciones, comidas, uniformes o apoyo de transporte;</w:t>
      </w:r>
    </w:p>
    <w:p>
      <w:pPr>
        <w:numPr>
          <w:ilvl w:val="0"/>
          <w:numId w:val="1024"/>
        </w:numPr>
        <w:pStyle w:val="Compact"/>
      </w:pPr>
      <w:r>
        <w:t xml:space="preserve">requisitos de credenciales de inocuidad de alimentos y servicio de alcohol;</w:t>
      </w:r>
    </w:p>
    <w:p>
      <w:pPr>
        <w:numPr>
          <w:ilvl w:val="0"/>
          <w:numId w:val="1024"/>
        </w:numPr>
        <w:pStyle w:val="Compact"/>
      </w:pPr>
      <w:r>
        <w:t xml:space="preserve">si el empleador paga los costos de certificación;</w:t>
      </w:r>
    </w:p>
    <w:p>
      <w:pPr>
        <w:numPr>
          <w:ilvl w:val="0"/>
          <w:numId w:val="1024"/>
        </w:numPr>
        <w:pStyle w:val="Compact"/>
      </w:pPr>
      <w:r>
        <w:t xml:space="preserve">autoridad supervisora exacta;</w:t>
      </w:r>
    </w:p>
    <w:p>
      <w:pPr>
        <w:numPr>
          <w:ilvl w:val="0"/>
          <w:numId w:val="1024"/>
        </w:numPr>
        <w:pStyle w:val="Compact"/>
      </w:pPr>
      <w:r>
        <w:t xml:space="preserve">acceso a sistemas de nómina, recursos humanos, efectivo y pagos;</w:t>
      </w:r>
    </w:p>
    <w:p>
      <w:pPr>
        <w:numPr>
          <w:ilvl w:val="0"/>
          <w:numId w:val="1024"/>
        </w:numPr>
        <w:pStyle w:val="Compact"/>
      </w:pPr>
      <w:r>
        <w:t xml:space="preserve">requisitos físicos;</w:t>
      </w:r>
    </w:p>
    <w:p>
      <w:pPr>
        <w:numPr>
          <w:ilvl w:val="0"/>
          <w:numId w:val="1024"/>
        </w:numPr>
        <w:pStyle w:val="Compact"/>
      </w:pPr>
      <w:r>
        <w:t xml:space="preserve">requisitos legales de antecedentes, edad, documentos de salud u otros;</w:t>
      </w:r>
    </w:p>
    <w:p>
      <w:pPr>
        <w:numPr>
          <w:ilvl w:val="0"/>
          <w:numId w:val="1024"/>
        </w:numPr>
        <w:pStyle w:val="Compact"/>
      </w:pPr>
      <w:r>
        <w:t xml:space="preserve">si el tiempo de capacitación es remunerado;</w:t>
      </w:r>
    </w:p>
    <w:p>
      <w:pPr>
        <w:numPr>
          <w:ilvl w:val="0"/>
          <w:numId w:val="1024"/>
        </w:numPr>
        <w:pStyle w:val="Compact"/>
      </w:pPr>
      <w:r>
        <w:t xml:space="preserve">criterios de promoción;</w:t>
      </w:r>
    </w:p>
    <w:p>
      <w:pPr>
        <w:numPr>
          <w:ilvl w:val="0"/>
          <w:numId w:val="1024"/>
        </w:numPr>
        <w:pStyle w:val="Compact"/>
      </w:pPr>
      <w:r>
        <w:t xml:space="preserve">apoyo de matrícula o aprendizaje registrado;</w:t>
      </w:r>
    </w:p>
    <w:p>
      <w:pPr>
        <w:numPr>
          <w:ilvl w:val="0"/>
          <w:numId w:val="1024"/>
        </w:numPr>
        <w:pStyle w:val="Compact"/>
      </w:pPr>
      <w:r>
        <w:t xml:space="preserve">proceso de accesibilidad/adaptaciones.</w:t>
      </w:r>
    </w:p>
    <w:bookmarkEnd w:id="60"/>
    <w:bookmarkStart w:id="76" w:name="lista-controlada-de-fuentes"/>
    <w:p>
      <w:pPr>
        <w:pStyle w:val="Heading2"/>
      </w:pPr>
      <w:r>
        <w:t xml:space="preserve">Lista controlada de fuentes</w:t>
      </w:r>
    </w:p>
    <w:p>
      <w:pPr>
        <w:numPr>
          <w:ilvl w:val="0"/>
          <w:numId w:val="1025"/>
        </w:numPr>
        <w:pStyle w:val="Compact"/>
      </w:pPr>
      <w:hyperlink r:id="rId61">
        <w:hyperlink r:id="rId61">
          <w:r>
            <w:rPr>
              <w:rStyle w:val="Hyperlink"/>
            </w:rPr>
            <w:t xml:space="preserve">Source link</w:t>
          </w:r>
        </w:hyperlink>
      </w:hyperlink>
    </w:p>
    <w:p>
      <w:pPr>
        <w:numPr>
          <w:ilvl w:val="0"/>
          <w:numId w:val="1025"/>
        </w:numPr>
        <w:pStyle w:val="Compact"/>
      </w:pPr>
      <w:hyperlink r:id="rId62">
        <w:hyperlink r:id="rId62">
          <w:r>
            <w:rPr>
              <w:rStyle w:val="Hyperlink"/>
            </w:rPr>
            <w:t xml:space="preserve">Source link</w:t>
          </w:r>
        </w:hyperlink>
      </w:hyperlink>
    </w:p>
    <w:p>
      <w:pPr>
        <w:numPr>
          <w:ilvl w:val="0"/>
          <w:numId w:val="1025"/>
        </w:numPr>
        <w:pStyle w:val="Compact"/>
      </w:pPr>
      <w:hyperlink r:id="rId63">
        <w:hyperlink r:id="rId63">
          <w:r>
            <w:rPr>
              <w:rStyle w:val="Hyperlink"/>
            </w:rPr>
            <w:t xml:space="preserve">Source link</w:t>
          </w:r>
        </w:hyperlink>
      </w:hyperlink>
    </w:p>
    <w:p>
      <w:pPr>
        <w:numPr>
          <w:ilvl w:val="0"/>
          <w:numId w:val="1025"/>
        </w:numPr>
        <w:pStyle w:val="Compact"/>
      </w:pPr>
      <w:hyperlink r:id="rId64">
        <w:hyperlink r:id="rId64">
          <w:r>
            <w:rPr>
              <w:rStyle w:val="Hyperlink"/>
            </w:rPr>
            <w:t xml:space="preserve">Source link</w:t>
          </w:r>
        </w:hyperlink>
      </w:hyperlink>
    </w:p>
    <w:p>
      <w:pPr>
        <w:numPr>
          <w:ilvl w:val="0"/>
          <w:numId w:val="1025"/>
        </w:numPr>
        <w:pStyle w:val="Compact"/>
      </w:pPr>
      <w:hyperlink r:id="rId65">
        <w:hyperlink r:id="rId65">
          <w:r>
            <w:rPr>
              <w:rStyle w:val="Hyperlink"/>
            </w:rPr>
            <w:t xml:space="preserve">Source link</w:t>
          </w:r>
        </w:hyperlink>
      </w:hyperlink>
    </w:p>
    <w:p>
      <w:pPr>
        <w:numPr>
          <w:ilvl w:val="0"/>
          <w:numId w:val="1025"/>
        </w:numPr>
        <w:pStyle w:val="Compact"/>
      </w:pPr>
      <w:hyperlink r:id="rId66">
        <w:hyperlink r:id="rId66">
          <w:r>
            <w:rPr>
              <w:rStyle w:val="Hyperlink"/>
            </w:rPr>
            <w:t xml:space="preserve">Source link</w:t>
          </w:r>
        </w:hyperlink>
      </w:hyperlink>
    </w:p>
    <w:p>
      <w:pPr>
        <w:numPr>
          <w:ilvl w:val="0"/>
          <w:numId w:val="1025"/>
        </w:numPr>
        <w:pStyle w:val="Compact"/>
      </w:pPr>
      <w:hyperlink r:id="rId67">
        <w:hyperlink r:id="rId67">
          <w:r>
            <w:rPr>
              <w:rStyle w:val="Hyperlink"/>
            </w:rPr>
            <w:t xml:space="preserve">Source link</w:t>
          </w:r>
        </w:hyperlink>
      </w:hyperlink>
    </w:p>
    <w:p>
      <w:pPr>
        <w:numPr>
          <w:ilvl w:val="0"/>
          <w:numId w:val="1025"/>
        </w:numPr>
        <w:pStyle w:val="Compact"/>
      </w:pPr>
      <w:hyperlink r:id="rId68">
        <w:hyperlink r:id="rId68">
          <w:r>
            <w:rPr>
              <w:rStyle w:val="Hyperlink"/>
            </w:rPr>
            <w:t xml:space="preserve">Source link</w:t>
          </w:r>
        </w:hyperlink>
      </w:hyperlink>
    </w:p>
    <w:p>
      <w:pPr>
        <w:numPr>
          <w:ilvl w:val="0"/>
          <w:numId w:val="1025"/>
        </w:numPr>
        <w:pStyle w:val="Compact"/>
      </w:pPr>
      <w:hyperlink r:id="rId69">
        <w:hyperlink r:id="rId69">
          <w:r>
            <w:rPr>
              <w:rStyle w:val="Hyperlink"/>
            </w:rPr>
            <w:t xml:space="preserve">Source link</w:t>
          </w:r>
        </w:hyperlink>
      </w:hyperlink>
    </w:p>
    <w:p>
      <w:pPr>
        <w:numPr>
          <w:ilvl w:val="0"/>
          <w:numId w:val="1025"/>
        </w:numPr>
        <w:pStyle w:val="Compact"/>
      </w:pPr>
      <w:hyperlink r:id="rId70">
        <w:hyperlink r:id="rId70">
          <w:r>
            <w:rPr>
              <w:rStyle w:val="Hyperlink"/>
            </w:rPr>
            <w:t xml:space="preserve">Source link</w:t>
          </w:r>
        </w:hyperlink>
      </w:hyperlink>
    </w:p>
    <w:p>
      <w:pPr>
        <w:numPr>
          <w:ilvl w:val="0"/>
          <w:numId w:val="1025"/>
        </w:numPr>
        <w:pStyle w:val="Compact"/>
      </w:pPr>
      <w:hyperlink r:id="rId71">
        <w:hyperlink r:id="rId71">
          <w:r>
            <w:rPr>
              <w:rStyle w:val="Hyperlink"/>
            </w:rPr>
            <w:t xml:space="preserve">Source link</w:t>
          </w:r>
        </w:hyperlink>
      </w:hyperlink>
    </w:p>
    <w:p>
      <w:pPr>
        <w:numPr>
          <w:ilvl w:val="0"/>
          <w:numId w:val="1025"/>
        </w:numPr>
        <w:pStyle w:val="Compact"/>
      </w:pPr>
      <w:hyperlink r:id="rId72">
        <w:hyperlink r:id="rId72">
          <w:r>
            <w:rPr>
              <w:rStyle w:val="Hyperlink"/>
            </w:rPr>
            <w:t xml:space="preserve">Source link</w:t>
          </w:r>
        </w:hyperlink>
      </w:hyperlink>
    </w:p>
    <w:p>
      <w:pPr>
        <w:numPr>
          <w:ilvl w:val="0"/>
          <w:numId w:val="1025"/>
        </w:numPr>
        <w:pStyle w:val="Compact"/>
      </w:pPr>
      <w:hyperlink r:id="rId73">
        <w:hyperlink r:id="rId73">
          <w:r>
            <w:rPr>
              <w:rStyle w:val="Hyperlink"/>
            </w:rPr>
            <w:t xml:space="preserve">Source link</w:t>
          </w:r>
        </w:hyperlink>
      </w:hyperlink>
    </w:p>
    <w:p>
      <w:pPr>
        <w:numPr>
          <w:ilvl w:val="0"/>
          <w:numId w:val="1025"/>
        </w:numPr>
        <w:pStyle w:val="Compact"/>
      </w:pPr>
      <w:hyperlink r:id="rId74">
        <w:hyperlink r:id="rId74">
          <w:r>
            <w:rPr>
              <w:rStyle w:val="Hyperlink"/>
            </w:rPr>
            <w:t xml:space="preserve">Source link</w:t>
          </w:r>
        </w:hyperlink>
      </w:hyperlink>
    </w:p>
    <w:p>
      <w:pPr>
        <w:numPr>
          <w:ilvl w:val="0"/>
          <w:numId w:val="1025"/>
        </w:numPr>
        <w:pStyle w:val="Compact"/>
      </w:pPr>
      <w:hyperlink r:id="rId75">
        <w:hyperlink r:id="rId75">
          <w:r>
            <w:rPr>
              <w:rStyle w:val="Hyperlink"/>
            </w:rPr>
            <w:t xml:space="preserve">Source link</w:t>
          </w:r>
        </w:hyperlink>
      </w:hyperlink>
    </w:p>
    <w:bookmarkEnd w:id="76"/>
    <w:bookmarkStart w:id="77" w:name="aviso-importante"/>
    <w:p>
      <w:pPr>
        <w:pStyle w:val="Heading2"/>
      </w:pPr>
      <w:r>
        <w:t xml:space="preserve">Aviso importante</w:t>
      </w:r>
    </w:p>
    <w:p>
      <w:pPr>
        <w:pStyle w:val="FirstParagraph"/>
      </w:pPr>
      <w:r>
        <w:t xml:space="preserve">Esta guía ofrece información general de educación y planificación profesional. No garantiza empleo, ingresos, admisión, financiamiento, certificación, licencias, promoción, colocación en aprendizaje registrado ni ningún otro resultado. Los requisitos varían según jurisdicción, empleador, tipo de establecimiento y momento. Verifica siempre los requisitos vigentes con el empleador y la autoridad gubernamental correspondiente.</w:t>
      </w:r>
    </w:p>
    <w:bookmarkEnd w:id="77"/>
    <w:bookmarkStart w:id="78" w:name="límite-de-aseguramiento"/>
    <w:p>
      <w:pPr>
        <w:pStyle w:val="Heading2"/>
      </w:pPr>
      <w:r>
        <w:t xml:space="preserve">Límite de aseguramiento</w:t>
      </w:r>
    </w:p>
    <w:p>
      <w:pPr>
        <w:pStyle w:val="FirstParagraph"/>
      </w:pPr>
      <w:r>
        <w:t xml:space="preserve">Este borrador maestro de Versión 2 fue desarrollado mediante investigación y revisión editorial internas asistidas por máquina. No constituye certificación humana independiente, certificación profesional de inocuidad de alimentos, certificación profesional de traducción, revisión legal, certificación de accesibilidad, acreditación, asesoría sobre licencias ni aprobación regulatoria.</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betowa.sena.edu.co/oferta/emprendedor-en-tecnicas-de-mesa-y-bar-para-el-servicio-de-alimentos-y-bebidas?programId=66655" TargetMode="External" /><Relationship Type="http://schemas.openxmlformats.org/officeDocument/2006/relationships/hyperlink" Id="rId73" Target="https://betowa.sena.edu.co/oferta/servicio-de-restaurante-y-bar?modality=P&amp;programId=137214" TargetMode="External" /><Relationship Type="http://schemas.openxmlformats.org/officeDocument/2006/relationships/hyperlink" Id="rId64" Target="https://www.bls.gov/ooh/management/food-service-managers.htm"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68" Target="https://www.fda.gov/food/fda-food-code/food-code-2022" TargetMode="External" /><Relationship Type="http://schemas.openxmlformats.org/officeDocument/2006/relationships/hyperlink" Id="rId69" Target="https://www.fda.gov/food/hfp-constituent-updates/fda-releases-supplement-2022-food-code" TargetMode="External" /><Relationship Type="http://schemas.openxmlformats.org/officeDocument/2006/relationships/hyperlink" Id="rId67" Target="https://www.fda.gov/food/retail-food-protection/fda-food-code" TargetMode="External" /><Relationship Type="http://schemas.openxmlformats.org/officeDocument/2006/relationships/hyperlink" Id="rId72" Target="https://www.jobbank.gc.ca/marketreport/requirements/2031/ca" TargetMode="External" /><Relationship Type="http://schemas.openxmlformats.org/officeDocument/2006/relationships/hyperlink" Id="rId70" Target="https://www.jobbank.gc.ca/marketreport/summary-occupation/2031/ca" TargetMode="External" /><Relationship Type="http://schemas.openxmlformats.org/officeDocument/2006/relationships/hyperlink" Id="rId71" Target="https://www.jobbank.gc.ca/wagereport/occupation/2025?wbdisable=true" TargetMode="External" /><Relationship Type="http://schemas.openxmlformats.org/officeDocument/2006/relationships/hyperlink" Id="rId63" Target="https://www.onetonline.org/link/localtrends/11-9051.00" TargetMode="External" /><Relationship Type="http://schemas.openxmlformats.org/officeDocument/2006/relationships/hyperlink" Id="rId62" Target="https://www.onetonline.org/link/localwages/11-9051.00" TargetMode="External" /><Relationship Type="http://schemas.openxmlformats.org/officeDocument/2006/relationships/hyperlink" Id="rId61" Target="https://www.onetonline.org/link/summary/11-9051.00" TargetMode="External" /><Relationship Type="http://schemas.openxmlformats.org/officeDocument/2006/relationships/hyperlink" Id="rId65" Target="https://www.salary.com/research/salary/position/restaurant-supervisor-salary" TargetMode="External" /><Relationship Type="http://schemas.openxmlformats.org/officeDocument/2006/relationships/hyperlink" Id="rId66" Target="https://www.ziprecruiter.com/Salaries/Restaurant-Supervisor-Salary" TargetMode="External" /></Relationships>
</file>

<file path=word/_rels/footnotes.xml.rels><?xml version="1.0" encoding="UTF-8"?><Relationships xmlns="http://schemas.openxmlformats.org/package/2006/relationships"><Relationship Type="http://schemas.openxmlformats.org/officeDocument/2006/relationships/hyperlink" Id="rId74" Target="https://betowa.sena.edu.co/oferta/emprendedor-en-tecnicas-de-mesa-y-bar-para-el-servicio-de-alimentos-y-bebidas?programId=66655" TargetMode="External" /><Relationship Type="http://schemas.openxmlformats.org/officeDocument/2006/relationships/hyperlink" Id="rId73" Target="https://betowa.sena.edu.co/oferta/servicio-de-restaurante-y-bar?modality=P&amp;programId=137214" TargetMode="External" /><Relationship Type="http://schemas.openxmlformats.org/officeDocument/2006/relationships/hyperlink" Id="rId64" Target="https://www.bls.gov/ooh/management/food-service-managers.htm"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68" Target="https://www.fda.gov/food/fda-food-code/food-code-2022" TargetMode="External" /><Relationship Type="http://schemas.openxmlformats.org/officeDocument/2006/relationships/hyperlink" Id="rId69" Target="https://www.fda.gov/food/hfp-constituent-updates/fda-releases-supplement-2022-food-code" TargetMode="External" /><Relationship Type="http://schemas.openxmlformats.org/officeDocument/2006/relationships/hyperlink" Id="rId67" Target="https://www.fda.gov/food/retail-food-protection/fda-food-code" TargetMode="External" /><Relationship Type="http://schemas.openxmlformats.org/officeDocument/2006/relationships/hyperlink" Id="rId72" Target="https://www.jobbank.gc.ca/marketreport/requirements/2031/ca" TargetMode="External" /><Relationship Type="http://schemas.openxmlformats.org/officeDocument/2006/relationships/hyperlink" Id="rId70" Target="https://www.jobbank.gc.ca/marketreport/summary-occupation/2031/ca" TargetMode="External" /><Relationship Type="http://schemas.openxmlformats.org/officeDocument/2006/relationships/hyperlink" Id="rId71" Target="https://www.jobbank.gc.ca/wagereport/occupation/2025?wbdisable=true" TargetMode="External" /><Relationship Type="http://schemas.openxmlformats.org/officeDocument/2006/relationships/hyperlink" Id="rId63" Target="https://www.onetonline.org/link/localtrends/11-9051.00" TargetMode="External" /><Relationship Type="http://schemas.openxmlformats.org/officeDocument/2006/relationships/hyperlink" Id="rId62" Target="https://www.onetonline.org/link/localwages/11-9051.00" TargetMode="External" /><Relationship Type="http://schemas.openxmlformats.org/officeDocument/2006/relationships/hyperlink" Id="rId61" Target="https://www.onetonline.org/link/summary/11-9051.00" TargetMode="External" /><Relationship Type="http://schemas.openxmlformats.org/officeDocument/2006/relationships/hyperlink" Id="rId65" Target="https://www.salary.com/research/salary/position/restaurant-supervisor-salary" TargetMode="External" /><Relationship Type="http://schemas.openxmlformats.org/officeDocument/2006/relationships/hyperlink" Id="rId66" Target="https://www.ziprecruiter.com/Salaries/Restaurant-Supervis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2026-08-21T00:38:04Z</dcterms:created>
  <dcterms:modified xsi:type="dcterms:W3CDTF">2026-08-21T00:38:04Z</dcterms:modified>
</cp:coreProperties>
</file>

<file path=docProps/custom.xml><?xml version="1.0" encoding="utf-8"?>
<Properties xmlns="http://schemas.openxmlformats.org/officeDocument/2006/custom-properties" xmlns:vt="http://schemas.openxmlformats.org/officeDocument/2006/docPropsVTypes"/>
</file>