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eefb6cb4ffa1cdb2ccb9d04b03c917b32fab9b2"/>
    <w:p>
      <w:pPr>
        <w:pStyle w:val="Heading1"/>
      </w:pPr>
      <w:r>
        <w:t xml:space="preserve">Guía de Oportunidades para Toda la Vida 05 — Especialista en Contabilidad Básica y Nómina</w:t>
      </w:r>
    </w:p>
    <w:p>
      <w:pPr>
        <w:pStyle w:val="FirstParagraph"/>
      </w:pPr>
      <w:r>
        <w:rPr>
          <w:bCs/>
          <w:b/>
        </w:rPr>
        <w:t xml:space="preserve">Maestro de trabajo controlado 2026 en español latinoamericano neutral</w:t>
      </w:r>
      <w:r>
        <w:br/>
      </w:r>
      <w:r>
        <w:t xml:space="preserve">Versión 2.0, maestro de trabajo • agosto de 2026</w:t>
      </w:r>
      <w:r>
        <w:br/>
      </w:r>
      <w:r>
        <w:t xml:space="preserve">Creado y dirigido por Alberto (Al) Leiva</w:t>
      </w:r>
      <w:r>
        <w:br/>
      </w:r>
      <w:r>
        <w:t xml:space="preserve">Investigación, organización, edición y preparación documental con asistencia de ChatGPT, OpenAI</w:t>
      </w:r>
    </w:p>
    <w:p>
      <w:pPr>
        <w:pStyle w:val="BlockText"/>
      </w:pPr>
      <w:r>
        <w:rPr>
          <w:bCs/>
          <w:b/>
        </w:rPr>
        <w:t xml:space="preserve">Estado controlado:</w:t>
      </w:r>
      <w:r>
        <w:t xml:space="preserve"> </w:t>
      </w:r>
      <w:r>
        <w:t xml:space="preserve">Este archivo es la traducción de trabajo al español latinoamericano neutral del maestro inglés congelado para la revisión 2026. No es todavía un candidato de publicación. Debe pasar controles de terminología, paridad estructural, enlaces, accesibilidad, codificación, DOCX, PDF, metadatos y publicación antes de su liberación.</w:t>
      </w:r>
    </w:p>
    <w:bookmarkStart w:id="20" w:name="la-promesa-de-esta-guía"/>
    <w:p>
      <w:pPr>
        <w:pStyle w:val="Heading2"/>
      </w:pPr>
      <w:r>
        <w:t xml:space="preserve">La promesa de esta guía</w:t>
      </w:r>
    </w:p>
    <w:p>
      <w:pPr>
        <w:pStyle w:val="FirstParagraph"/>
      </w:pPr>
      <w:r>
        <w:t xml:space="preserve">Esta guía no promete que el trabajo de contabilidad básica o nómina sea adecuado para todas las personas, que la capacitación será gratuita, que una credencial llevará a conseguir empleo ni que un salario determinado esté disponible en todas las ubicaciones. Está diseñada para ayudar a las personas lectoras a comprender el trabajo, comparar opciones de capacitación y financiamiento, proteger información financiera y laboral confidencial, prepararse para cambios impulsados por la automatización y verificar los requisitos locales antes de gastar dinero o aceptar una obligación laboral.</w:t>
      </w:r>
    </w:p>
    <w:bookmarkEnd w:id="20"/>
    <w:bookmarkStart w:id="21" w:name="por-qué-existe-esta-guía"/>
    <w:p>
      <w:pPr>
        <w:pStyle w:val="Heading2"/>
      </w:pPr>
      <w:r>
        <w:t xml:space="preserve">Por qué existe esta guía</w:t>
      </w:r>
    </w:p>
    <w:p>
      <w:pPr>
        <w:pStyle w:val="FirstParagraph"/>
      </w:pPr>
      <w:r>
        <w:t xml:space="preserve">Las Guías de Oportunidades para Toda la Vida buscan hacer más accesible la exploración educativa y profesional para personas que pueden enfrentar barreras relacionadas con la edad, discapacidad, ingresos, ubicación geográfica, idioma o una trayectoria laboral no tradicional. La contabilidad básica y la nómina pueden ofrecer puntos de entrada prácticos a finanzas, administración, cumplimiento y operaciones empresariales, pero también exigen precisión, confidencialidad, cumplimiento de plazos, adaptación a reglas cambiantes, uso de sistemas de software y responsabilidad sobre controles. Conviene comprender esas realidades antes de pagar por capacitación o aceptar un puesto.</w:t>
      </w:r>
    </w:p>
    <w:bookmarkEnd w:id="21"/>
    <w:bookmarkStart w:id="22" w:name="reconocimiento-de-la-asistencia-de-ia"/>
    <w:p>
      <w:pPr>
        <w:pStyle w:val="Heading2"/>
      </w:pPr>
      <w:r>
        <w:t xml:space="preserve">Reconocimiento de la asistencia de IA</w:t>
      </w:r>
    </w:p>
    <w:p>
      <w:pPr>
        <w:pStyle w:val="FirstParagraph"/>
      </w:pPr>
      <w:r>
        <w:t xml:space="preserve">Alberto (Al) Leiva concibió y dirige este proyecto y conserva la responsabilidad sobre la guía. ChatGPT de OpenAI se utilizó como herramienta de apoyo para investigación, organización, edición y preparación documental. La asistencia de IA no constituye certificación humana independiente, certificación profesional de traducción, acreditación, revisión legal, revisión tributaria, asesoría financiera, certificación de accesibilidad ni sustituye las fuentes oficiales ni el criterio humano calificado.</w:t>
      </w:r>
    </w:p>
    <w:bookmarkEnd w:id="22"/>
    <w:bookmarkStart w:id="23" w:name="límites-éticos-y-prácticos"/>
    <w:p>
      <w:pPr>
        <w:pStyle w:val="Heading2"/>
      </w:pPr>
      <w:r>
        <w:t xml:space="preserve">Límites éticos y prácticos</w:t>
      </w:r>
    </w:p>
    <w:p>
      <w:pPr>
        <w:pStyle w:val="FirstParagraph"/>
      </w:pPr>
      <w:r>
        <w:t xml:space="preserve">Esta guía ofrece información general para educación y orientación profesional. No constituye asesoría individualizada contable, tributaria, legal, sobre beneficios, financiera, migratoria, médica, de salud mental ni de licenciamiento. Las reglas de nómina y contabilidad varían según país, jurisdicción, empleador, sector, contrato, clasificación laboral, sistema tributario, sistema de beneficios y entorno tecnológico. Verifique los datos de alto impacto con la autoridad vigente o con un profesional calificado antes de asumir un compromiso financiero, educativo, laboral, tributario o legal.</w:t>
      </w:r>
    </w:p>
    <w:p>
      <w:r>
        <w:pict>
          <v:rect style="width:0;height:1.5pt" o:hralign="center" o:hrstd="t" o:hr="t"/>
        </w:pict>
      </w:r>
    </w:p>
    <w:bookmarkEnd w:id="23"/>
    <w:bookmarkStart w:id="24" w:name="X5e5a83c2e3d7df8a2b4b8ebf34ad781a08e1d75"/>
    <w:p>
      <w:pPr>
        <w:pStyle w:val="Heading2"/>
      </w:pPr>
      <w:r>
        <w:t xml:space="preserve">1. Cómo usar esta guía</w:t>
      </w:r>
    </w:p>
    <w:p>
      <w:pPr>
        <w:pStyle w:val="FirstParagraph"/>
      </w:pPr>
      <w:r>
        <w:t xml:space="preserve">Empiece por el trabajo real, no por una escuela ni por quien vende credenciales.</w:t>
      </w:r>
    </w:p>
    <w:p>
      <w:pPr>
        <w:numPr>
          <w:ilvl w:val="0"/>
          <w:numId w:val="1001"/>
        </w:numPr>
        <w:pStyle w:val="Compact"/>
      </w:pPr>
      <w:r>
        <w:t xml:space="preserve">Identifique el nombre exacto del puesto utilizado en su localidad.</w:t>
      </w:r>
    </w:p>
    <w:p>
      <w:pPr>
        <w:numPr>
          <w:ilvl w:val="0"/>
          <w:numId w:val="1001"/>
        </w:numPr>
        <w:pStyle w:val="Compact"/>
      </w:pPr>
      <w:r>
        <w:t xml:space="preserve">Separe las funciones contables de las funciones de nómina cuando un empleador combine ambas en un mismo cargo.</w:t>
      </w:r>
    </w:p>
    <w:p>
      <w:pPr>
        <w:numPr>
          <w:ilvl w:val="0"/>
          <w:numId w:val="1001"/>
        </w:numPr>
        <w:pStyle w:val="Compact"/>
      </w:pPr>
      <w:r>
        <w:t xml:space="preserve">Separe requisitos legales, preferencias habituales del empleador y credenciales opcionales.</w:t>
      </w:r>
    </w:p>
    <w:p>
      <w:pPr>
        <w:numPr>
          <w:ilvl w:val="0"/>
          <w:numId w:val="1001"/>
        </w:numPr>
        <w:pStyle w:val="Compact"/>
      </w:pPr>
      <w:r>
        <w:t xml:space="preserve">Revise vacantes locales vigentes y fuentes ocupacionales oficiales antes de depender de resúmenes nacionales.</w:t>
      </w:r>
    </w:p>
    <w:p>
      <w:pPr>
        <w:numPr>
          <w:ilvl w:val="0"/>
          <w:numId w:val="1001"/>
        </w:numPr>
        <w:pStyle w:val="Compact"/>
      </w:pPr>
      <w:r>
        <w:t xml:space="preserve">Compare el costo completo de la ruta, incluidos aranceles, exámenes, software, tecnología, transporte, cuidado de hijos, ingresos dejados de percibir, renovaciones y prácticas no remuneradas.</w:t>
      </w:r>
    </w:p>
    <w:p>
      <w:pPr>
        <w:numPr>
          <w:ilvl w:val="0"/>
          <w:numId w:val="1001"/>
        </w:numPr>
        <w:pStyle w:val="Compact"/>
      </w:pPr>
      <w:r>
        <w:t xml:space="preserve">Pregunte qué ocurre si no puede terminar la capacitación o debe abandonar un programa financiado por el empleador.</w:t>
      </w:r>
    </w:p>
    <w:p>
      <w:pPr>
        <w:numPr>
          <w:ilvl w:val="0"/>
          <w:numId w:val="1001"/>
        </w:numPr>
        <w:pStyle w:val="Compact"/>
      </w:pPr>
      <w:r>
        <w:t xml:space="preserve">Deténgase si un proveedor le presiona para pagar de inmediato, promete empleo, se niega a entregar costos o condiciones de reembolso por escrito o presenta una credencial privada opcional como si fuera legalmente obligatoria cuando no lo es.</w:t>
      </w:r>
    </w:p>
    <w:bookmarkEnd w:id="24"/>
    <w:bookmarkStart w:id="25" w:name="Xded4b9e64871cbc7132962013d5edae5933fbb6"/>
    <w:p>
      <w:pPr>
        <w:pStyle w:val="Heading2"/>
      </w:pPr>
      <w:r>
        <w:t xml:space="preserve">2. En qué consiste el trabajo</w:t>
      </w:r>
    </w:p>
    <w:p>
      <w:pPr>
        <w:pStyle w:val="FirstParagraph"/>
      </w:pPr>
      <w:r>
        <w:t xml:space="preserve">Las personas que trabajan en contabilidad básica registran y clasifican transacciones financieras autorizadas, concilian cuentas, mantienen documentación de respaldo y ayudan a las organizaciones a conservar libros precisos. Los especialistas en nómina recopilan y validan información autorizada de tiempo y remuneración, calculan o revisan la nómina bruta a neta, deducciones, impuestos, embargos, beneficios, correcciones e informes de nómina.</w:t>
      </w:r>
    </w:p>
    <w:p>
      <w:pPr>
        <w:pStyle w:val="BodyText"/>
      </w:pPr>
      <w:r>
        <w:t xml:space="preserve">Títulos comunes de contabilidad básica incluyen:</w:t>
      </w:r>
    </w:p>
    <w:p>
      <w:pPr>
        <w:numPr>
          <w:ilvl w:val="0"/>
          <w:numId w:val="1002"/>
        </w:numPr>
        <w:pStyle w:val="Compact"/>
      </w:pPr>
      <w:r>
        <w:t xml:space="preserve">bookkeeper o auxiliar de contabilidad;</w:t>
      </w:r>
    </w:p>
    <w:p>
      <w:pPr>
        <w:numPr>
          <w:ilvl w:val="0"/>
          <w:numId w:val="1002"/>
        </w:numPr>
        <w:pStyle w:val="Compact"/>
      </w:pPr>
      <w:r>
        <w:t xml:space="preserve">empleado o auxiliar contable;</w:t>
      </w:r>
    </w:p>
    <w:p>
      <w:pPr>
        <w:numPr>
          <w:ilvl w:val="0"/>
          <w:numId w:val="1002"/>
        </w:numPr>
        <w:pStyle w:val="Compact"/>
      </w:pPr>
      <w:r>
        <w:t xml:space="preserve">especialista en contabilidad básica;</w:t>
      </w:r>
    </w:p>
    <w:p>
      <w:pPr>
        <w:numPr>
          <w:ilvl w:val="0"/>
          <w:numId w:val="1002"/>
        </w:numPr>
        <w:pStyle w:val="Compact"/>
      </w:pPr>
      <w:r>
        <w:t xml:space="preserve">auxiliar de cuentas por pagar;</w:t>
      </w:r>
    </w:p>
    <w:p>
      <w:pPr>
        <w:numPr>
          <w:ilvl w:val="0"/>
          <w:numId w:val="1002"/>
        </w:numPr>
        <w:pStyle w:val="Compact"/>
      </w:pPr>
      <w:r>
        <w:t xml:space="preserve">auxiliar de cuentas por cobrar;</w:t>
      </w:r>
    </w:p>
    <w:p>
      <w:pPr>
        <w:numPr>
          <w:ilvl w:val="0"/>
          <w:numId w:val="1002"/>
        </w:numPr>
        <w:pStyle w:val="Compact"/>
      </w:pPr>
      <w:r>
        <w:t xml:space="preserve">técnico contable; y</w:t>
      </w:r>
    </w:p>
    <w:p>
      <w:pPr>
        <w:numPr>
          <w:ilvl w:val="0"/>
          <w:numId w:val="1002"/>
        </w:numPr>
        <w:pStyle w:val="Compact"/>
      </w:pPr>
      <w:r>
        <w:t xml:space="preserve">asistente de finanzas o contabilidad.</w:t>
      </w:r>
    </w:p>
    <w:p>
      <w:pPr>
        <w:pStyle w:val="FirstParagraph"/>
      </w:pPr>
      <w:r>
        <w:t xml:space="preserve">Títulos comunes de nómina incluyen:</w:t>
      </w:r>
    </w:p>
    <w:p>
      <w:pPr>
        <w:numPr>
          <w:ilvl w:val="0"/>
          <w:numId w:val="1003"/>
        </w:numPr>
        <w:pStyle w:val="Compact"/>
      </w:pPr>
      <w:r>
        <w:t xml:space="preserve">especialista en nómina;</w:t>
      </w:r>
    </w:p>
    <w:p>
      <w:pPr>
        <w:numPr>
          <w:ilvl w:val="0"/>
          <w:numId w:val="1003"/>
        </w:numPr>
        <w:pStyle w:val="Compact"/>
      </w:pPr>
      <w:r>
        <w:t xml:space="preserve">administrador de nómina;</w:t>
      </w:r>
    </w:p>
    <w:p>
      <w:pPr>
        <w:numPr>
          <w:ilvl w:val="0"/>
          <w:numId w:val="1003"/>
        </w:numPr>
        <w:pStyle w:val="Compact"/>
      </w:pPr>
      <w:r>
        <w:t xml:space="preserve">auxiliar de nómina;</w:t>
      </w:r>
    </w:p>
    <w:p>
      <w:pPr>
        <w:numPr>
          <w:ilvl w:val="0"/>
          <w:numId w:val="1003"/>
        </w:numPr>
        <w:pStyle w:val="Compact"/>
      </w:pPr>
      <w:r>
        <w:t xml:space="preserve">coordinador de nómina;</w:t>
      </w:r>
    </w:p>
    <w:p>
      <w:pPr>
        <w:numPr>
          <w:ilvl w:val="0"/>
          <w:numId w:val="1003"/>
        </w:numPr>
        <w:pStyle w:val="Compact"/>
      </w:pPr>
      <w:r>
        <w:t xml:space="preserve">técnico de nómina; y</w:t>
      </w:r>
    </w:p>
    <w:p>
      <w:pPr>
        <w:numPr>
          <w:ilvl w:val="0"/>
          <w:numId w:val="1003"/>
        </w:numPr>
        <w:pStyle w:val="Compact"/>
      </w:pPr>
      <w:r>
        <w:t xml:space="preserve">empleado de nómina y control de tiempo.</w:t>
      </w:r>
    </w:p>
    <w:p>
      <w:pPr>
        <w:pStyle w:val="FirstParagraph"/>
      </w:pPr>
      <w:r>
        <w:t xml:space="preserve">Algunos puestos combinan ambas funciones. Otros separan contabilidad, nómina, cuentas por pagar, cuentas por cobrar, facturación, beneficios, recursos humanos y contabilidad financiera en equipos diferentes. Lea siempre las funciones, no solo el título.</w:t>
      </w:r>
    </w:p>
    <w:p>
      <w:pPr>
        <w:pStyle w:val="BodyText"/>
      </w:pPr>
      <w:r>
        <w:t xml:space="preserve">Los entornos pueden incluir pequeñas empresas, firmas de servicios contables y de nómina, construcción, salud, comercio minorista, hospitalidad, organizaciones sin fines de lucro, gobierno, educación, manufactura, tecnología, servicios profesionales y centros de servicios compartidos remotos o híbridos.</w:t>
      </w:r>
    </w:p>
    <w:bookmarkEnd w:id="25"/>
    <w:bookmarkStart w:id="29" w:name="Xd802a22f204214d89986b84f459fc1062ddb366"/>
    <w:p>
      <w:pPr>
        <w:pStyle w:val="Heading2"/>
      </w:pPr>
      <w:r>
        <w:t xml:space="preserve">3. Funciones, herramientas y ciclos de trabajo realistas</w:t>
      </w:r>
    </w:p>
    <w:bookmarkStart w:id="26" w:name="funciones-de-contabilidad-básica"/>
    <w:p>
      <w:pPr>
        <w:pStyle w:val="Heading3"/>
      </w:pPr>
      <w:r>
        <w:t xml:space="preserve">Funciones de contabilidad básica</w:t>
      </w:r>
    </w:p>
    <w:p>
      <w:pPr>
        <w:pStyle w:val="FirstParagraph"/>
      </w:pPr>
      <w:r>
        <w:t xml:space="preserve">Las tareas habituales pueden incluir:</w:t>
      </w:r>
    </w:p>
    <w:p>
      <w:pPr>
        <w:numPr>
          <w:ilvl w:val="0"/>
          <w:numId w:val="1004"/>
        </w:numPr>
        <w:pStyle w:val="Compact"/>
      </w:pPr>
      <w:r>
        <w:t xml:space="preserve">ingresar y clasificar transacciones autorizadas a partir de documentos fuente;</w:t>
      </w:r>
    </w:p>
    <w:p>
      <w:pPr>
        <w:numPr>
          <w:ilvl w:val="0"/>
          <w:numId w:val="1004"/>
        </w:numPr>
        <w:pStyle w:val="Compact"/>
      </w:pPr>
      <w:r>
        <w:t xml:space="preserve">mantener el libro mayor y registros auxiliares;</w:t>
      </w:r>
    </w:p>
    <w:p>
      <w:pPr>
        <w:numPr>
          <w:ilvl w:val="0"/>
          <w:numId w:val="1004"/>
        </w:numPr>
        <w:pStyle w:val="Compact"/>
      </w:pPr>
      <w:r>
        <w:t xml:space="preserve">conciliar cuentas bancarias, tarjetas de crédito, cuentas por cobrar, cuentas por pagar, efectivo y otras cuentas de control;</w:t>
      </w:r>
    </w:p>
    <w:p>
      <w:pPr>
        <w:numPr>
          <w:ilvl w:val="0"/>
          <w:numId w:val="1004"/>
        </w:numPr>
        <w:pStyle w:val="Compact"/>
      </w:pPr>
      <w:r>
        <w:t xml:space="preserve">revisar facturas, registros de compras, recibos, informes de gastos y respaldos de pago;</w:t>
      </w:r>
    </w:p>
    <w:p>
      <w:pPr>
        <w:numPr>
          <w:ilvl w:val="0"/>
          <w:numId w:val="1004"/>
        </w:numPr>
        <w:pStyle w:val="Compact"/>
      </w:pPr>
      <w:r>
        <w:t xml:space="preserve">registrar ajustes y correcciones aprobados;</w:t>
      </w:r>
    </w:p>
    <w:p>
      <w:pPr>
        <w:numPr>
          <w:ilvl w:val="0"/>
          <w:numId w:val="1004"/>
        </w:numPr>
        <w:pStyle w:val="Compact"/>
      </w:pPr>
      <w:r>
        <w:t xml:space="preserve">preparar informes y anexos rutinarios;</w:t>
      </w:r>
    </w:p>
    <w:p>
      <w:pPr>
        <w:numPr>
          <w:ilvl w:val="0"/>
          <w:numId w:val="1004"/>
        </w:numPr>
        <w:pStyle w:val="Compact"/>
      </w:pPr>
      <w:r>
        <w:t xml:space="preserve">mantener un rastro de auditoría; y</w:t>
      </w:r>
    </w:p>
    <w:p>
      <w:pPr>
        <w:numPr>
          <w:ilvl w:val="0"/>
          <w:numId w:val="1004"/>
        </w:numPr>
        <w:pStyle w:val="Compact"/>
      </w:pPr>
      <w:r>
        <w:t xml:space="preserve">escalar diferencias no explicadas, registros sin soporte, cambios no autorizados o sospechas de fraude.</w:t>
      </w:r>
    </w:p>
    <w:bookmarkEnd w:id="26"/>
    <w:bookmarkStart w:id="27" w:name="funciones-de-nómina"/>
    <w:p>
      <w:pPr>
        <w:pStyle w:val="Heading3"/>
      </w:pPr>
      <w:r>
        <w:t xml:space="preserve">Funciones de nómina</w:t>
      </w:r>
    </w:p>
    <w:p>
      <w:pPr>
        <w:pStyle w:val="FirstParagraph"/>
      </w:pPr>
      <w:r>
        <w:t xml:space="preserve">Las tareas habituales pueden incluir:</w:t>
      </w:r>
    </w:p>
    <w:p>
      <w:pPr>
        <w:numPr>
          <w:ilvl w:val="0"/>
          <w:numId w:val="1005"/>
        </w:numPr>
        <w:pStyle w:val="Compact"/>
      </w:pPr>
      <w:r>
        <w:t xml:space="preserve">recopilar información aprobada de tiempo y asistencia;</w:t>
      </w:r>
    </w:p>
    <w:p>
      <w:pPr>
        <w:numPr>
          <w:ilvl w:val="0"/>
          <w:numId w:val="1005"/>
        </w:numPr>
        <w:pStyle w:val="Compact"/>
      </w:pPr>
      <w:r>
        <w:t xml:space="preserve">validar condición laboral, tarifas salariales, deducciones, elecciones tributarias, beneficios y cambios autorizados;</w:t>
      </w:r>
    </w:p>
    <w:p>
      <w:pPr>
        <w:numPr>
          <w:ilvl w:val="0"/>
          <w:numId w:val="1005"/>
        </w:numPr>
        <w:pStyle w:val="Compact"/>
      </w:pPr>
      <w:r>
        <w:t xml:space="preserve">calcular o revisar salario ordinario, horas extra, recargos, bonificaciones, licencias, embargos, deducciones y aportes del empleador;</w:t>
      </w:r>
    </w:p>
    <w:p>
      <w:pPr>
        <w:numPr>
          <w:ilvl w:val="0"/>
          <w:numId w:val="1005"/>
        </w:numPr>
        <w:pStyle w:val="Compact"/>
      </w:pPr>
      <w:r>
        <w:t xml:space="preserve">revisar informes de excepciones y totales de control de nómina;</w:t>
      </w:r>
    </w:p>
    <w:p>
      <w:pPr>
        <w:numPr>
          <w:ilvl w:val="0"/>
          <w:numId w:val="1005"/>
        </w:numPr>
        <w:pStyle w:val="Compact"/>
      </w:pPr>
      <w:r>
        <w:t xml:space="preserve">apoyar declaraciones o remesas tributarias de nómina dentro de la función asignada;</w:t>
      </w:r>
    </w:p>
    <w:p>
      <w:pPr>
        <w:numPr>
          <w:ilvl w:val="0"/>
          <w:numId w:val="1005"/>
        </w:numPr>
        <w:pStyle w:val="Compact"/>
      </w:pPr>
      <w:r>
        <w:t xml:space="preserve">producir informes de nómina para empleados y administración;</w:t>
      </w:r>
    </w:p>
    <w:p>
      <w:pPr>
        <w:numPr>
          <w:ilvl w:val="0"/>
          <w:numId w:val="1005"/>
        </w:numPr>
        <w:pStyle w:val="Compact"/>
      </w:pPr>
      <w:r>
        <w:t xml:space="preserve">corregir errores siguiendo procedimientos aprobados; y</w:t>
      </w:r>
    </w:p>
    <w:p>
      <w:pPr>
        <w:numPr>
          <w:ilvl w:val="0"/>
          <w:numId w:val="1005"/>
        </w:numPr>
        <w:pStyle w:val="Compact"/>
      </w:pPr>
      <w:r>
        <w:t xml:space="preserve">proteger información salarial, bancaria, tributaria, de beneficios, identidad y empleo.</w:t>
      </w:r>
    </w:p>
    <w:bookmarkEnd w:id="27"/>
    <w:bookmarkStart w:id="28" w:name="un-ciclo-realista"/>
    <w:p>
      <w:pPr>
        <w:pStyle w:val="Heading3"/>
      </w:pPr>
      <w:r>
        <w:t xml:space="preserve">Un ciclo realista</w:t>
      </w:r>
    </w:p>
    <w:p>
      <w:pPr>
        <w:numPr>
          <w:ilvl w:val="0"/>
          <w:numId w:val="1006"/>
        </w:numPr>
        <w:pStyle w:val="Compact"/>
      </w:pPr>
      <w:r>
        <w:t xml:space="preserve">Reúna registros fuente o entradas de nómina autorizados.</w:t>
      </w:r>
    </w:p>
    <w:p>
      <w:pPr>
        <w:numPr>
          <w:ilvl w:val="0"/>
          <w:numId w:val="1006"/>
        </w:numPr>
        <w:pStyle w:val="Compact"/>
      </w:pPr>
      <w:r>
        <w:t xml:space="preserve">Verifique aprobaciones, fechas, identidades, montos, códigos y autoridad para realizar cambios.</w:t>
      </w:r>
    </w:p>
    <w:p>
      <w:pPr>
        <w:numPr>
          <w:ilvl w:val="0"/>
          <w:numId w:val="1006"/>
        </w:numPr>
        <w:pStyle w:val="Compact"/>
      </w:pPr>
      <w:r>
        <w:t xml:space="preserve">Ingrese, importe o valide datos en el sistema aprobado.</w:t>
      </w:r>
    </w:p>
    <w:p>
      <w:pPr>
        <w:numPr>
          <w:ilvl w:val="0"/>
          <w:numId w:val="1006"/>
        </w:numPr>
        <w:pStyle w:val="Compact"/>
      </w:pPr>
      <w:r>
        <w:t xml:space="preserve">Ejecute informes de excepciones, totales de control y pruebas de razonabilidad.</w:t>
      </w:r>
    </w:p>
    <w:p>
      <w:pPr>
        <w:numPr>
          <w:ilvl w:val="0"/>
          <w:numId w:val="1006"/>
        </w:numPr>
        <w:pStyle w:val="Compact"/>
      </w:pPr>
      <w:r>
        <w:t xml:space="preserve">Concilie resultados e investigue diferencias.</w:t>
      </w:r>
    </w:p>
    <w:p>
      <w:pPr>
        <w:numPr>
          <w:ilvl w:val="0"/>
          <w:numId w:val="1006"/>
        </w:numPr>
        <w:pStyle w:val="Compact"/>
      </w:pPr>
      <w:r>
        <w:t xml:space="preserve">Obtenga las aprobaciones requeridas antes de registrar transacciones o liberar fondos.</w:t>
      </w:r>
    </w:p>
    <w:p>
      <w:pPr>
        <w:numPr>
          <w:ilvl w:val="0"/>
          <w:numId w:val="1006"/>
        </w:numPr>
        <w:pStyle w:val="Compact"/>
      </w:pPr>
      <w:r>
        <w:t xml:space="preserve">Documente correcciones y asuntos no resueltos.</w:t>
      </w:r>
    </w:p>
    <w:p>
      <w:pPr>
        <w:numPr>
          <w:ilvl w:val="0"/>
          <w:numId w:val="1006"/>
        </w:numPr>
        <w:pStyle w:val="Compact"/>
      </w:pPr>
      <w:r>
        <w:t xml:space="preserve">Conserve registros según la política y los requisitos aplicables.</w:t>
      </w:r>
    </w:p>
    <w:p>
      <w:pPr>
        <w:numPr>
          <w:ilvl w:val="0"/>
          <w:numId w:val="1006"/>
        </w:numPr>
        <w:pStyle w:val="Compact"/>
      </w:pPr>
      <w:r>
        <w:t xml:space="preserve">Complete informes de cierre de período, mes, trimestre o año según corresponda.</w:t>
      </w:r>
    </w:p>
    <w:p>
      <w:pPr>
        <w:pStyle w:val="FirstParagraph"/>
      </w:pPr>
      <w:r>
        <w:t xml:space="preserve">Los procedimientos reales deben seguir la política del empleador, la ley aplicable, los controles del sistema, la segregación de funciones, la supervisión y los estándares de auditoría.</w:t>
      </w:r>
    </w:p>
    <w:bookmarkEnd w:id="28"/>
    <w:bookmarkEnd w:id="29"/>
    <w:bookmarkStart w:id="30" w:name="X16c87ec54870549c1db1aca4b54315c9c1cb0bd"/>
    <w:p>
      <w:pPr>
        <w:pStyle w:val="Heading2"/>
      </w:pPr>
      <w:r>
        <w:t xml:space="preserve">4. Compatibilidad profesional, condiciones de trabajo y seguridad</w:t>
      </w:r>
    </w:p>
    <w:p>
      <w:pPr>
        <w:pStyle w:val="FirstParagraph"/>
      </w:pPr>
      <w:r>
        <w:t xml:space="preserve">Pregúntese:</w:t>
      </w:r>
    </w:p>
    <w:p>
      <w:pPr>
        <w:numPr>
          <w:ilvl w:val="0"/>
          <w:numId w:val="1007"/>
        </w:numPr>
        <w:pStyle w:val="Compact"/>
      </w:pPr>
      <w:r>
        <w:t xml:space="preserve">¿Las tareas repetitivas y centradas en precisión son compatibles con mi forma de prestar atención?</w:t>
      </w:r>
    </w:p>
    <w:p>
      <w:pPr>
        <w:numPr>
          <w:ilvl w:val="0"/>
          <w:numId w:val="1007"/>
        </w:numPr>
        <w:pStyle w:val="Compact"/>
      </w:pPr>
      <w:r>
        <w:t xml:space="preserve">¿Puedo trabajar con plazos sin omitir controles?</w:t>
      </w:r>
    </w:p>
    <w:p>
      <w:pPr>
        <w:numPr>
          <w:ilvl w:val="0"/>
          <w:numId w:val="1007"/>
        </w:numPr>
        <w:pStyle w:val="Compact"/>
      </w:pPr>
      <w:r>
        <w:t xml:space="preserve">¿Puedo investigar diferencias con paciencia en lugar de forzar una conciliación?</w:t>
      </w:r>
    </w:p>
    <w:p>
      <w:pPr>
        <w:numPr>
          <w:ilvl w:val="0"/>
          <w:numId w:val="1007"/>
        </w:numPr>
        <w:pStyle w:val="Compact"/>
      </w:pPr>
      <w:r>
        <w:t xml:space="preserve">¿Puedo proteger información confidencial de empleados y finanzas?</w:t>
      </w:r>
    </w:p>
    <w:p>
      <w:pPr>
        <w:numPr>
          <w:ilvl w:val="0"/>
          <w:numId w:val="1007"/>
        </w:numPr>
        <w:pStyle w:val="Compact"/>
      </w:pPr>
      <w:r>
        <w:t xml:space="preserve">¿Puedo trabajar con hojas de cálculo y software cambiante sin perder de vista la lógica empresarial subyacente?</w:t>
      </w:r>
    </w:p>
    <w:p>
      <w:pPr>
        <w:numPr>
          <w:ilvl w:val="0"/>
          <w:numId w:val="1007"/>
        </w:numPr>
        <w:pStyle w:val="Compact"/>
      </w:pPr>
      <w:r>
        <w:t xml:space="preserve">¿El horario y las cargas de cierre mensual, trimestral, anual, temporada tributaria o ciclo de nómina son compatibles con mi hogar?</w:t>
      </w:r>
    </w:p>
    <w:p>
      <w:pPr>
        <w:numPr>
          <w:ilvl w:val="0"/>
          <w:numId w:val="1007"/>
        </w:numPr>
        <w:pStyle w:val="Compact"/>
      </w:pPr>
      <w:r>
        <w:t xml:space="preserve">¿Qué adaptaciones, tecnología de apoyo, horarios previsibles, cambios ergonómicos o formatos de capacitación harían sostenible la ruta?</w:t>
      </w:r>
    </w:p>
    <w:p>
      <w:pPr>
        <w:numPr>
          <w:ilvl w:val="0"/>
          <w:numId w:val="1007"/>
        </w:numPr>
        <w:pStyle w:val="Compact"/>
      </w:pPr>
      <w:r>
        <w:t xml:space="preserve">¿Puedo ingresar sin asumir deuda insostenible ni una obligación laboral injusta?</w:t>
      </w:r>
    </w:p>
    <w:p>
      <w:pPr>
        <w:pStyle w:val="FirstParagraph"/>
      </w:pPr>
      <w:r>
        <w:t xml:space="preserve">Considere detenerse cuando un empleador espere que altere registros sin respaldo, evite aprobaciones, libere fondos sin autoridad, brinde asesoría contable o tributaria profesional fuera de sus competencias o asuma controles para los que no tiene autorización o capacitación.</w:t>
      </w:r>
    </w:p>
    <w:bookmarkEnd w:id="30"/>
    <w:bookmarkStart w:id="31" w:name="X3160076190e57287ae63508c0258722f39d6552"/>
    <w:p>
      <w:pPr>
        <w:pStyle w:val="Heading2"/>
      </w:pPr>
      <w:r>
        <w:t xml:space="preserve">5. Ética, límites, prevención del fraude y escalamiento</w:t>
      </w:r>
    </w:p>
    <w:p>
      <w:pPr>
        <w:pStyle w:val="FirstParagraph"/>
      </w:pPr>
      <w:r>
        <w:t xml:space="preserve">No altere, antedate, invente, oculte ni destruya registros para hacer que las cuentas parezcan correctas.</w:t>
      </w:r>
    </w:p>
    <w:p>
      <w:pPr>
        <w:pStyle w:val="BodyText"/>
      </w:pPr>
      <w:r>
        <w:t xml:space="preserve">No cree proveedores, empleados, facturas, registros de tiempo, gastos, asientos contables, deducciones, reembolsos o instrucciones de pago ficticios. No cambie datos bancarios de empleados, elecciones tributarias, tarifas salariales, información bancaria de proveedores o destinos de pago sin la verificación y autorización requeridas.</w:t>
      </w:r>
    </w:p>
    <w:p>
      <w:pPr>
        <w:pStyle w:val="BodyText"/>
      </w:pPr>
      <w:r>
        <w:t xml:space="preserve">No brinde asesoría individualizada contable, tributaria, legal, de beneficios, inversión o finanzas fuera de sus competencias y función asignada.</w:t>
      </w:r>
    </w:p>
    <w:p>
      <w:pPr>
        <w:pStyle w:val="BodyText"/>
      </w:pPr>
      <w:r>
        <w:t xml:space="preserve">Deténgase y escale cuando:</w:t>
      </w:r>
    </w:p>
    <w:p>
      <w:pPr>
        <w:numPr>
          <w:ilvl w:val="0"/>
          <w:numId w:val="1008"/>
        </w:numPr>
        <w:pStyle w:val="Compact"/>
      </w:pPr>
      <w:r>
        <w:t xml:space="preserve">falte evidencia;</w:t>
      </w:r>
    </w:p>
    <w:p>
      <w:pPr>
        <w:numPr>
          <w:ilvl w:val="0"/>
          <w:numId w:val="1008"/>
        </w:numPr>
        <w:pStyle w:val="Compact"/>
      </w:pPr>
      <w:r>
        <w:t xml:space="preserve">la autoridad no esté clara;</w:t>
      </w:r>
    </w:p>
    <w:p>
      <w:pPr>
        <w:numPr>
          <w:ilvl w:val="0"/>
          <w:numId w:val="1008"/>
        </w:numPr>
        <w:pStyle w:val="Compact"/>
      </w:pPr>
      <w:r>
        <w:t xml:space="preserve">una diferencia de conciliación no pueda explicarse;</w:t>
      </w:r>
    </w:p>
    <w:p>
      <w:pPr>
        <w:numPr>
          <w:ilvl w:val="0"/>
          <w:numId w:val="1008"/>
        </w:numPr>
        <w:pStyle w:val="Compact"/>
      </w:pPr>
      <w:r>
        <w:t xml:space="preserve">una aprobación parezca fabricada o incompleta;</w:t>
      </w:r>
    </w:p>
    <w:p>
      <w:pPr>
        <w:numPr>
          <w:ilvl w:val="0"/>
          <w:numId w:val="1008"/>
        </w:numPr>
        <w:pStyle w:val="Compact"/>
      </w:pPr>
      <w:r>
        <w:t xml:space="preserve">un cambio de pago o nómina sea inusual o contradiga la política;</w:t>
      </w:r>
    </w:p>
    <w:p>
      <w:pPr>
        <w:numPr>
          <w:ilvl w:val="0"/>
          <w:numId w:val="1008"/>
        </w:numPr>
        <w:pStyle w:val="Compact"/>
      </w:pPr>
      <w:r>
        <w:t xml:space="preserve">un cambio de cuenta bancaria o beneficiario cree riesgo de fraude;</w:t>
      </w:r>
    </w:p>
    <w:p>
      <w:pPr>
        <w:numPr>
          <w:ilvl w:val="0"/>
          <w:numId w:val="1008"/>
        </w:numPr>
        <w:pStyle w:val="Compact"/>
      </w:pPr>
      <w:r>
        <w:t xml:space="preserve">se requiera una decisión regulada; o</w:t>
      </w:r>
    </w:p>
    <w:p>
      <w:pPr>
        <w:numPr>
          <w:ilvl w:val="0"/>
          <w:numId w:val="1008"/>
        </w:numPr>
        <w:pStyle w:val="Compact"/>
      </w:pPr>
      <w:r>
        <w:t xml:space="preserve">alguien le presione para omitir un control.</w:t>
      </w:r>
    </w:p>
    <w:p>
      <w:pPr>
        <w:pStyle w:val="FirstParagraph"/>
      </w:pPr>
      <w:r>
        <w:t xml:space="preserve">Documente hechos, acciones, aprobaciones y riesgos no resueltos sin exageración ni represalias. Las metas de productividad nunca prevalecen sobre precisión, privacidad, trato legal, accesibilidad o controles internos.</w:t>
      </w:r>
    </w:p>
    <w:bookmarkEnd w:id="31"/>
    <w:bookmarkStart w:id="39" w:name="Xfec4a5b7125eaef7e60c41953347548df9b924c"/>
    <w:p>
      <w:pPr>
        <w:pStyle w:val="Heading2"/>
      </w:pPr>
      <w:r>
        <w:t xml:space="preserve">6. Investigación de ingresos, beneficios y perspectivas</w:t>
      </w:r>
    </w:p>
    <w:p>
      <w:pPr>
        <w:pStyle w:val="FirstParagraph"/>
      </w:pPr>
      <w:r>
        <w:t xml:space="preserve">La contabilidad básica y la nómina son categorías ocupacionales relacionadas, pero diferentes. No mezcle sus datos salariales en un único salario nacional de “Especialista en Contabilidad Básica y Nómina”.</w:t>
      </w:r>
    </w:p>
    <w:bookmarkStart w:id="32" w:name="X054e4ea1faccb90043a02abe905b0bb934f5396"/>
    <w:p>
      <w:pPr>
        <w:pStyle w:val="Heading3"/>
      </w:pPr>
      <w:r>
        <w:t xml:space="preserve">Estados Unidos — datos ocupacionales oficiales de contabilidad básica</w:t>
      </w:r>
    </w:p>
    <w:p>
      <w:pPr>
        <w:pStyle w:val="FirstParagraph"/>
      </w:pPr>
      <w:r>
        <w:t xml:space="preserve">La Oficina de Estadísticas Laborales de Estados Unidos (BLS) informa que</w:t>
      </w:r>
      <w:r>
        <w:t xml:space="preserve"> </w:t>
      </w:r>
      <w:r>
        <w:rPr>
          <w:bCs/>
          <w:b/>
        </w:rPr>
        <w:t xml:space="preserve">Bookkeeping, Accounting, and Auditing Clerks (SOC 43-3031)</w:t>
      </w:r>
      <w:r>
        <w:t xml:space="preserve"> </w:t>
      </w:r>
      <w:r>
        <w:t xml:space="preserve">tuvo una</w:t>
      </w:r>
      <w:r>
        <w:t xml:space="preserve"> </w:t>
      </w:r>
      <w:r>
        <w:rPr>
          <w:bCs/>
          <w:b/>
        </w:rPr>
        <w:t xml:space="preserve">mediana salarial anual de US</w:t>
      </w:r>
      <m:oMath>
        <m:r>
          <m:t>49</m:t>
        </m:r>
        <m:r>
          <m:rPr>
            <m:sty m:val="p"/>
          </m:rPr>
          <m:t>,</m:t>
        </m:r>
        <m:r>
          <m:t>210</m:t>
        </m:r>
        <m:r>
          <m:t>e</m:t>
        </m:r>
        <m:r>
          <m:t>n</m:t>
        </m:r>
        <m:r>
          <m:t>m</m:t>
        </m:r>
        <m:r>
          <m:t>a</m:t>
        </m:r>
        <m:r>
          <m:t>y</m:t>
        </m:r>
        <m:r>
          <m:t>o</m:t>
        </m:r>
        <m:r>
          <m:t>d</m:t>
        </m:r>
        <m:r>
          <m:t>e</m:t>
        </m:r>
        <m:r>
          <m:t>2024</m:t>
        </m:r>
        <m:r>
          <m:rPr>
            <m:sty m:val="p"/>
          </m:rPr>
          <m:t>*</m:t>
        </m:r>
        <m:r>
          <m:rPr>
            <m:sty m:val="p"/>
          </m:rPr>
          <m:t>*</m:t>
        </m:r>
        <m:r>
          <m:rPr>
            <m:sty m:val="p"/>
          </m:rPr>
          <m:t>.</m:t>
        </m:r>
        <m:r>
          <m:t>E</m:t>
        </m:r>
        <m:r>
          <m:t>l</m:t>
        </m:r>
        <m:r>
          <m:t>10</m:t>
        </m:r>
      </m:oMath>
      <w:r>
        <w:rPr>
          <w:bCs/>
          <w:b/>
        </w:rPr>
        <w:t xml:space="preserve">34,600</w:t>
      </w:r>
      <w:r>
        <w:t xml:space="preserve">, y el 10% con mayores ingresos ganó más de</w:t>
      </w:r>
      <w:r>
        <w:t xml:space="preserve"> </w:t>
      </w:r>
      <w:r>
        <w:rPr>
          <w:bCs/>
          <w:b/>
        </w:rPr>
        <w:t xml:space="preserve">US$72,660</w:t>
      </w:r>
      <w:r>
        <w:t xml:space="preserve">.</w:t>
      </w:r>
    </w:p>
    <w:p>
      <w:pPr>
        <w:pStyle w:val="BodyText"/>
      </w:pPr>
      <w:r>
        <w:t xml:space="preserve">BLS proyecta que el empleo en esta ocupación</w:t>
      </w:r>
      <w:r>
        <w:t xml:space="preserve"> </w:t>
      </w:r>
      <w:r>
        <w:rPr>
          <w:bCs/>
          <w:b/>
        </w:rPr>
        <w:t xml:space="preserve">disminuirá 6% entre 2024 y 2034</w:t>
      </w:r>
      <w:r>
        <w:t xml:space="preserve">, aunque estima alrededor de</w:t>
      </w:r>
      <w:r>
        <w:t xml:space="preserve"> </w:t>
      </w:r>
      <w:r>
        <w:rPr>
          <w:bCs/>
          <w:b/>
        </w:rPr>
        <w:t xml:space="preserve">170,000 vacantes por año</w:t>
      </w:r>
      <w:r>
        <w:t xml:space="preserve"> </w:t>
      </w:r>
      <w:r>
        <w:t xml:space="preserve">en promedio porque personas trabajadoras cambian de ocupación o salen de la fuerza laboral. BLS señala que la automatización reduce tareas rutinarias de ingreso de datos y aumenta la importancia del análisis, asesoría, conciliación y manejo de excepciones.</w:t>
      </w:r>
    </w:p>
    <w:bookmarkEnd w:id="32"/>
    <w:bookmarkStart w:id="33" w:name="X3d1b5783b3e17498516aaab7c90031dfa845a88"/>
    <w:p>
      <w:pPr>
        <w:pStyle w:val="Heading3"/>
      </w:pPr>
      <w:r>
        <w:t xml:space="preserve">Estados Unidos — datos ocupacionales oficiales de nómina</w:t>
      </w:r>
    </w:p>
    <w:p>
      <w:pPr>
        <w:pStyle w:val="FirstParagraph"/>
      </w:pPr>
      <w:r>
        <w:t xml:space="preserve">BLS reporta una</w:t>
      </w:r>
      <w:r>
        <w:t xml:space="preserve"> </w:t>
      </w:r>
      <w:r>
        <w:rPr>
          <w:bCs/>
          <w:b/>
        </w:rPr>
        <w:t xml:space="preserve">mediana salarial anual de US$55,290 en mayo de 2024</w:t>
      </w:r>
      <w:r>
        <w:t xml:space="preserve"> </w:t>
      </w:r>
      <w:r>
        <w:t xml:space="preserve">para</w:t>
      </w:r>
      <w:r>
        <w:t xml:space="preserve"> </w:t>
      </w:r>
      <w:r>
        <w:rPr>
          <w:bCs/>
          <w:b/>
        </w:rPr>
        <w:t xml:space="preserve">Payroll and Timekeeping Clerks</w:t>
      </w:r>
      <w:r>
        <w:t xml:space="preserve">, dentro del grupo de Financial Clerks. Esta es la referencia salarial oficial específica de nómina utilizada en esta guía. No debe presentarse como salario de contabilidad básica ni como salario garantizado para un Payroll Specialist.</w:t>
      </w:r>
    </w:p>
    <w:bookmarkEnd w:id="33"/>
    <w:bookmarkStart w:id="34" w:name="Xcaafe47a9842e5f72990e1d3664519d63e8b200"/>
    <w:p>
      <w:pPr>
        <w:pStyle w:val="Heading3"/>
      </w:pPr>
      <w:r>
        <w:t xml:space="preserve">Estados Unidos — estimaciones actuales de mercado no gubernamentales</w:t>
      </w:r>
    </w:p>
    <w:p>
      <w:pPr>
        <w:pStyle w:val="FirstParagraph"/>
      </w:pPr>
      <w:r>
        <w:t xml:space="preserve">Como indicadores separados de mercado revisados en agosto de 2026:</w:t>
      </w:r>
    </w:p>
    <w:p>
      <w:pPr>
        <w:numPr>
          <w:ilvl w:val="0"/>
          <w:numId w:val="1009"/>
        </w:numPr>
        <w:pStyle w:val="Compact"/>
      </w:pPr>
      <w:r>
        <w:t xml:space="preserve">ZipRecruiter reportó una estimación promedio en Estados Unidos para</w:t>
      </w:r>
      <w:r>
        <w:t xml:space="preserve"> </w:t>
      </w:r>
      <w:r>
        <w:rPr>
          <w:bCs/>
          <w:b/>
        </w:rPr>
        <w:t xml:space="preserve">Bookkeeper</w:t>
      </w:r>
      <w:r>
        <w:t xml:space="preserve"> </w:t>
      </w:r>
      <w:r>
        <w:t xml:space="preserve">de</w:t>
      </w:r>
      <w:r>
        <w:t xml:space="preserve"> </w:t>
      </w:r>
      <w:r>
        <w:rPr>
          <w:bCs/>
          <w:b/>
        </w:rPr>
        <w:t xml:space="preserve">US</w:t>
      </w:r>
      <m:oMath>
        <m:r>
          <m:t>50</m:t>
        </m:r>
        <m:r>
          <m:rPr>
            <m:sty m:val="p"/>
          </m:rPr>
          <m:t>,</m:t>
        </m:r>
        <m:r>
          <m:t>573</m:t>
        </m:r>
        <m:r>
          <m:t>a</m:t>
        </m:r>
        <m:r>
          <m:t>l</m:t>
        </m:r>
        <m:r>
          <m:t>a</m:t>
        </m:r>
        <m:r>
          <m:t>ñ</m:t>
        </m:r>
        <m:r>
          <m:t>o</m:t>
        </m:r>
        <m:r>
          <m:rPr>
            <m:sty m:val="p"/>
          </m:rPr>
          <m:t>(</m:t>
        </m:r>
        <m:r>
          <m:t>U</m:t>
        </m:r>
        <m:r>
          <m:t>S</m:t>
        </m:r>
      </m:oMath>
      <w:r>
        <w:rPr>
          <w:bCs/>
          <w:b/>
        </w:rPr>
        <w:t xml:space="preserve">24.31/hora) al 18 de julio de 2026</w:t>
      </w:r>
      <w:r>
        <w:t xml:space="preserve">.</w:t>
      </w:r>
    </w:p>
    <w:p>
      <w:pPr>
        <w:numPr>
          <w:ilvl w:val="0"/>
          <w:numId w:val="1009"/>
        </w:numPr>
        <w:pStyle w:val="Compact"/>
      </w:pPr>
      <w:r>
        <w:t xml:space="preserve">ZipRecruiter reportó una estimación promedio para</w:t>
      </w:r>
      <w:r>
        <w:t xml:space="preserve"> </w:t>
      </w:r>
      <w:r>
        <w:rPr>
          <w:bCs/>
          <w:b/>
        </w:rPr>
        <w:t xml:space="preserve">Payroll Specialist</w:t>
      </w:r>
      <w:r>
        <w:t xml:space="preserve"> </w:t>
      </w:r>
      <w:r>
        <w:t xml:space="preserve">de</w:t>
      </w:r>
      <w:r>
        <w:t xml:space="preserve"> </w:t>
      </w:r>
      <w:r>
        <w:rPr>
          <w:bCs/>
          <w:b/>
        </w:rPr>
        <w:t xml:space="preserve">US</w:t>
      </w:r>
      <m:oMath>
        <m:r>
          <m:t>56</m:t>
        </m:r>
        <m:r>
          <m:rPr>
            <m:sty m:val="p"/>
          </m:rPr>
          <m:t>,</m:t>
        </m:r>
        <m:r>
          <m:t>982</m:t>
        </m:r>
        <m:r>
          <m:t>a</m:t>
        </m:r>
        <m:r>
          <m:t>l</m:t>
        </m:r>
        <m:r>
          <m:t>a</m:t>
        </m:r>
        <m:r>
          <m:t>ñ</m:t>
        </m:r>
        <m:r>
          <m:t>o</m:t>
        </m:r>
        <m:r>
          <m:rPr>
            <m:sty m:val="p"/>
          </m:rPr>
          <m:t>(</m:t>
        </m:r>
        <m:r>
          <m:t>U</m:t>
        </m:r>
        <m:r>
          <m:t>S</m:t>
        </m:r>
      </m:oMath>
      <w:r>
        <w:rPr>
          <w:bCs/>
          <w:b/>
        </w:rPr>
        <w:t xml:space="preserve">27.40/hora) al 26 de julio de 2026</w:t>
      </w:r>
      <w:r>
        <w:t xml:space="preserve">.</w:t>
      </w:r>
    </w:p>
    <w:p>
      <w:pPr>
        <w:pStyle w:val="FirstParagraph"/>
      </w:pPr>
      <w:r>
        <w:t xml:space="preserve">Estas son estimaciones no gubernamentales derivadas de publicaciones de empleo y datos de terceros. No son estadísticas salariales oficiales ni garantías. El QA de publicación debe volver a verificar estas cifras fechadas porque las páginas de mercado cambian con frecuencia.</w:t>
      </w:r>
    </w:p>
    <w:bookmarkEnd w:id="34"/>
    <w:bookmarkStart w:id="35" w:name="canadá--contabilidad-básica"/>
    <w:p>
      <w:pPr>
        <w:pStyle w:val="Heading3"/>
      </w:pPr>
      <w:r>
        <w:t xml:space="preserve">Canadá — contabilidad básica</w:t>
      </w:r>
    </w:p>
    <w:p>
      <w:pPr>
        <w:pStyle w:val="FirstParagraph"/>
      </w:pPr>
      <w:r>
        <w:t xml:space="preserve">Job Bank del Gobierno de Canadá asigna el trabajo de bookkeeper/técnico contable a</w:t>
      </w:r>
      <w:r>
        <w:t xml:space="preserve"> </w:t>
      </w:r>
      <w:r>
        <w:rPr>
          <w:bCs/>
          <w:b/>
        </w:rPr>
        <w:t xml:space="preserve">Accounting technicians and bookkeepers, NOC 12200</w:t>
      </w:r>
      <w:r>
        <w:t xml:space="preserve">. La tabla salarial nacional revisada para esta edición reporta</w:t>
      </w:r>
      <w:r>
        <w:t xml:space="preserve"> </w:t>
      </w:r>
      <w:r>
        <w:rPr>
          <w:bCs/>
          <w:b/>
        </w:rPr>
        <w:t xml:space="preserve">C</w:t>
      </w:r>
      <m:oMath>
        <m:r>
          <m:t>19.55</m:t>
        </m:r>
        <m:r>
          <m:t>b</m:t>
        </m:r>
        <m:r>
          <m:t>a</m:t>
        </m:r>
        <m:r>
          <m:t>j</m:t>
        </m:r>
        <m:r>
          <m:t>o</m:t>
        </m:r>
        <m:r>
          <m:rPr>
            <m:sty m:val="p"/>
          </m:rPr>
          <m:t>/</m:t>
        </m:r>
        <m:r>
          <m:t>C</m:t>
        </m:r>
      </m:oMath>
      <w:r>
        <w:rPr>
          <w:bCs/>
          <w:b/>
        </w:rPr>
        <w:t xml:space="preserve">28.02 mediana / C$45.07 alto por hora</w:t>
      </w:r>
      <w:r>
        <w:t xml:space="preserve">. Job Bank indica que la tabla se actualizó el</w:t>
      </w:r>
      <w:r>
        <w:t xml:space="preserve"> </w:t>
      </w:r>
      <w:r>
        <w:rPr>
          <w:bCs/>
          <w:b/>
        </w:rPr>
        <w:t xml:space="preserve">19 de noviembre de 2025</w:t>
      </w:r>
      <w:r>
        <w:t xml:space="preserve">, utiliza un</w:t>
      </w:r>
      <w:r>
        <w:t xml:space="preserve"> </w:t>
      </w:r>
      <w:r>
        <w:rPr>
          <w:bCs/>
          <w:b/>
        </w:rPr>
        <w:t xml:space="preserve">período de referencia 2023–2024</w:t>
      </w:r>
      <w:r>
        <w:t xml:space="preserve"> </w:t>
      </w:r>
      <w:r>
        <w:t xml:space="preserve">y se basa en la Labour Force Survey de Statistics Canada.</w:t>
      </w:r>
    </w:p>
    <w:bookmarkEnd w:id="35"/>
    <w:bookmarkStart w:id="36" w:name="canadá--nómina"/>
    <w:p>
      <w:pPr>
        <w:pStyle w:val="Heading3"/>
      </w:pPr>
      <w:r>
        <w:t xml:space="preserve">Canadá — nómina</w:t>
      </w:r>
    </w:p>
    <w:p>
      <w:pPr>
        <w:pStyle w:val="FirstParagraph"/>
      </w:pPr>
      <w:r>
        <w:t xml:space="preserve">Job Bank del Gobierno de Canadá asigna la administración de nómina a</w:t>
      </w:r>
      <w:r>
        <w:t xml:space="preserve"> </w:t>
      </w:r>
      <w:r>
        <w:rPr>
          <w:bCs/>
          <w:b/>
        </w:rPr>
        <w:t xml:space="preserve">NOC 13102</w:t>
      </w:r>
      <w:r>
        <w:t xml:space="preserve">. La tabla salarial nacional revisada para esta edición reporta</w:t>
      </w:r>
      <w:r>
        <w:t xml:space="preserve"> </w:t>
      </w:r>
      <w:r>
        <w:rPr>
          <w:bCs/>
          <w:b/>
        </w:rPr>
        <w:t xml:space="preserve">C</w:t>
      </w:r>
      <m:oMath>
        <m:r>
          <m:t>20.00</m:t>
        </m:r>
        <m:r>
          <m:t>b</m:t>
        </m:r>
        <m:r>
          <m:t>a</m:t>
        </m:r>
        <m:r>
          <m:t>j</m:t>
        </m:r>
        <m:r>
          <m:t>o</m:t>
        </m:r>
        <m:r>
          <m:rPr>
            <m:sty m:val="p"/>
          </m:rPr>
          <m:t>/</m:t>
        </m:r>
        <m:r>
          <m:t>C</m:t>
        </m:r>
      </m:oMath>
      <w:r>
        <w:rPr>
          <w:bCs/>
          <w:b/>
        </w:rPr>
        <w:t xml:space="preserve">30.00 mediana / C$43.27 alto por hora</w:t>
      </w:r>
      <w:r>
        <w:t xml:space="preserve">. Job Bank indica que la tabla se actualizó el</w:t>
      </w:r>
      <w:r>
        <w:t xml:space="preserve"> </w:t>
      </w:r>
      <w:r>
        <w:rPr>
          <w:bCs/>
          <w:b/>
        </w:rPr>
        <w:t xml:space="preserve">19 de noviembre de 2025</w:t>
      </w:r>
      <w:r>
        <w:t xml:space="preserve">, utiliza un</w:t>
      </w:r>
      <w:r>
        <w:t xml:space="preserve"> </w:t>
      </w:r>
      <w:r>
        <w:rPr>
          <w:bCs/>
          <w:b/>
        </w:rPr>
        <w:t xml:space="preserve">período de referencia 2023–2024</w:t>
      </w:r>
      <w:r>
        <w:t xml:space="preserve"> </w:t>
      </w:r>
      <w:r>
        <w:t xml:space="preserve">y se basa en la Labour Force Survey de Statistics Canada.</w:t>
      </w:r>
    </w:p>
    <w:bookmarkEnd w:id="36"/>
    <w:bookmarkStart w:id="37" w:name="colombia-y-américa-latina"/>
    <w:p>
      <w:pPr>
        <w:pStyle w:val="Heading3"/>
      </w:pPr>
      <w:r>
        <w:t xml:space="preserve">Colombia y América Latina</w:t>
      </w:r>
    </w:p>
    <w:p>
      <w:pPr>
        <w:pStyle w:val="FirstParagraph"/>
      </w:pPr>
      <w:r>
        <w:t xml:space="preserve">No invente un salario nacional de Especialista en Contabilidad Básica y Nómina cuando no se haya verificado una serie ocupacional directamente comparable. En Colombia, compare vacantes vigentes del Servicio Público de Empleo y de empleadores para títulos reales como auxiliar contable, auxiliar de nómina, analista de nómina, técnico contable, auxiliar administrativo-contable o funciones relacionadas. Registre salario, beneficios, tipo de contrato, ciudad, educación, experiencia, software y funciones.</w:t>
      </w:r>
    </w:p>
    <w:p>
      <w:pPr>
        <w:pStyle w:val="BodyText"/>
      </w:pPr>
      <w:r>
        <w:t xml:space="preserve">En América Latina, las reglas de nómina difieren significativamente según autoridad tributaria, legislación laboral, sistema de seguridad social, prestaciones, moneda, prácticas del empleador y software. Es esencial comparar título y funciones locales.</w:t>
      </w:r>
    </w:p>
    <w:bookmarkEnd w:id="37"/>
    <w:bookmarkStart w:id="38" w:name="X985d7b892ea8bbd50391c761c4f4f00df8b9ca0"/>
    <w:p>
      <w:pPr>
        <w:pStyle w:val="Heading3"/>
      </w:pPr>
      <w:r>
        <w:t xml:space="preserve">Lista de verificación para investigación salarial local</w:t>
      </w:r>
    </w:p>
    <w:p>
      <w:pPr>
        <w:pStyle w:val="FirstParagraph"/>
      </w:pPr>
      <w:r>
        <w:t xml:space="preserve">Para cada ubicación, registre:</w:t>
      </w:r>
    </w:p>
    <w:p>
      <w:pPr>
        <w:numPr>
          <w:ilvl w:val="0"/>
          <w:numId w:val="1010"/>
        </w:numPr>
        <w:pStyle w:val="Compact"/>
      </w:pPr>
      <w:r>
        <w:t xml:space="preserve">título exacto y funciones;</w:t>
      </w:r>
    </w:p>
    <w:p>
      <w:pPr>
        <w:numPr>
          <w:ilvl w:val="0"/>
          <w:numId w:val="1010"/>
        </w:numPr>
        <w:pStyle w:val="Compact"/>
      </w:pPr>
      <w:r>
        <w:t xml:space="preserve">empleador y sector;</w:t>
      </w:r>
    </w:p>
    <w:p>
      <w:pPr>
        <w:numPr>
          <w:ilvl w:val="0"/>
          <w:numId w:val="1010"/>
        </w:numPr>
        <w:pStyle w:val="Compact"/>
      </w:pPr>
      <w:r>
        <w:t xml:space="preserve">fecha de publicación;</w:t>
      </w:r>
    </w:p>
    <w:p>
      <w:pPr>
        <w:numPr>
          <w:ilvl w:val="0"/>
          <w:numId w:val="1010"/>
        </w:numPr>
        <w:pStyle w:val="Compact"/>
      </w:pPr>
      <w:r>
        <w:t xml:space="preserve">salario base por hora, mes o año;</w:t>
      </w:r>
    </w:p>
    <w:p>
      <w:pPr>
        <w:numPr>
          <w:ilvl w:val="0"/>
          <w:numId w:val="1010"/>
        </w:numPr>
        <w:pStyle w:val="Compact"/>
      </w:pPr>
      <w:r>
        <w:t xml:space="preserve">horas extra, bonificación, comisión, recargo u otra compensación variable;</w:t>
      </w:r>
    </w:p>
    <w:p>
      <w:pPr>
        <w:numPr>
          <w:ilvl w:val="0"/>
          <w:numId w:val="1010"/>
        </w:numPr>
        <w:pStyle w:val="Compact"/>
      </w:pPr>
      <w:r>
        <w:t xml:space="preserve">condición de empleo y horas;</w:t>
      </w:r>
    </w:p>
    <w:p>
      <w:pPr>
        <w:numPr>
          <w:ilvl w:val="0"/>
          <w:numId w:val="1010"/>
        </w:numPr>
        <w:pStyle w:val="Compact"/>
      </w:pPr>
      <w:r>
        <w:t xml:space="preserve">educación, credencial, software y experiencia requeridos;</w:t>
      </w:r>
    </w:p>
    <w:p>
      <w:pPr>
        <w:numPr>
          <w:ilvl w:val="0"/>
          <w:numId w:val="1010"/>
        </w:numPr>
        <w:pStyle w:val="Compact"/>
      </w:pPr>
      <w:r>
        <w:t xml:space="preserve">beneficios, jubilación, licencias, apoyo educativo y costos no remunerados requeridos; y</w:t>
      </w:r>
    </w:p>
    <w:p>
      <w:pPr>
        <w:numPr>
          <w:ilvl w:val="0"/>
          <w:numId w:val="1010"/>
        </w:numPr>
        <w:pStyle w:val="Compact"/>
      </w:pPr>
      <w:r>
        <w:t xml:space="preserve">si la función incluye cierres de mes, temporada tributaria, trabajo nocturno, fines de semana o disponibilidad de guardia.</w:t>
      </w:r>
    </w:p>
    <w:bookmarkEnd w:id="38"/>
    <w:bookmarkEnd w:id="39"/>
    <w:bookmarkStart w:id="45" w:name="Xf4f67b1240ef4303d7f8c0dab878073022503d3"/>
    <w:p>
      <w:pPr>
        <w:pStyle w:val="Heading2"/>
      </w:pPr>
      <w:r>
        <w:t xml:space="preserve">7. Educación y credenciales</w:t>
      </w:r>
    </w:p>
    <w:bookmarkStart w:id="40" w:name="X64551719247d219d01660c5462f8f3141253b53"/>
    <w:p>
      <w:pPr>
        <w:pStyle w:val="Heading3"/>
      </w:pPr>
      <w:r>
        <w:t xml:space="preserve">Rutas de contabilidad básica en Estados Unidos</w:t>
      </w:r>
    </w:p>
    <w:p>
      <w:pPr>
        <w:pStyle w:val="FirstParagraph"/>
      </w:pPr>
      <w:r>
        <w:t xml:space="preserve">BLS indica que los requisitos de entrada varían. Algunos empleadores exigen o prefieren cursos universitarios o un título en contabilidad o un campo relacionado; otros contratan personas con diploma de secundaria y ofrecen capacitación en el trabajo. La preparación útil puede incluir fundamentos contables, hojas de cálculo, conciliación, controles internos, cuentas por pagar y cobrar, fundamentos de nómina, software contable y comunicación empresarial.</w:t>
      </w:r>
    </w:p>
    <w:p>
      <w:pPr>
        <w:pStyle w:val="BodyText"/>
      </w:pPr>
      <w:r>
        <w:t xml:space="preserve">Las credenciales privadas de contabilidad básica pueden resultar útiles para algunos empleadores, pero esta guía no las trata como licencias gubernamentales ni como requisitos universales de contratación. Verifique la expectativa del empleador antes de pagar.</w:t>
      </w:r>
    </w:p>
    <w:bookmarkEnd w:id="40"/>
    <w:bookmarkStart w:id="41" w:name="rutas-de-nómina-en-estados-unidos"/>
    <w:p>
      <w:pPr>
        <w:pStyle w:val="Heading3"/>
      </w:pPr>
      <w:r>
        <w:t xml:space="preserve">Rutas de nómina en Estados Unidos</w:t>
      </w:r>
    </w:p>
    <w:p>
      <w:pPr>
        <w:pStyle w:val="FirstParagraph"/>
      </w:pPr>
      <w:r>
        <w:t xml:space="preserve">PayrollOrg ofrece credenciales del sector, entre ellas</w:t>
      </w:r>
      <w:r>
        <w:t xml:space="preserve"> </w:t>
      </w:r>
      <w:r>
        <w:rPr>
          <w:bCs/>
          <w:b/>
        </w:rPr>
        <w:t xml:space="preserve">Fundamental Payroll Certification (FPC)</w:t>
      </w:r>
      <w:r>
        <w:t xml:space="preserve"> </w:t>
      </w:r>
      <w:r>
        <w:t xml:space="preserve">y</w:t>
      </w:r>
      <w:r>
        <w:t xml:space="preserve"> </w:t>
      </w:r>
      <w:r>
        <w:rPr>
          <w:bCs/>
          <w:b/>
        </w:rPr>
        <w:t xml:space="preserve">Certified Payroll Professional (CPP)</w:t>
      </w:r>
      <w:r>
        <w:t xml:space="preserve">. PayrollOrg describe FPC como una credencial fundamental de nómina e indica que no se exige experiencia en nómina para presentar el examen FPC. CPP es una credencial avanzada con requisitos de elegibilidad definidos por PayrollOrg.</w:t>
      </w:r>
    </w:p>
    <w:p>
      <w:pPr>
        <w:pStyle w:val="BodyText"/>
      </w:pPr>
      <w:r>
        <w:t xml:space="preserve">Estas credenciales son certificaciones de la industria, no licencias gubernamentales. Verifique directamente con PayrollOrg la elegibilidad vigente, costos, temarios, requisitos de recertificación y valor para el empleador antes de pagar.</w:t>
      </w:r>
    </w:p>
    <w:bookmarkEnd w:id="41"/>
    <w:bookmarkStart w:id="42" w:name="canadá"/>
    <w:p>
      <w:pPr>
        <w:pStyle w:val="Heading3"/>
      </w:pPr>
      <w:r>
        <w:t xml:space="preserve">Canadá</w:t>
      </w:r>
    </w:p>
    <w:p>
      <w:pPr>
        <w:pStyle w:val="FirstParagraph"/>
      </w:pPr>
      <w:r>
        <w:t xml:space="preserve">Job Bank asigna la contabilidad básica a NOC 12200 y la administración de nómina a NOC 13102. Estos perfiles describen preparación nacional habitual, no un requisito idéntico para cada empleador. Verifique requisitos exactos de empleador, provincia, idioma, software y experiencia.</w:t>
      </w:r>
    </w:p>
    <w:bookmarkEnd w:id="42"/>
    <w:bookmarkStart w:id="43" w:name="colombia"/>
    <w:p>
      <w:pPr>
        <w:pStyle w:val="Heading3"/>
      </w:pPr>
      <w:r>
        <w:t xml:space="preserve">Colombia</w:t>
      </w:r>
    </w:p>
    <w:p>
      <w:pPr>
        <w:pStyle w:val="FirstParagraph"/>
      </w:pPr>
      <w:r>
        <w:t xml:space="preserve">SENA ofrece tanto programas contables de mayor duración como cursos complementarios más breves. Ejemplos vigentes revisados para esta guía incluyen:</w:t>
      </w:r>
    </w:p>
    <w:p>
      <w:pPr>
        <w:numPr>
          <w:ilvl w:val="0"/>
          <w:numId w:val="1011"/>
        </w:numPr>
        <w:pStyle w:val="Compact"/>
      </w:pPr>
      <w:r>
        <w:rPr>
          <w:rStyle w:val="VerbatimChar"/>
        </w:rPr>
        <w:t xml:space="preserve">Contabilización de operaciones comerciales y financieras</w:t>
      </w:r>
      <w:r>
        <w:t xml:space="preserve"> </w:t>
      </w:r>
      <w:r>
        <w:t xml:space="preserve">— programa técnico;</w:t>
      </w:r>
    </w:p>
    <w:p>
      <w:pPr>
        <w:numPr>
          <w:ilvl w:val="0"/>
          <w:numId w:val="1011"/>
        </w:numPr>
        <w:pStyle w:val="Compact"/>
      </w:pPr>
      <w:r>
        <w:rPr>
          <w:rStyle w:val="VerbatimChar"/>
        </w:rPr>
        <w:t xml:space="preserve">Gestión contable y de información financiera</w:t>
      </w:r>
      <w:r>
        <w:t xml:space="preserve"> </w:t>
      </w:r>
      <w:r>
        <w:t xml:space="preserve">— programa tecnólogo;</w:t>
      </w:r>
    </w:p>
    <w:p>
      <w:pPr>
        <w:numPr>
          <w:ilvl w:val="0"/>
          <w:numId w:val="1011"/>
        </w:numPr>
        <w:pStyle w:val="Compact"/>
      </w:pPr>
      <w:r>
        <w:rPr>
          <w:rStyle w:val="VerbatimChar"/>
        </w:rPr>
        <w:t xml:space="preserve">Diseño, liquidación y pago de nómina</w:t>
      </w:r>
      <w:r>
        <w:t xml:space="preserve"> </w:t>
      </w:r>
      <w:r>
        <w:t xml:space="preserve">— curso complementario de 48 horas; y</w:t>
      </w:r>
    </w:p>
    <w:p>
      <w:pPr>
        <w:numPr>
          <w:ilvl w:val="0"/>
          <w:numId w:val="1011"/>
        </w:numPr>
        <w:pStyle w:val="Compact"/>
      </w:pPr>
      <w:r>
        <w:rPr>
          <w:rStyle w:val="VerbatimChar"/>
        </w:rPr>
        <w:t xml:space="preserve">Básico de contabilidad costos y presupuestos</w:t>
      </w:r>
      <w:r>
        <w:t xml:space="preserve"> </w:t>
      </w:r>
      <w:r>
        <w:t xml:space="preserve">— curso complementario de 40 horas.</w:t>
      </w:r>
    </w:p>
    <w:p>
      <w:pPr>
        <w:pStyle w:val="FirstParagraph"/>
      </w:pPr>
      <w:r>
        <w:t xml:space="preserve">La disponibilidad, modalidad, ubicación, fechas de inscripción y requisitos cambian. Un curso complementario corto puede desarrollar habilidades, pero no equivale automáticamente a una titulación técnica o tecnológica completa.</w:t>
      </w:r>
    </w:p>
    <w:bookmarkEnd w:id="43"/>
    <w:bookmarkStart w:id="44" w:name="américa-latina"/>
    <w:p>
      <w:pPr>
        <w:pStyle w:val="Heading3"/>
      </w:pPr>
      <w:r>
        <w:t xml:space="preserve">América Latina</w:t>
      </w:r>
    </w:p>
    <w:p>
      <w:pPr>
        <w:pStyle w:val="FirstParagraph"/>
      </w:pPr>
      <w:r>
        <w:t xml:space="preserve">No asuma que una credencial de Estados Unidos, Canadá o Colombia se transfiere automáticamente a otro país. Verifique legislación laboral, tributaria, de seguridad social, contabilidad, ejercicio profesional, protección de datos y requisitos del empleador antes de pagar o afirmar una calificación.</w:t>
      </w:r>
    </w:p>
    <w:bookmarkEnd w:id="44"/>
    <w:bookmarkEnd w:id="45"/>
    <w:bookmarkStart w:id="50" w:name="X8776f0ef7b2d0561eb2c0fda239ee2e4d2168cb"/>
    <w:p>
      <w:pPr>
        <w:pStyle w:val="Heading2"/>
      </w:pPr>
      <w:r>
        <w:t xml:space="preserve">8. Capacitación gratuita o de bajo costo, financiamiento, becas y apoyo del empleador</w:t>
      </w:r>
    </w:p>
    <w:p>
      <w:pPr>
        <w:pStyle w:val="FirstParagraph"/>
      </w:pPr>
      <w:r>
        <w:t xml:space="preserve">Use una secuencia de</w:t>
      </w:r>
      <w:r>
        <w:t xml:space="preserve"> </w:t>
      </w:r>
      <w:r>
        <w:rPr>
          <w:bCs/>
          <w:b/>
        </w:rPr>
        <w:t xml:space="preserve">primero lo gratuito</w:t>
      </w:r>
      <w:r>
        <w:t xml:space="preserve">:</w:t>
      </w:r>
    </w:p>
    <w:p>
      <w:pPr>
        <w:numPr>
          <w:ilvl w:val="0"/>
          <w:numId w:val="1012"/>
        </w:numPr>
        <w:pStyle w:val="Compact"/>
      </w:pPr>
      <w:r>
        <w:t xml:space="preserve">Aprenda el trabajo mediante bibliotecas públicas, tutoriales oficiales, cursos abiertos, materiales del empleador y recursos confiables sin fines de lucro.</w:t>
      </w:r>
    </w:p>
    <w:p>
      <w:pPr>
        <w:numPr>
          <w:ilvl w:val="0"/>
          <w:numId w:val="1012"/>
        </w:numPr>
        <w:pStyle w:val="Compact"/>
      </w:pPr>
      <w:r>
        <w:t xml:space="preserve">Identifique el requisito exacto del empleador antes de comprar una credencial.</w:t>
      </w:r>
    </w:p>
    <w:p>
      <w:pPr>
        <w:numPr>
          <w:ilvl w:val="0"/>
          <w:numId w:val="1012"/>
        </w:numPr>
        <w:pStyle w:val="Compact"/>
      </w:pPr>
      <w:r>
        <w:t xml:space="preserve">Busque financiamiento público para fuerza laboral y opciones pagadas por el empleador antes de pagar personalmente.</w:t>
      </w:r>
    </w:p>
    <w:p>
      <w:pPr>
        <w:numPr>
          <w:ilvl w:val="0"/>
          <w:numId w:val="1012"/>
        </w:numPr>
        <w:pStyle w:val="Compact"/>
      </w:pPr>
      <w:r>
        <w:t xml:space="preserve">Compare community colleges, instituciones técnicas, universidades públicas, SENA o formación pública equivalente, proveedores sin fines de lucro aprobados y aprendizaje basado en el trabajo.</w:t>
      </w:r>
    </w:p>
    <w:p>
      <w:pPr>
        <w:numPr>
          <w:ilvl w:val="0"/>
          <w:numId w:val="1012"/>
        </w:numPr>
        <w:pStyle w:val="Compact"/>
      </w:pPr>
      <w:r>
        <w:t xml:space="preserve">Pague solo cuando el programa produzca un siguiente paso verificado, como crédito transferible, elegibilidad para examen, reconocimiento documentado del empleador o una brecha de habilidades específica que haya confirmado.</w:t>
      </w:r>
    </w:p>
    <w:bookmarkStart w:id="46" w:name="X29627495ea35566f57e8cc1c5fcea783dfc57e4"/>
    <w:p>
      <w:pPr>
        <w:pStyle w:val="Heading3"/>
      </w:pPr>
      <w:r>
        <w:t xml:space="preserve">Rutas de financiamiento en Estados Unidos</w:t>
      </w:r>
    </w:p>
    <w:p>
      <w:pPr>
        <w:pStyle w:val="FirstParagraph"/>
      </w:pPr>
      <w:r>
        <w:t xml:space="preserve">Según elegibilidad y ubicación, revise:</w:t>
      </w:r>
    </w:p>
    <w:p>
      <w:pPr>
        <w:numPr>
          <w:ilvl w:val="0"/>
          <w:numId w:val="1013"/>
        </w:numPr>
        <w:pStyle w:val="Compact"/>
      </w:pPr>
      <w:r>
        <w:t xml:space="preserve">American Job Centers y servicios bajo Workforce Innovation and Opportunity Act;</w:t>
      </w:r>
    </w:p>
    <w:p>
      <w:pPr>
        <w:numPr>
          <w:ilvl w:val="0"/>
          <w:numId w:val="1013"/>
        </w:numPr>
        <w:pStyle w:val="Compact"/>
      </w:pPr>
      <w:r>
        <w:t xml:space="preserve">programas estatales de empleo y rehabilitación vocacional;</w:t>
      </w:r>
    </w:p>
    <w:p>
      <w:pPr>
        <w:numPr>
          <w:ilvl w:val="0"/>
          <w:numId w:val="1013"/>
        </w:numPr>
        <w:pStyle w:val="Compact"/>
      </w:pPr>
      <w:r>
        <w:t xml:space="preserve">subvenciones, becas y ayuda institucional de community colleges;</w:t>
      </w:r>
    </w:p>
    <w:p>
      <w:pPr>
        <w:numPr>
          <w:ilvl w:val="0"/>
          <w:numId w:val="1013"/>
        </w:numPr>
        <w:pStyle w:val="Compact"/>
      </w:pPr>
      <w:r>
        <w:t xml:space="preserve">elegibilidad para Federal Student Aid en programas e instituciones que califiquen;</w:t>
      </w:r>
    </w:p>
    <w:p>
      <w:pPr>
        <w:numPr>
          <w:ilvl w:val="0"/>
          <w:numId w:val="1013"/>
        </w:numPr>
        <w:pStyle w:val="Compact"/>
      </w:pPr>
      <w:r>
        <w:t xml:space="preserve">ayuda educativa o capacitación pagada directamente por el empleador;</w:t>
      </w:r>
    </w:p>
    <w:p>
      <w:pPr>
        <w:numPr>
          <w:ilvl w:val="0"/>
          <w:numId w:val="1013"/>
        </w:numPr>
        <w:pStyle w:val="Compact"/>
      </w:pPr>
      <w:r>
        <w:t xml:space="preserve">becas de asociaciones profesionales cuando existan; y</w:t>
      </w:r>
    </w:p>
    <w:p>
      <w:pPr>
        <w:numPr>
          <w:ilvl w:val="0"/>
          <w:numId w:val="1013"/>
        </w:numPr>
        <w:pStyle w:val="Compact"/>
      </w:pPr>
      <w:r>
        <w:t xml:space="preserve">Registered Apprenticeship u otras formas de aprendizaje remunerado basado en el trabajo cuando estén verificadas.</w:t>
      </w:r>
    </w:p>
    <w:p>
      <w:pPr>
        <w:pStyle w:val="FirstParagraph"/>
      </w:pPr>
      <w:r>
        <w:t xml:space="preserve">La disponibilidad de financiamiento cambia. Verifique elegibilidad, costos cubiertos, consecuencias tributarias, reglas de reembolso y si la capacitación es reconocida para la función prevista.</w:t>
      </w:r>
    </w:p>
    <w:bookmarkEnd w:id="46"/>
    <w:bookmarkStart w:id="47" w:name="X901c2f0df49529a9b14a23779759ec4a131bdd1"/>
    <w:p>
      <w:pPr>
        <w:pStyle w:val="Heading3"/>
      </w:pPr>
      <w:r>
        <w:t xml:space="preserve">Asistencia educativa del empleador en Estados Unidos</w:t>
      </w:r>
    </w:p>
    <w:p>
      <w:pPr>
        <w:pStyle w:val="FirstParagraph"/>
      </w:pPr>
      <w:r>
        <w:t xml:space="preserve">La orientación del IRS de abril de 2026 indica que, bajo un programa escrito calificado de asistencia educativa de la Sección 127, hasta</w:t>
      </w:r>
      <w:r>
        <w:t xml:space="preserve"> </w:t>
      </w:r>
      <w:r>
        <w:rPr>
          <w:bCs/>
          <w:b/>
        </w:rPr>
        <w:t xml:space="preserve">US$5,250</w:t>
      </w:r>
      <w:r>
        <w:t xml:space="preserve"> </w:t>
      </w:r>
      <w:r>
        <w:t xml:space="preserve">de asistencia educativa elegible puede excluirse del ingreso bruto durante los años calendario 2025 y 2026. Los planes del empleador pueden variar en elegibilidad, gastos cubiertos, pago directo frente a reembolso, calificaciones, requisitos de permanencia, reglas de reembolso y plazos.</w:t>
      </w:r>
    </w:p>
    <w:p>
      <w:pPr>
        <w:pStyle w:val="BodyText"/>
      </w:pPr>
      <w:r>
        <w:t xml:space="preserve">No dependa de una afirmación genérica de que una obligación laboral dura una cantidad determinada de años. Obtenga el plan y acuerdo escritos reales del empleador.</w:t>
      </w:r>
    </w:p>
    <w:bookmarkEnd w:id="47"/>
    <w:bookmarkStart w:id="48" w:name="canadá-1"/>
    <w:p>
      <w:pPr>
        <w:pStyle w:val="Heading3"/>
      </w:pPr>
      <w:r>
        <w:t xml:space="preserve">Canadá</w:t>
      </w:r>
    </w:p>
    <w:p>
      <w:pPr>
        <w:pStyle w:val="FirstParagraph"/>
      </w:pPr>
      <w:r>
        <w:t xml:space="preserve">Revise programas provinciales o territoriales de empleo y capacitación, instituciones públicas, aprendizaje pagado por el empleador, becas y apoyos, organizaciones de empleo y capacitación para personas recién llegadas o pueblos indígenas cuando corresponda y aprendizaje integrado al trabajo. Confirme elegibilidad vigente y reconocimiento del empleador.</w:t>
      </w:r>
    </w:p>
    <w:bookmarkEnd w:id="48"/>
    <w:bookmarkStart w:id="49" w:name="colombia-1"/>
    <w:p>
      <w:pPr>
        <w:pStyle w:val="Heading3"/>
      </w:pPr>
      <w:r>
        <w:t xml:space="preserve">Colombia</w:t>
      </w:r>
    </w:p>
    <w:p>
      <w:pPr>
        <w:pStyle w:val="FirstParagraph"/>
      </w:pPr>
      <w:r>
        <w:t xml:space="preserve">Revise ofertas vigentes de SENA, rutas de capacitación y vacantes del Servicio Público de Empleo, cajas de compensación cuando exista elegibilidad, capacitación del empleador, educación continua pública o universitaria y programas comunitarios confiables. Que una opción sea gratuita o pública no significa automáticamente que sea adecuada; verifique pertinencia ocupacional y nivel del programa.</w:t>
      </w:r>
    </w:p>
    <w:bookmarkEnd w:id="49"/>
    <w:bookmarkEnd w:id="50"/>
    <w:bookmarkStart w:id="51" w:name="Xf88262dbedc53efd3df09afb6982c4ec6ef3cbb"/>
    <w:p>
      <w:pPr>
        <w:pStyle w:val="Heading2"/>
      </w:pPr>
      <w:r>
        <w:t xml:space="preserve">9. Aprendizajes, formación basada en el trabajo y rutas de crecimiento</w:t>
      </w:r>
    </w:p>
    <w:p>
      <w:pPr>
        <w:pStyle w:val="FirstParagraph"/>
      </w:pPr>
      <w:r>
        <w:t xml:space="preserve">No asuma que la palabra</w:t>
      </w:r>
      <w:r>
        <w:t xml:space="preserve"> </w:t>
      </w:r>
      <w:r>
        <w:rPr>
          <w:rStyle w:val="VerbatimChar"/>
        </w:rPr>
        <w:t xml:space="preserve">apprenticeship</w:t>
      </w:r>
      <w:r>
        <w:t xml:space="preserve"> </w:t>
      </w:r>
      <w:r>
        <w:t xml:space="preserve">o aprendizaje tiene el mismo significado en todos los países.</w:t>
      </w:r>
    </w:p>
    <w:p>
      <w:pPr>
        <w:pStyle w:val="BodyText"/>
      </w:pPr>
      <w:r>
        <w:t xml:space="preserve">En Estados Unidos, use Apprenticeship.gov y la autoridad de registro responsable para verificar si un programa que afirma ser Registered Apprenticeship está realmente registrado. Busque títulos relacionados como bookkeeping, accounting technician, payroll, financial clerk, business administration o accounting assistant. La disponibilidad varía según ubicación y empleador.</w:t>
      </w:r>
    </w:p>
    <w:p>
      <w:pPr>
        <w:pStyle w:val="BodyText"/>
      </w:pPr>
      <w:r>
        <w:t xml:space="preserve">Para cualquier programa basado en el trabajo, verifique:</w:t>
      </w:r>
    </w:p>
    <w:p>
      <w:pPr>
        <w:numPr>
          <w:ilvl w:val="0"/>
          <w:numId w:val="1014"/>
        </w:numPr>
        <w:pStyle w:val="Compact"/>
      </w:pPr>
      <w:r>
        <w:t xml:space="preserve">si es remunerado o no;</w:t>
      </w:r>
    </w:p>
    <w:p>
      <w:pPr>
        <w:numPr>
          <w:ilvl w:val="0"/>
          <w:numId w:val="1014"/>
        </w:numPr>
        <w:pStyle w:val="Compact"/>
      </w:pPr>
      <w:r>
        <w:t xml:space="preserve">clasificación como empleado o estudiante;</w:t>
      </w:r>
    </w:p>
    <w:p>
      <w:pPr>
        <w:numPr>
          <w:ilvl w:val="0"/>
          <w:numId w:val="1014"/>
        </w:numPr>
        <w:pStyle w:val="Compact"/>
      </w:pPr>
      <w:r>
        <w:t xml:space="preserve">salario y progresión salarial;</w:t>
      </w:r>
    </w:p>
    <w:p>
      <w:pPr>
        <w:numPr>
          <w:ilvl w:val="0"/>
          <w:numId w:val="1014"/>
        </w:numPr>
        <w:pStyle w:val="Compact"/>
      </w:pPr>
      <w:r>
        <w:t xml:space="preserve">supervisión;</w:t>
      </w:r>
    </w:p>
    <w:p>
      <w:pPr>
        <w:numPr>
          <w:ilvl w:val="0"/>
          <w:numId w:val="1014"/>
        </w:numPr>
        <w:pStyle w:val="Compact"/>
      </w:pPr>
      <w:r>
        <w:t xml:space="preserve">instrucción relacionada;</w:t>
      </w:r>
    </w:p>
    <w:p>
      <w:pPr>
        <w:numPr>
          <w:ilvl w:val="0"/>
          <w:numId w:val="1014"/>
        </w:numPr>
        <w:pStyle w:val="Compact"/>
      </w:pPr>
      <w:r>
        <w:t xml:space="preserve">horas documentadas;</w:t>
      </w:r>
    </w:p>
    <w:p>
      <w:pPr>
        <w:numPr>
          <w:ilvl w:val="0"/>
          <w:numId w:val="1014"/>
        </w:numPr>
        <w:pStyle w:val="Compact"/>
      </w:pPr>
      <w:r>
        <w:t xml:space="preserve">compensación laboral y seguro;</w:t>
      </w:r>
    </w:p>
    <w:p>
      <w:pPr>
        <w:numPr>
          <w:ilvl w:val="0"/>
          <w:numId w:val="1014"/>
        </w:numPr>
        <w:pStyle w:val="Compact"/>
      </w:pPr>
      <w:r>
        <w:t xml:space="preserve">crédito académico o credencial;</w:t>
      </w:r>
    </w:p>
    <w:p>
      <w:pPr>
        <w:numPr>
          <w:ilvl w:val="0"/>
          <w:numId w:val="1014"/>
        </w:numPr>
        <w:pStyle w:val="Compact"/>
      </w:pPr>
      <w:r>
        <w:t xml:space="preserve">portabilidad; y</w:t>
      </w:r>
    </w:p>
    <w:p>
      <w:pPr>
        <w:numPr>
          <w:ilvl w:val="0"/>
          <w:numId w:val="1014"/>
        </w:numPr>
        <w:pStyle w:val="Compact"/>
      </w:pPr>
      <w:r>
        <w:t xml:space="preserve">qué ocurre si el empleador termina el programa.</w:t>
      </w:r>
    </w:p>
    <w:p>
      <w:pPr>
        <w:pStyle w:val="FirstParagraph"/>
      </w:pPr>
      <w:r>
        <w:t xml:space="preserve">En Canadá y América Latina, evalúe aprendizajes, prácticas, pasantías, educación cooperativa, puestos de aprendiz y programas puente del empleador según su verdadero estatus legal y educativo.</w:t>
      </w:r>
    </w:p>
    <w:bookmarkEnd w:id="51"/>
    <w:bookmarkStart w:id="52" w:name="Xb556194b94943ad77140de086790e3e5eea201c"/>
    <w:p>
      <w:pPr>
        <w:pStyle w:val="Heading2"/>
      </w:pPr>
      <w:r>
        <w:t xml:space="preserve">10. Aprendizaje financiado por el empleador y acuerdos de reembolso</w:t>
      </w:r>
    </w:p>
    <w:p>
      <w:pPr>
        <w:pStyle w:val="FirstParagraph"/>
      </w:pPr>
      <w:r>
        <w:t xml:space="preserve">Los empleadores pueden ofrecer capacitación pagada directamente, reembolso de matrícula, costos de certificación, tiempo de estudio pagado, mentoría, capacitación en software, becas o asistencia educativa condonable.</w:t>
      </w:r>
    </w:p>
    <w:p>
      <w:pPr>
        <w:pStyle w:val="BodyText"/>
      </w:pPr>
      <w:r>
        <w:t xml:space="preserve">Antes de aceptar apoyo, obtenga por escrito condiciones que cubran:</w:t>
      </w:r>
    </w:p>
    <w:p>
      <w:pPr>
        <w:numPr>
          <w:ilvl w:val="0"/>
          <w:numId w:val="1015"/>
        </w:numPr>
        <w:pStyle w:val="Compact"/>
      </w:pPr>
      <w:r>
        <w:t xml:space="preserve">gastos cubiertos y monto máximo;</w:t>
      </w:r>
    </w:p>
    <w:p>
      <w:pPr>
        <w:numPr>
          <w:ilvl w:val="0"/>
          <w:numId w:val="1015"/>
        </w:numPr>
        <w:pStyle w:val="Compact"/>
      </w:pPr>
      <w:r>
        <w:t xml:space="preserve">pago directo frente a reembolso;</w:t>
      </w:r>
    </w:p>
    <w:p>
      <w:pPr>
        <w:numPr>
          <w:ilvl w:val="0"/>
          <w:numId w:val="1015"/>
        </w:numPr>
        <w:pStyle w:val="Compact"/>
      </w:pPr>
      <w:r>
        <w:t xml:space="preserve">requisitos de nota, examen, asistencia o desempeño;</w:t>
      </w:r>
    </w:p>
    <w:p>
      <w:pPr>
        <w:numPr>
          <w:ilvl w:val="0"/>
          <w:numId w:val="1015"/>
        </w:numPr>
        <w:pStyle w:val="Compact"/>
      </w:pPr>
      <w:r>
        <w:t xml:space="preserve">período de empleo obligatorio, si existe;</w:t>
      </w:r>
    </w:p>
    <w:p>
      <w:pPr>
        <w:numPr>
          <w:ilvl w:val="0"/>
          <w:numId w:val="1015"/>
        </w:numPr>
        <w:pStyle w:val="Compact"/>
      </w:pPr>
      <w:r>
        <w:t xml:space="preserve">cuándo comienza cualquier período de permanencia;</w:t>
      </w:r>
    </w:p>
    <w:p>
      <w:pPr>
        <w:numPr>
          <w:ilvl w:val="0"/>
          <w:numId w:val="1015"/>
        </w:numPr>
        <w:pStyle w:val="Compact"/>
      </w:pPr>
      <w:r>
        <w:t xml:space="preserve">reglas de reembolso proporcional o total;</w:t>
      </w:r>
    </w:p>
    <w:p>
      <w:pPr>
        <w:numPr>
          <w:ilvl w:val="0"/>
          <w:numId w:val="1015"/>
        </w:numPr>
        <w:pStyle w:val="Compact"/>
      </w:pPr>
      <w:r>
        <w:t xml:space="preserve">tratamiento de despido, eliminación del puesto, cierre, discapacidad, activación militar, jubilación, fallecimiento o traslado ordenado por el empleador;</w:t>
      </w:r>
    </w:p>
    <w:p>
      <w:pPr>
        <w:numPr>
          <w:ilvl w:val="0"/>
          <w:numId w:val="1015"/>
        </w:numPr>
        <w:pStyle w:val="Compact"/>
      </w:pPr>
      <w:r>
        <w:t xml:space="preserve">si las deducciones de nómina o del salario final están autorizadas y son legales; y</w:t>
      </w:r>
    </w:p>
    <w:p>
      <w:pPr>
        <w:numPr>
          <w:ilvl w:val="0"/>
          <w:numId w:val="1015"/>
        </w:numPr>
        <w:pStyle w:val="Compact"/>
      </w:pPr>
      <w:r>
        <w:t xml:space="preserve">propiedad de historiales académicos, registros de capacitación, certificados y credenciales.</w:t>
      </w:r>
    </w:p>
    <w:p>
      <w:pPr>
        <w:pStyle w:val="FirstParagraph"/>
      </w:pPr>
      <w:r>
        <w:t xml:space="preserve">No asuma que el reembolso se elimina automáticamente después de un despido o una reestructuración. Obtenga el acuerdo aplicable y busque asesoría calificada cuando las consecuencias financieras sean importantes.</w:t>
      </w:r>
    </w:p>
    <w:bookmarkEnd w:id="52"/>
    <w:bookmarkStart w:id="53" w:name="Xe0a54319314c4b1981d8fd72d94769778715214"/>
    <w:p>
      <w:pPr>
        <w:pStyle w:val="Heading2"/>
      </w:pPr>
      <w:r>
        <w:t xml:space="preserve">11. Accesibilidad e inclusión</w:t>
      </w:r>
    </w:p>
    <w:p>
      <w:pPr>
        <w:pStyle w:val="FirstParagraph"/>
      </w:pPr>
      <w:r>
        <w:t xml:space="preserve">La accesibilidad debe verificarse a lo largo de toda la ruta, no solo durante la admisión.</w:t>
      </w:r>
    </w:p>
    <w:p>
      <w:pPr>
        <w:pStyle w:val="BodyText"/>
      </w:pPr>
      <w:r>
        <w:t xml:space="preserve">Las necesidades pueden incluir documentos accesibles, compatibilidad con lectores de pantalla, subtítulos, intérpretes, entornos tranquilos para examen, horarios flexibles, equipo ergonómico, métodos alternativos de capacitación, acceso de movilidad, transporte accesible, apoyo lingüístico, tiempo adicional de procesamiento cuando esté permitido y adaptaciones relacionadas con discapacidad.</w:t>
      </w:r>
    </w:p>
    <w:p>
      <w:pPr>
        <w:pStyle w:val="BodyText"/>
      </w:pPr>
      <w:r>
        <w:t xml:space="preserve">Una escuela, empleador, organismo certificador, proveedor de exámenes, patrocinador de aprendizaje y agencia pública pueden tener procesos separados de adaptación. Pregunte con suficiente anticipación para entender requisitos documentales y vías de apelación, evitando revelar información innecesaria más allá de lo que exija el proceso.</w:t>
      </w:r>
    </w:p>
    <w:bookmarkEnd w:id="53"/>
    <w:bookmarkStart w:id="54" w:name="Xf3665473d8c5bdfe957e345b4943753d87661df"/>
    <w:p>
      <w:pPr>
        <w:pStyle w:val="Heading2"/>
      </w:pPr>
      <w:r>
        <w:t xml:space="preserve">12. Privacidad, ciberseguridad e IA ética</w:t>
      </w:r>
    </w:p>
    <w:p>
      <w:pPr>
        <w:pStyle w:val="FirstParagraph"/>
      </w:pPr>
      <w:r>
        <w:t xml:space="preserve">Las personas que trabajan en contabilidad básica y nómina pueden manejar información altamente sensible, incluidos datos bancarios, identificadores tributarios, salarios, deducciones, embargos, elecciones de beneficios, direcciones, fechas de nacimiento, facturas, instrucciones de pago, números de cuenta e información financiera empresarial.</w:t>
      </w:r>
    </w:p>
    <w:p>
      <w:pPr>
        <w:pStyle w:val="BodyText"/>
      </w:pPr>
      <w:r>
        <w:t xml:space="preserve">Use solo sistemas, dispositivos, cuentas, almacenamiento, mensajería, métodos de transferencia de archivos y herramientas de IA aprobados por el empleador. Nunca copie registros confidenciales de empleados, nómina, banca, impuestos, proveedores, clientes o empleador en un servicio público de IA salvo que el empleador haya autorizado expresamente tanto el servicio como el uso de esos datos.</w:t>
      </w:r>
    </w:p>
    <w:p>
      <w:pPr>
        <w:pStyle w:val="BodyText"/>
      </w:pPr>
      <w:r>
        <w:t xml:space="preserve">Use autenticación multifactor cuando sea exigida o esté disponible. Proteja contraseñas, identificadores personales, datos bancarios, registros tributarios y credenciales de pago. Trate las solicitudes inesperadas de cambio de destino de pago o cuenta bancaria de empleados como de alto riesgo hasta que se verifiquen mediante canales aprobados.</w:t>
      </w:r>
    </w:p>
    <w:p>
      <w:pPr>
        <w:pStyle w:val="BodyText"/>
      </w:pPr>
      <w:r>
        <w:t xml:space="preserve">La IA puede apoyar redacción genérica, ejercicios de capacitación con datos ficticios, explicación de fórmulas o documentación de flujos cuando esté permitido, pero no debe inventar transacciones, registros de nómina, aprobaciones, conclusiones tributarias, conciliaciones, evidencia de auditoría ni registros de empleados. Verifique la información factual generada por IA antes de utilizarla.</w:t>
      </w:r>
    </w:p>
    <w:bookmarkEnd w:id="54"/>
    <w:bookmarkStart w:id="55" w:name="Xd1e64fa1a67ceb7a50be34fc75be90de800a4cf"/>
    <w:p>
      <w:pPr>
        <w:pStyle w:val="Heading2"/>
      </w:pPr>
      <w:r>
        <w:t xml:space="preserve">13. Construya evidencia de capacidad</w:t>
      </w:r>
    </w:p>
    <w:p>
      <w:pPr>
        <w:pStyle w:val="FirstParagraph"/>
      </w:pPr>
      <w:r>
        <w:t xml:space="preserve">El trabajo de portafolio ético puede demostrar criterio sin exponer datos confidenciales reales. Ejemplos:</w:t>
      </w:r>
    </w:p>
    <w:p>
      <w:pPr>
        <w:numPr>
          <w:ilvl w:val="0"/>
          <w:numId w:val="1016"/>
        </w:numPr>
        <w:pStyle w:val="Compact"/>
      </w:pPr>
      <w:r>
        <w:t xml:space="preserve">una conciliación bancaria ficticia con partidas conciliatorias documentadas;</w:t>
      </w:r>
    </w:p>
    <w:p>
      <w:pPr>
        <w:numPr>
          <w:ilvl w:val="0"/>
          <w:numId w:val="1016"/>
        </w:numPr>
        <w:pStyle w:val="Compact"/>
      </w:pPr>
      <w:r>
        <w:t xml:space="preserve">una lista de cierre mensual ficticia;</w:t>
      </w:r>
    </w:p>
    <w:p>
      <w:pPr>
        <w:numPr>
          <w:ilvl w:val="0"/>
          <w:numId w:val="1016"/>
        </w:numPr>
        <w:pStyle w:val="Compact"/>
      </w:pPr>
      <w:r>
        <w:t xml:space="preserve">asientos contables de ejemplo con requisitos de aprobación y respaldo;</w:t>
      </w:r>
    </w:p>
    <w:p>
      <w:pPr>
        <w:numPr>
          <w:ilvl w:val="0"/>
          <w:numId w:val="1016"/>
        </w:numPr>
        <w:pStyle w:val="Compact"/>
      </w:pPr>
      <w:r>
        <w:t xml:space="preserve">un registro de nómina ficticio y revisión de excepciones;</w:t>
      </w:r>
    </w:p>
    <w:p>
      <w:pPr>
        <w:numPr>
          <w:ilvl w:val="0"/>
          <w:numId w:val="1016"/>
        </w:numPr>
        <w:pStyle w:val="Compact"/>
      </w:pPr>
      <w:r>
        <w:t xml:space="preserve">un recorrido de controles para cambios de datos bancarios de proveedores o empleados;</w:t>
      </w:r>
    </w:p>
    <w:p>
      <w:pPr>
        <w:numPr>
          <w:ilvl w:val="0"/>
          <w:numId w:val="1016"/>
        </w:numPr>
        <w:pStyle w:val="Compact"/>
      </w:pPr>
      <w:r>
        <w:t xml:space="preserve">una hoja de cálculo con fórmulas, validación, comprobaciones de errores y totales de conciliación; y</w:t>
      </w:r>
    </w:p>
    <w:p>
      <w:pPr>
        <w:numPr>
          <w:ilvl w:val="0"/>
          <w:numId w:val="1016"/>
        </w:numPr>
        <w:pStyle w:val="Compact"/>
      </w:pPr>
      <w:r>
        <w:t xml:space="preserve">una comparación de dos rutas de capacitación mediante criterios documentados de costo, reconocimiento y portabilidad.</w:t>
      </w:r>
    </w:p>
    <w:p>
      <w:pPr>
        <w:pStyle w:val="FirstParagraph"/>
      </w:pPr>
      <w:r>
        <w:t xml:space="preserve">Use datos ficticios, públicos o completamente anonimizados. Explique el problema, su función, el proceso, los controles, el resultado y lo aprendido. No muestre material propietario ni presente resultados del equipo como trabajo individual.</w:t>
      </w:r>
    </w:p>
    <w:bookmarkEnd w:id="55"/>
    <w:bookmarkStart w:id="56" w:name="X4d6f3049884af7b8102185f3a1021572a83e00b"/>
    <w:p>
      <w:pPr>
        <w:pStyle w:val="Heading2"/>
      </w:pPr>
      <w:r>
        <w:t xml:space="preserve">14. Preparación para entrevistas</w:t>
      </w:r>
    </w:p>
    <w:p>
      <w:pPr>
        <w:pStyle w:val="FirstParagraph"/>
      </w:pPr>
      <w:r>
        <w:t xml:space="preserve">Prepare ejemplos breves para preguntas como:</w:t>
      </w:r>
    </w:p>
    <w:p>
      <w:pPr>
        <w:numPr>
          <w:ilvl w:val="0"/>
          <w:numId w:val="1017"/>
        </w:numPr>
        <w:pStyle w:val="Compact"/>
      </w:pPr>
      <w:r>
        <w:t xml:space="preserve">¿Cómo investiga una diferencia de conciliación no explicada?</w:t>
      </w:r>
    </w:p>
    <w:p>
      <w:pPr>
        <w:numPr>
          <w:ilvl w:val="0"/>
          <w:numId w:val="1017"/>
        </w:numPr>
        <w:pStyle w:val="Compact"/>
      </w:pPr>
      <w:r>
        <w:t xml:space="preserve">¿Qué controles reducen fraude de nómina o cambios no autorizados?</w:t>
      </w:r>
    </w:p>
    <w:p>
      <w:pPr>
        <w:numPr>
          <w:ilvl w:val="0"/>
          <w:numId w:val="1017"/>
        </w:numPr>
        <w:pStyle w:val="Compact"/>
      </w:pPr>
      <w:r>
        <w:t xml:space="preserve">¿Cómo verifica un cambio en la información bancaria de un empleado?</w:t>
      </w:r>
    </w:p>
    <w:p>
      <w:pPr>
        <w:numPr>
          <w:ilvl w:val="0"/>
          <w:numId w:val="1017"/>
        </w:numPr>
        <w:pStyle w:val="Compact"/>
      </w:pPr>
      <w:r>
        <w:t xml:space="preserve">¿Cómo protege información financiera y laboral confidencial?</w:t>
      </w:r>
    </w:p>
    <w:p>
      <w:pPr>
        <w:numPr>
          <w:ilvl w:val="0"/>
          <w:numId w:val="1017"/>
        </w:numPr>
        <w:pStyle w:val="Compact"/>
      </w:pPr>
      <w:r>
        <w:t xml:space="preserve">¿Qué hace cuando un gerente le pide registrar algo sin respaldo adecuado?</w:t>
      </w:r>
    </w:p>
    <w:p>
      <w:pPr>
        <w:numPr>
          <w:ilvl w:val="0"/>
          <w:numId w:val="1017"/>
        </w:numPr>
        <w:pStyle w:val="Compact"/>
      </w:pPr>
      <w:r>
        <w:t xml:space="preserve">¿Cómo maneja un error de nómina descubierto después del procesamiento?</w:t>
      </w:r>
    </w:p>
    <w:p>
      <w:pPr>
        <w:numPr>
          <w:ilvl w:val="0"/>
          <w:numId w:val="1017"/>
        </w:numPr>
        <w:pStyle w:val="Compact"/>
      </w:pPr>
      <w:r>
        <w:t xml:space="preserve">¿Cómo utiliza automatización sin perder conciencia de los controles?</w:t>
      </w:r>
    </w:p>
    <w:p>
      <w:pPr>
        <w:pStyle w:val="FirstParagraph"/>
      </w:pPr>
      <w:r>
        <w:t xml:space="preserve">Las respuestas sólidas muestran situación, responsabilidad, acción, evidencia, control o límite y resultado. No invente autoridad contable, experiencia tributaria, credenciales, ahorros, hallazgos de fraude ni resultados.</w:t>
      </w:r>
    </w:p>
    <w:bookmarkEnd w:id="56"/>
    <w:bookmarkStart w:id="60" w:name="X7ac1a52aed9056972e2e63d2c4fd437194fff6b"/>
    <w:p>
      <w:pPr>
        <w:pStyle w:val="Heading2"/>
      </w:pPr>
      <w:r>
        <w:t xml:space="preserve">15. Primeros 30, 60 y 90 días</w:t>
      </w:r>
    </w:p>
    <w:bookmarkStart w:id="57" w:name="primeros-30-días"/>
    <w:p>
      <w:pPr>
        <w:pStyle w:val="Heading3"/>
      </w:pPr>
      <w:r>
        <w:t xml:space="preserve">Primeros 30 días</w:t>
      </w:r>
    </w:p>
    <w:p>
      <w:pPr>
        <w:pStyle w:val="FirstParagraph"/>
      </w:pPr>
      <w:r>
        <w:t xml:space="preserve">Aprenda el plan de cuentas, calendario de nómina, matriz de aprobación, sistemas, controles de acceso, clasificación de datos, estándares de conciliación, reglas de retención de registros, procedimientos de escalamiento, adaptaciones y expectativas de calidad. Aclare qué transacciones y cambios puede realizar de forma independiente y cuáles requieren aprobación.</w:t>
      </w:r>
    </w:p>
    <w:bookmarkEnd w:id="57"/>
    <w:bookmarkStart w:id="58" w:name="días-3160"/>
    <w:p>
      <w:pPr>
        <w:pStyle w:val="Heading3"/>
      </w:pPr>
      <w:r>
        <w:t xml:space="preserve">Días 31–60</w:t>
      </w:r>
    </w:p>
    <w:p>
      <w:pPr>
        <w:pStyle w:val="FirstParagraph"/>
      </w:pPr>
      <w:r>
        <w:t xml:space="preserve">Realice trabajo rutinario con la revisión adecuada, mejore la calidad de la documentación, concilie cuentas o controles de nómina asignados, solicite retroalimentación y aprenda patrones comunes de excepción. Evite crear atajos no documentados alrededor de controles del sistema o aprobación.</w:t>
      </w:r>
    </w:p>
    <w:bookmarkEnd w:id="58"/>
    <w:bookmarkStart w:id="59" w:name="días-6190"/>
    <w:p>
      <w:pPr>
        <w:pStyle w:val="Heading3"/>
      </w:pPr>
      <w:r>
        <w:t xml:space="preserve">Días 61–90</w:t>
      </w:r>
    </w:p>
    <w:p>
      <w:pPr>
        <w:pStyle w:val="FirstParagraph"/>
      </w:pPr>
      <w:r>
        <w:t xml:space="preserve">Maneje una carga rutinaria más amplia dentro de su autoridad, identifique una mejora basada en evidencia, documente metas de desarrollo profesional y verifique el siguiente paso de capacitación o credencial antes de pagarlo.</w:t>
      </w:r>
    </w:p>
    <w:bookmarkEnd w:id="59"/>
    <w:bookmarkEnd w:id="60"/>
    <w:bookmarkStart w:id="61" w:name="Xb3dbede1e1e42d7f6b3a2a4b52181f53c9ea050"/>
    <w:p>
      <w:pPr>
        <w:pStyle w:val="Heading2"/>
      </w:pPr>
      <w:r>
        <w:t xml:space="preserve">16. Avance, portabilidad y planificación de salida</w:t>
      </w:r>
    </w:p>
    <w:p>
      <w:pPr>
        <w:pStyle w:val="FirstParagraph"/>
      </w:pPr>
      <w:r>
        <w:t xml:space="preserve">Las rutas posibles incluyen bookkeeper senior, especialista en nómina, analista de nómina, especialista en cuentas por pagar o cobrar, técnico contable, apoyo de contabilidad general, operaciones financieras, administración de beneficios, sistemas de RR. HH./nómina, apoyo de cumplimiento, apoyo de controles internos, administración de oficina o educación adicional en contabilidad, finanzas, negocios, datos o recursos humanos.</w:t>
      </w:r>
    </w:p>
    <w:p>
      <w:pPr>
        <w:pStyle w:val="BodyText"/>
      </w:pPr>
      <w:r>
        <w:t xml:space="preserve">No asuma que la experiencia en contabilidad básica o nómina le habilita automáticamente para profesiones reguladas de contabilidad, impuestos, derecho, auditoría o asesoría financiera. Esas funciones pueden tener requisitos separados de educación, examen, licencia, registro o práctica profesional.</w:t>
      </w:r>
    </w:p>
    <w:p>
      <w:pPr>
        <w:pStyle w:val="BodyText"/>
      </w:pPr>
      <w:r>
        <w:t xml:space="preserve">Conserve copias de registros de capacitación, certificaciones, educación continua, evaluaciones, capacitación en software, horas de aprendizaje o formación basada en el trabajo cuando corresponda, acuerdos de reembolso, decisiones sobre adaptaciones y registros de empleo. Antes de mudarse, verifique si una credencial es reconocida en la nueva jurisdicción.</w:t>
      </w:r>
    </w:p>
    <w:p>
      <w:pPr>
        <w:pStyle w:val="BodyText"/>
      </w:pPr>
      <w:r>
        <w:t xml:space="preserve">Para trabajo independiente, investigue registro, impuestos, contratos, seguros, protección de datos, precios, conservación de registros, alcance de servicios, mercadeo, administración no remunerada y si la legislación local restringe determinados servicios contables o tributarios.</w:t>
      </w:r>
    </w:p>
    <w:bookmarkEnd w:id="61"/>
    <w:bookmarkStart w:id="62" w:name="Xf6e1707d08fccb45828224a23c5dcf23bb4e6c0"/>
    <w:p>
      <w:pPr>
        <w:pStyle w:val="Heading2"/>
      </w:pPr>
      <w:r>
        <w:t xml:space="preserve">17. Antes de inscribirse, pagar o firmar</w:t>
      </w:r>
    </w:p>
    <w:p>
      <w:pPr>
        <w:pStyle w:val="FirstParagraph"/>
      </w:pPr>
      <w:r>
        <w:t xml:space="preserve">Confirme por escrito:</w:t>
      </w:r>
    </w:p>
    <w:p>
      <w:pPr>
        <w:numPr>
          <w:ilvl w:val="0"/>
          <w:numId w:val="1018"/>
        </w:numPr>
        <w:pStyle w:val="Compact"/>
      </w:pPr>
      <w:r>
        <w:t xml:space="preserve">requisitos exactos del empleador y legales para la función objetivo;</w:t>
      </w:r>
    </w:p>
    <w:p>
      <w:pPr>
        <w:numPr>
          <w:ilvl w:val="0"/>
          <w:numId w:val="1018"/>
        </w:numPr>
        <w:pStyle w:val="Compact"/>
      </w:pPr>
      <w:r>
        <w:t xml:space="preserve">costo completo de la capacitación;</w:t>
      </w:r>
    </w:p>
    <w:p>
      <w:pPr>
        <w:numPr>
          <w:ilvl w:val="0"/>
          <w:numId w:val="1018"/>
        </w:numPr>
        <w:pStyle w:val="Compact"/>
      </w:pPr>
      <w:r>
        <w:t xml:space="preserve">acreditación o aprobación institucional cuando corresponda;</w:t>
      </w:r>
    </w:p>
    <w:p>
      <w:pPr>
        <w:numPr>
          <w:ilvl w:val="0"/>
          <w:numId w:val="1018"/>
        </w:numPr>
        <w:pStyle w:val="Compact"/>
      </w:pPr>
      <w:r>
        <w:t xml:space="preserve">elegibilidad para certificación y requisitos de renovación;</w:t>
      </w:r>
    </w:p>
    <w:p>
      <w:pPr>
        <w:numPr>
          <w:ilvl w:val="0"/>
          <w:numId w:val="1018"/>
        </w:numPr>
        <w:pStyle w:val="Compact"/>
      </w:pPr>
      <w:r>
        <w:t xml:space="preserve">si una credencial es obligatoria, preferida u opcional;</w:t>
      </w:r>
    </w:p>
    <w:p>
      <w:pPr>
        <w:numPr>
          <w:ilvl w:val="0"/>
          <w:numId w:val="1018"/>
        </w:numPr>
        <w:pStyle w:val="Compact"/>
      </w:pPr>
      <w:r>
        <w:t xml:space="preserve">reglas de transferencia y portabilidad;</w:t>
      </w:r>
    </w:p>
    <w:p>
      <w:pPr>
        <w:numPr>
          <w:ilvl w:val="0"/>
          <w:numId w:val="1018"/>
        </w:numPr>
        <w:pStyle w:val="Compact"/>
      </w:pPr>
      <w:r>
        <w:t xml:space="preserve">afirmaciones de colocación y cómo se miden resultados;</w:t>
      </w:r>
    </w:p>
    <w:p>
      <w:pPr>
        <w:numPr>
          <w:ilvl w:val="0"/>
          <w:numId w:val="1018"/>
        </w:numPr>
        <w:pStyle w:val="Compact"/>
      </w:pPr>
      <w:r>
        <w:t xml:space="preserve">procedimientos de reembolso y reclamación;</w:t>
      </w:r>
    </w:p>
    <w:p>
      <w:pPr>
        <w:numPr>
          <w:ilvl w:val="0"/>
          <w:numId w:val="1018"/>
        </w:numPr>
        <w:pStyle w:val="Compact"/>
      </w:pPr>
      <w:r>
        <w:t xml:space="preserve">financiamiento del empleador y condiciones de reembolso;</w:t>
      </w:r>
    </w:p>
    <w:p>
      <w:pPr>
        <w:numPr>
          <w:ilvl w:val="0"/>
          <w:numId w:val="1018"/>
        </w:numPr>
        <w:pStyle w:val="Compact"/>
      </w:pPr>
      <w:r>
        <w:t xml:space="preserve">impacto de horario, viajes, accesibilidad, tecnología, seguridad y responsabilidades de cuidado; y</w:t>
      </w:r>
    </w:p>
    <w:p>
      <w:pPr>
        <w:numPr>
          <w:ilvl w:val="0"/>
          <w:numId w:val="1018"/>
        </w:numPr>
        <w:pStyle w:val="Compact"/>
      </w:pPr>
      <w:r>
        <w:t xml:space="preserve">qué conserva y qué debe si no logra terminar.</w:t>
      </w:r>
    </w:p>
    <w:bookmarkEnd w:id="62"/>
    <w:bookmarkStart w:id="63" w:name="X8c12f5140a47c4d6b341f89bdb280eae8841336"/>
    <w:p>
      <w:pPr>
        <w:pStyle w:val="Heading2"/>
      </w:pPr>
      <w:r>
        <w:t xml:space="preserve">18. Plan de acción de doce semanas</w:t>
      </w:r>
    </w:p>
    <w:p>
      <w:pPr>
        <w:pStyle w:val="FirstParagraph"/>
      </w:pPr>
      <w:r>
        <w:rPr>
          <w:bCs/>
          <w:b/>
        </w:rPr>
        <w:t xml:space="preserve">Semanas 1–2:</w:t>
      </w:r>
      <w:r>
        <w:t xml:space="preserve"> </w:t>
      </w:r>
      <w:r>
        <w:t xml:space="preserve">Defina fortalezas, restricciones, necesidades de acceso, límites de horario y condiciones laborales no negociables.</w:t>
      </w:r>
    </w:p>
    <w:p>
      <w:pPr>
        <w:pStyle w:val="BodyText"/>
      </w:pPr>
      <w:r>
        <w:rPr>
          <w:bCs/>
          <w:b/>
        </w:rPr>
        <w:t xml:space="preserve">Semanas 3–4:</w:t>
      </w:r>
      <w:r>
        <w:t xml:space="preserve"> </w:t>
      </w:r>
      <w:r>
        <w:t xml:space="preserve">Estudie por separado funciones de contabilidad básica y nómina, incluidos sistemas, conciliaciones, privacidad, controles, riesgos de fraude y escalamiento.</w:t>
      </w:r>
    </w:p>
    <w:p>
      <w:pPr>
        <w:pStyle w:val="BodyText"/>
      </w:pPr>
      <w:r>
        <w:rPr>
          <w:bCs/>
          <w:b/>
        </w:rPr>
        <w:t xml:space="preserve">Semanas 5–6:</w:t>
      </w:r>
      <w:r>
        <w:t xml:space="preserve"> </w:t>
      </w:r>
      <w:r>
        <w:t xml:space="preserve">Revise vacantes locales vigentes, títulos exactos, salarios, beneficios, requisitos de software, educación, credenciales y experiencia.</w:t>
      </w:r>
    </w:p>
    <w:p>
      <w:pPr>
        <w:pStyle w:val="BodyText"/>
      </w:pPr>
      <w:r>
        <w:rPr>
          <w:bCs/>
          <w:b/>
        </w:rPr>
        <w:t xml:space="preserve">Semanas 7–8:</w:t>
      </w:r>
      <w:r>
        <w:t xml:space="preserve"> </w:t>
      </w:r>
      <w:r>
        <w:t xml:space="preserve">Compare capacitación pública o gratuita primero, community colleges, SENA o rutas públicas equivalentes, capacitación del empleador, credenciales, aprendizaje basado en el trabajo, costos completos y portabilidad.</w:t>
      </w:r>
    </w:p>
    <w:p>
      <w:pPr>
        <w:pStyle w:val="BodyText"/>
      </w:pPr>
      <w:r>
        <w:rPr>
          <w:bCs/>
          <w:b/>
        </w:rPr>
        <w:t xml:space="preserve">Semanas 9–10:</w:t>
      </w:r>
      <w:r>
        <w:t xml:space="preserve"> </w:t>
      </w:r>
      <w:r>
        <w:t xml:space="preserve">Verifique financiamiento, becas, apoyo del empleador, preguntas tributarias, acuerdos de reembolso, adaptaciones y consecuencias de salida.</w:t>
      </w:r>
    </w:p>
    <w:p>
      <w:pPr>
        <w:pStyle w:val="BodyText"/>
      </w:pPr>
      <w:r>
        <w:rPr>
          <w:bCs/>
          <w:b/>
        </w:rPr>
        <w:t xml:space="preserve">Semanas 11–12:</w:t>
      </w:r>
      <w:r>
        <w:t xml:space="preserve"> </w:t>
      </w:r>
      <w:r>
        <w:t xml:space="preserve">Complete muestras de trabajo con datos ficticios o públicos, prepare evidencia para su currículum e historias de entrevista y decida si continuar, pausar o elegir una ruta relacionada.</w:t>
      </w:r>
    </w:p>
    <w:bookmarkEnd w:id="63"/>
    <w:bookmarkStart w:id="66" w:name="X3069b4f1ce8d333745367cf6f4caea139db6767"/>
    <w:p>
      <w:pPr>
        <w:pStyle w:val="Heading2"/>
      </w:pPr>
      <w:r>
        <w:t xml:space="preserve">19. Hojas de decisión y costos</w:t>
      </w:r>
    </w:p>
    <w:bookmarkStart w:id="64" w:name="matriz-de-decisión-profesional"/>
    <w:p>
      <w:pPr>
        <w:pStyle w:val="Heading3"/>
      </w:pPr>
      <w:r>
        <w:t xml:space="preserve">Matriz de decisión profesional</w:t>
      </w:r>
    </w:p>
    <w:p>
      <w:pPr>
        <w:pStyle w:val="FirstParagraph"/>
      </w:pPr>
      <w:r>
        <w:t xml:space="preserve">Marque cada punto como</w:t>
      </w:r>
      <w:r>
        <w:t xml:space="preserve"> </w:t>
      </w:r>
      <w:r>
        <w:rPr>
          <w:bCs/>
          <w:b/>
        </w:rPr>
        <w:t xml:space="preserve">Sí</w:t>
      </w:r>
      <w:r>
        <w:t xml:space="preserve">,</w:t>
      </w:r>
      <w:r>
        <w:t xml:space="preserve"> </w:t>
      </w:r>
      <w:r>
        <w:rPr>
          <w:bCs/>
          <w:b/>
        </w:rPr>
        <w:t xml:space="preserve">Aún no</w:t>
      </w:r>
      <w:r>
        <w:t xml:space="preserve"> </w:t>
      </w:r>
      <w:r>
        <w:t xml:space="preserve">o</w:t>
      </w:r>
      <w:r>
        <w:t xml:space="preserve"> </w:t>
      </w:r>
      <w:r>
        <w:rPr>
          <w:bCs/>
          <w:b/>
        </w:rPr>
        <w:t xml:space="preserve">Preocupación importante</w:t>
      </w:r>
      <w:r>
        <w:t xml:space="preserve">:</w:t>
      </w:r>
    </w:p>
    <w:p>
      <w:pPr>
        <w:numPr>
          <w:ilvl w:val="0"/>
          <w:numId w:val="1019"/>
        </w:numPr>
        <w:pStyle w:val="Compact"/>
      </w:pPr>
      <w:r>
        <w:t xml:space="preserve">Comprendo la diferencia entre funciones de contabilidad básica y nómina.</w:t>
      </w:r>
    </w:p>
    <w:p>
      <w:pPr>
        <w:numPr>
          <w:ilvl w:val="0"/>
          <w:numId w:val="1019"/>
        </w:numPr>
        <w:pStyle w:val="Compact"/>
      </w:pPr>
      <w:r>
        <w:t xml:space="preserve">Puedo trabajar con precisión sin omitir controles bajo presión de plazos.</w:t>
      </w:r>
    </w:p>
    <w:p>
      <w:pPr>
        <w:numPr>
          <w:ilvl w:val="0"/>
          <w:numId w:val="1019"/>
        </w:numPr>
        <w:pStyle w:val="Compact"/>
      </w:pPr>
      <w:r>
        <w:t xml:space="preserve">Puedo proteger información financiera y laboral confidencial.</w:t>
      </w:r>
    </w:p>
    <w:p>
      <w:pPr>
        <w:numPr>
          <w:ilvl w:val="0"/>
          <w:numId w:val="1019"/>
        </w:numPr>
        <w:pStyle w:val="Compact"/>
      </w:pPr>
      <w:r>
        <w:t xml:space="preserve">Verifiqué los requisitos para el título local exacto.</w:t>
      </w:r>
    </w:p>
    <w:p>
      <w:pPr>
        <w:numPr>
          <w:ilvl w:val="0"/>
          <w:numId w:val="1019"/>
        </w:numPr>
        <w:pStyle w:val="Compact"/>
      </w:pPr>
      <w:r>
        <w:t xml:space="preserve">Verifiqué salarios y beneficios locales vigentes.</w:t>
      </w:r>
    </w:p>
    <w:p>
      <w:pPr>
        <w:numPr>
          <w:ilvl w:val="0"/>
          <w:numId w:val="1019"/>
        </w:numPr>
        <w:pStyle w:val="Compact"/>
      </w:pPr>
      <w:r>
        <w:t xml:space="preserve">La ruta completa es asequible sin deuda dañina.</w:t>
      </w:r>
    </w:p>
    <w:p>
      <w:pPr>
        <w:numPr>
          <w:ilvl w:val="0"/>
          <w:numId w:val="1019"/>
        </w:numPr>
        <w:pStyle w:val="Compact"/>
      </w:pPr>
      <w:r>
        <w:t xml:space="preserve">Comprendo las condiciones de reembolso del empleador.</w:t>
      </w:r>
    </w:p>
    <w:p>
      <w:pPr>
        <w:numPr>
          <w:ilvl w:val="0"/>
          <w:numId w:val="1019"/>
        </w:numPr>
        <w:pStyle w:val="Compact"/>
      </w:pPr>
      <w:r>
        <w:t xml:space="preserve">Toda la ruta es accesible para mí.</w:t>
      </w:r>
    </w:p>
    <w:p>
      <w:pPr>
        <w:numPr>
          <w:ilvl w:val="0"/>
          <w:numId w:val="1019"/>
        </w:numPr>
        <w:pStyle w:val="Compact"/>
      </w:pPr>
      <w:r>
        <w:t xml:space="preserve">El horario y la carga de los períodos de mayor demanda son manejables.</w:t>
      </w:r>
    </w:p>
    <w:p>
      <w:pPr>
        <w:numPr>
          <w:ilvl w:val="0"/>
          <w:numId w:val="1019"/>
        </w:numPr>
        <w:pStyle w:val="Compact"/>
      </w:pPr>
      <w:r>
        <w:t xml:space="preserve">Comprendo lo que cualquier credencial me permitirá y no me permitirá hacer.</w:t>
      </w:r>
    </w:p>
    <w:p>
      <w:pPr>
        <w:numPr>
          <w:ilvl w:val="0"/>
          <w:numId w:val="1019"/>
        </w:numPr>
        <w:pStyle w:val="Compact"/>
      </w:pPr>
      <w:r>
        <w:t xml:space="preserve">Tengo un plan de avance y salida.</w:t>
      </w:r>
    </w:p>
    <w:bookmarkEnd w:id="64"/>
    <w:bookmarkStart w:id="65" w:name="hoja-de-costos"/>
    <w:p>
      <w:pPr>
        <w:pStyle w:val="Heading3"/>
      </w:pPr>
      <w:r>
        <w:t xml:space="preserve">Hoja de costos</w:t>
      </w:r>
    </w:p>
    <w:p>
      <w:pPr>
        <w:pStyle w:val="FirstParagraph"/>
      </w:pPr>
      <w:r>
        <w:t xml:space="preserve">Registre una estimación, quién podría pagar y la fuente/fecha verificada para:</w:t>
      </w:r>
    </w:p>
    <w:p>
      <w:pPr>
        <w:numPr>
          <w:ilvl w:val="0"/>
          <w:numId w:val="1020"/>
        </w:numPr>
        <w:pStyle w:val="Compact"/>
      </w:pPr>
      <w:r>
        <w:t xml:space="preserve">matrícula y aranceles;</w:t>
      </w:r>
    </w:p>
    <w:p>
      <w:pPr>
        <w:numPr>
          <w:ilvl w:val="0"/>
          <w:numId w:val="1020"/>
        </w:numPr>
        <w:pStyle w:val="Compact"/>
      </w:pPr>
      <w:r>
        <w:t xml:space="preserve">libros y materiales de capacitación;</w:t>
      </w:r>
    </w:p>
    <w:p>
      <w:pPr>
        <w:numPr>
          <w:ilvl w:val="0"/>
          <w:numId w:val="1020"/>
        </w:numPr>
        <w:pStyle w:val="Compact"/>
      </w:pPr>
      <w:r>
        <w:t xml:space="preserve">software, tecnología y equipo;</w:t>
      </w:r>
    </w:p>
    <w:p>
      <w:pPr>
        <w:numPr>
          <w:ilvl w:val="0"/>
          <w:numId w:val="1020"/>
        </w:numPr>
        <w:pStyle w:val="Compact"/>
      </w:pPr>
      <w:r>
        <w:t xml:space="preserve">exámenes, certificaciones, renovaciones y educación continua;</w:t>
      </w:r>
    </w:p>
    <w:p>
      <w:pPr>
        <w:numPr>
          <w:ilvl w:val="0"/>
          <w:numId w:val="1020"/>
        </w:numPr>
        <w:pStyle w:val="Compact"/>
      </w:pPr>
      <w:r>
        <w:t xml:space="preserve">verificaciones de antecedentes u otra documentación requerida;</w:t>
      </w:r>
    </w:p>
    <w:p>
      <w:pPr>
        <w:numPr>
          <w:ilvl w:val="0"/>
          <w:numId w:val="1020"/>
        </w:numPr>
        <w:pStyle w:val="Compact"/>
      </w:pPr>
      <w:r>
        <w:t xml:space="preserve">viajes, estacionamiento, vivienda y alimentación;</w:t>
      </w:r>
    </w:p>
    <w:p>
      <w:pPr>
        <w:numPr>
          <w:ilvl w:val="0"/>
          <w:numId w:val="1020"/>
        </w:numPr>
        <w:pStyle w:val="Compact"/>
      </w:pPr>
      <w:r>
        <w:t xml:space="preserve">cuidado de hijos o personas mayores;</w:t>
      </w:r>
    </w:p>
    <w:p>
      <w:pPr>
        <w:numPr>
          <w:ilvl w:val="0"/>
          <w:numId w:val="1020"/>
        </w:numPr>
        <w:pStyle w:val="Compact"/>
      </w:pPr>
      <w:r>
        <w:t xml:space="preserve">ingresos dejados de percibir o reducción de horas; y</w:t>
      </w:r>
    </w:p>
    <w:p>
      <w:pPr>
        <w:numPr>
          <w:ilvl w:val="0"/>
          <w:numId w:val="1020"/>
        </w:numPr>
        <w:pStyle w:val="Compact"/>
      </w:pPr>
      <w:r>
        <w:t xml:space="preserve">cualquier obligación de reembolso del empleador.</w:t>
      </w:r>
    </w:p>
    <w:p>
      <w:r>
        <w:pict>
          <v:rect style="width:0;height:1.5pt" o:hralign="center" o:hrstd="t" o:hr="t"/>
        </w:pict>
      </w:r>
    </w:p>
    <w:bookmarkEnd w:id="65"/>
    <w:bookmarkEnd w:id="66"/>
    <w:bookmarkEnd w:id="67"/>
    <w:bookmarkStart w:id="94" w:name="X58107be415ed06d81ddec64bfde9346cf701a43"/>
    <w:p>
      <w:pPr>
        <w:pStyle w:val="Heading1"/>
      </w:pPr>
      <w:r>
        <w:t xml:space="preserve">Registro controlado de fuentes — revisado en agosto de 2026</w:t>
      </w:r>
    </w:p>
    <w:p>
      <w:pPr>
        <w:pStyle w:val="FirstParagraph"/>
      </w:pPr>
      <w:r>
        <w:t xml:space="preserve">El QA de publicación debe volver a revisar fechas y enlaces antes de la liberación.</w:t>
      </w:r>
    </w:p>
    <w:bookmarkStart w:id="74" w:name="fuentes-oficiales-de-estados-unidos"/>
    <w:p>
      <w:pPr>
        <w:pStyle w:val="Heading2"/>
      </w:pPr>
      <w:r>
        <w:t xml:space="preserve">Fuentes oficiales de Estados Unidos</w:t>
      </w:r>
    </w:p>
    <w:p>
      <w:pPr>
        <w:numPr>
          <w:ilvl w:val="0"/>
          <w:numId w:val="1021"/>
        </w:numPr>
      </w:pPr>
      <w:r>
        <w:t xml:space="preserve">U.S. Bureau of Labor Statistics — Bookkeeping, Accounting, and Auditing Clerks:</w:t>
      </w:r>
      <w:r>
        <w:t xml:space="preserve"> </w:t>
      </w:r>
      <w:hyperlink r:id="rId68">
        <w:r>
          <w:rPr>
            <w:rStyle w:val="Hyperlink"/>
          </w:rPr>
          <w:t xml:space="preserve">https://www.bls.gov/ooh/office-and-administrative-support/bookkeeping-accounting-and-auditing-clerks.htm</w:t>
        </w:r>
      </w:hyperlink>
    </w:p>
    <w:p>
      <w:pPr>
        <w:numPr>
          <w:ilvl w:val="1"/>
          <w:numId w:val="1022"/>
        </w:numPr>
        <w:pStyle w:val="Compact"/>
      </w:pPr>
      <w:r>
        <w:t xml:space="preserve">Mediana salarial anual de mayo de 2024: US$49,210.</w:t>
      </w:r>
    </w:p>
    <w:p>
      <w:pPr>
        <w:numPr>
          <w:ilvl w:val="1"/>
          <w:numId w:val="1022"/>
        </w:numPr>
        <w:pStyle w:val="Compact"/>
      </w:pPr>
      <w:r>
        <w:t xml:space="preserve">Cambio de empleo proyectado 2024–2034: -6%.</w:t>
      </w:r>
    </w:p>
    <w:p>
      <w:pPr>
        <w:numPr>
          <w:ilvl w:val="1"/>
          <w:numId w:val="1022"/>
        </w:numPr>
        <w:pStyle w:val="Compact"/>
      </w:pPr>
      <w:r>
        <w:t xml:space="preserve">Aproximadamente 170,000 vacantes anuales en promedio por necesidades de reemplazo.</w:t>
      </w:r>
    </w:p>
    <w:p>
      <w:pPr>
        <w:numPr>
          <w:ilvl w:val="0"/>
          <w:numId w:val="1021"/>
        </w:numPr>
      </w:pPr>
      <w:r>
        <w:t xml:space="preserve">U.S. Bureau of Labor Statistics — Financial Clerks:</w:t>
      </w:r>
      <w:r>
        <w:t xml:space="preserve"> </w:t>
      </w:r>
      <w:hyperlink r:id="rId69">
        <w:r>
          <w:rPr>
            <w:rStyle w:val="Hyperlink"/>
          </w:rPr>
          <w:t xml:space="preserve">https://www.bls.gov/ooh/office-and-administrative-support/financial-clerks.htm</w:t>
        </w:r>
      </w:hyperlink>
    </w:p>
    <w:p>
      <w:pPr>
        <w:numPr>
          <w:ilvl w:val="1"/>
          <w:numId w:val="1023"/>
        </w:numPr>
        <w:pStyle w:val="Compact"/>
      </w:pPr>
      <w:r>
        <w:t xml:space="preserve">Mediana salarial anual de Payroll and Timekeeping Clerks en mayo de 2024: US$55,290.</w:t>
      </w:r>
    </w:p>
    <w:p>
      <w:pPr>
        <w:numPr>
          <w:ilvl w:val="0"/>
          <w:numId w:val="1021"/>
        </w:numPr>
      </w:pPr>
      <w:r>
        <w:t xml:space="preserve">IRS — preguntas frecuentes sobre asistencia educativa de la Sección 127, actualización de abril de 2026:</w:t>
      </w:r>
      <w:r>
        <w:t xml:space="preserve"> </w:t>
      </w:r>
      <w:hyperlink r:id="rId70">
        <w:r>
          <w:rPr>
            <w:rStyle w:val="Hyperlink"/>
          </w:rPr>
          <w:t xml:space="preserve">https://www.irs.gov/newsroom/irs-updates-frequently-asked-questions-about-section-127-educational-assistance-programs</w:t>
        </w:r>
      </w:hyperlink>
    </w:p>
    <w:p>
      <w:pPr>
        <w:numPr>
          <w:ilvl w:val="1"/>
          <w:numId w:val="1024"/>
        </w:numPr>
        <w:pStyle w:val="Compact"/>
      </w:pPr>
      <w:r>
        <w:t xml:space="preserve">Hasta US$5,250 de asistencia educativa elegible puede excluirse del ingreso bruto durante los años calendario 2025 y 2026 bajo un programa escrito calificado del empleador; verifique circunstancias individuales y la ley vigente.</w:t>
      </w:r>
    </w:p>
    <w:p>
      <w:pPr>
        <w:numPr>
          <w:ilvl w:val="0"/>
          <w:numId w:val="1021"/>
        </w:numPr>
      </w:pPr>
      <w:r>
        <w:t xml:space="preserve">Apprenticeship.gov:</w:t>
      </w:r>
      <w:r>
        <w:t xml:space="preserve"> </w:t>
      </w:r>
      <w:hyperlink r:id="rId71">
        <w:r>
          <w:rPr>
            <w:rStyle w:val="Hyperlink"/>
          </w:rPr>
          <w:t xml:space="preserve">https://www.apprenticeship.gov/</w:t>
        </w:r>
      </w:hyperlink>
    </w:p>
    <w:p>
      <w:pPr>
        <w:numPr>
          <w:ilvl w:val="0"/>
          <w:numId w:val="1021"/>
        </w:numPr>
      </w:pPr>
      <w:r>
        <w:t xml:space="preserve">CareerOneStop / American Job Centers:</w:t>
      </w:r>
      <w:r>
        <w:t xml:space="preserve"> </w:t>
      </w:r>
      <w:hyperlink r:id="rId72">
        <w:r>
          <w:rPr>
            <w:rStyle w:val="Hyperlink"/>
          </w:rPr>
          <w:t xml:space="preserve">https://www.careeronestop.org/LocalHelp/AmericanJobCenters/american-job-centers.aspx</w:t>
        </w:r>
      </w:hyperlink>
    </w:p>
    <w:p>
      <w:pPr>
        <w:numPr>
          <w:ilvl w:val="0"/>
          <w:numId w:val="1021"/>
        </w:numPr>
      </w:pPr>
      <w:r>
        <w:t xml:space="preserve">Federal Student Aid:</w:t>
      </w:r>
      <w:r>
        <w:t xml:space="preserve"> </w:t>
      </w:r>
      <w:hyperlink r:id="rId73">
        <w:r>
          <w:rPr>
            <w:rStyle w:val="Hyperlink"/>
          </w:rPr>
          <w:t xml:space="preserve">https://studentaid.gov/</w:t>
        </w:r>
      </w:hyperlink>
    </w:p>
    <w:bookmarkEnd w:id="74"/>
    <w:bookmarkStart w:id="77" w:name="Xe26fbabb5401c7acdc81fa3eb14f64f1999997f"/>
    <w:p>
      <w:pPr>
        <w:pStyle w:val="Heading2"/>
      </w:pPr>
      <w:r>
        <w:t xml:space="preserve">Fuentes no gubernamentales de mercado de Estados Unidos</w:t>
      </w:r>
    </w:p>
    <w:p>
      <w:pPr>
        <w:numPr>
          <w:ilvl w:val="0"/>
          <w:numId w:val="1025"/>
        </w:numPr>
      </w:pPr>
      <w:r>
        <w:t xml:space="preserve">ZipRecruiter — Bookkeeper Salary:</w:t>
      </w:r>
      <w:r>
        <w:t xml:space="preserve"> </w:t>
      </w:r>
      <w:hyperlink r:id="rId75">
        <w:r>
          <w:rPr>
            <w:rStyle w:val="Hyperlink"/>
          </w:rPr>
          <w:t xml:space="preserve">https://www.ziprecruiter.com/Salaries/Bookkeeper-Salary</w:t>
        </w:r>
      </w:hyperlink>
    </w:p>
    <w:p>
      <w:pPr>
        <w:numPr>
          <w:ilvl w:val="1"/>
          <w:numId w:val="1026"/>
        </w:numPr>
        <w:pStyle w:val="Compact"/>
      </w:pPr>
      <w:r>
        <w:t xml:space="preserve">Estimación revisada: US</w:t>
      </w:r>
      <m:oMath>
        <m:r>
          <m:t>50</m:t>
        </m:r>
        <m:r>
          <m:rPr>
            <m:sty m:val="p"/>
          </m:rPr>
          <m:t>,</m:t>
        </m:r>
        <m:r>
          <m:t>573</m:t>
        </m:r>
        <m:r>
          <m:rPr>
            <m:sty m:val="p"/>
          </m:rPr>
          <m:t>/</m:t>
        </m:r>
        <m:r>
          <m:t>a</m:t>
        </m:r>
        <m:r>
          <m:t>ñ</m:t>
        </m:r>
        <m:r>
          <m:t>o</m:t>
        </m:r>
        <m:r>
          <m:rPr>
            <m:sty m:val="p"/>
          </m:rPr>
          <m:t>(</m:t>
        </m:r>
        <m:r>
          <m:t>U</m:t>
        </m:r>
        <m:r>
          <m:t>S</m:t>
        </m:r>
      </m:oMath>
      <w:r>
        <w:t xml:space="preserve">24.31/hora) al 18 de julio de 2026.</w:t>
      </w:r>
    </w:p>
    <w:p>
      <w:pPr>
        <w:numPr>
          <w:ilvl w:val="0"/>
          <w:numId w:val="1025"/>
        </w:numPr>
      </w:pPr>
      <w:r>
        <w:t xml:space="preserve">ZipRecruiter — Payroll Specialist Salary:</w:t>
      </w:r>
      <w:r>
        <w:t xml:space="preserve"> </w:t>
      </w:r>
      <w:hyperlink r:id="rId76">
        <w:r>
          <w:rPr>
            <w:rStyle w:val="Hyperlink"/>
          </w:rPr>
          <w:t xml:space="preserve">https://www.ziprecruiter.com/Salaries/Payroll-Specialist-Salary</w:t>
        </w:r>
      </w:hyperlink>
    </w:p>
    <w:p>
      <w:pPr>
        <w:numPr>
          <w:ilvl w:val="1"/>
          <w:numId w:val="1027"/>
        </w:numPr>
        <w:pStyle w:val="Compact"/>
      </w:pPr>
      <w:r>
        <w:t xml:space="preserve">Estimación revisada: US</w:t>
      </w:r>
      <m:oMath>
        <m:r>
          <m:t>56</m:t>
        </m:r>
        <m:r>
          <m:rPr>
            <m:sty m:val="p"/>
          </m:rPr>
          <m:t>,</m:t>
        </m:r>
        <m:r>
          <m:t>982</m:t>
        </m:r>
        <m:r>
          <m:rPr>
            <m:sty m:val="p"/>
          </m:rPr>
          <m:t>/</m:t>
        </m:r>
        <m:r>
          <m:t>a</m:t>
        </m:r>
        <m:r>
          <m:t>ñ</m:t>
        </m:r>
        <m:r>
          <m:t>o</m:t>
        </m:r>
        <m:r>
          <m:rPr>
            <m:sty m:val="p"/>
          </m:rPr>
          <m:t>(</m:t>
        </m:r>
        <m:r>
          <m:t>U</m:t>
        </m:r>
        <m:r>
          <m:t>S</m:t>
        </m:r>
      </m:oMath>
      <w:r>
        <w:t xml:space="preserve">27.40/hora) al 26 de julio de 2026.</w:t>
      </w:r>
    </w:p>
    <w:bookmarkEnd w:id="77"/>
    <w:bookmarkStart w:id="81" w:name="X0785972129da79995fa9a03786f66031fede6b0"/>
    <w:p>
      <w:pPr>
        <w:pStyle w:val="Heading2"/>
      </w:pPr>
      <w:r>
        <w:t xml:space="preserve">Fuentes de credenciales de la industria de nómina</w:t>
      </w:r>
    </w:p>
    <w:p>
      <w:pPr>
        <w:numPr>
          <w:ilvl w:val="0"/>
          <w:numId w:val="1028"/>
        </w:numPr>
        <w:pStyle w:val="Compact"/>
      </w:pPr>
      <w:r>
        <w:t xml:space="preserve">PayrollOrg — FPC learning path:</w:t>
      </w:r>
      <w:r>
        <w:t xml:space="preserve"> </w:t>
      </w:r>
      <w:hyperlink r:id="rId78">
        <w:r>
          <w:rPr>
            <w:rStyle w:val="Hyperlink"/>
          </w:rPr>
          <w:t xml:space="preserve">https://payroll.org/education-certification/education/learning-paths/fpc-certification</w:t>
        </w:r>
      </w:hyperlink>
    </w:p>
    <w:p>
      <w:pPr>
        <w:numPr>
          <w:ilvl w:val="0"/>
          <w:numId w:val="1028"/>
        </w:numPr>
        <w:pStyle w:val="Compact"/>
      </w:pPr>
      <w:r>
        <w:t xml:space="preserve">PayrollOrg — CPP learning path:</w:t>
      </w:r>
      <w:r>
        <w:t xml:space="preserve"> </w:t>
      </w:r>
      <w:hyperlink r:id="rId79">
        <w:r>
          <w:rPr>
            <w:rStyle w:val="Hyperlink"/>
          </w:rPr>
          <w:t xml:space="preserve">https://payroll.org/education-certification/education/learning-paths/cpp-certification</w:t>
        </w:r>
      </w:hyperlink>
    </w:p>
    <w:p>
      <w:pPr>
        <w:numPr>
          <w:ilvl w:val="0"/>
          <w:numId w:val="1028"/>
        </w:numPr>
        <w:pStyle w:val="Compact"/>
      </w:pPr>
      <w:r>
        <w:t xml:space="preserve">PayrollOrg — certification overview:</w:t>
      </w:r>
      <w:r>
        <w:t xml:space="preserve"> </w:t>
      </w:r>
      <w:hyperlink r:id="rId80">
        <w:r>
          <w:rPr>
            <w:rStyle w:val="Hyperlink"/>
          </w:rPr>
          <w:t xml:space="preserve">https://payroll.org/certification/certification/overview</w:t>
        </w:r>
      </w:hyperlink>
    </w:p>
    <w:p>
      <w:pPr>
        <w:pStyle w:val="FirstParagraph"/>
      </w:pPr>
      <w:r>
        <w:t xml:space="preserve">Son credenciales privadas de la industria y no se presentan como licencias gubernamentales.</w:t>
      </w:r>
    </w:p>
    <w:bookmarkEnd w:id="81"/>
    <w:bookmarkStart w:id="86" w:name="fuentes-oficiales-de-canadá"/>
    <w:p>
      <w:pPr>
        <w:pStyle w:val="Heading2"/>
      </w:pPr>
      <w:r>
        <w:t xml:space="preserve">Fuentes oficiales de Canadá</w:t>
      </w:r>
    </w:p>
    <w:p>
      <w:pPr>
        <w:numPr>
          <w:ilvl w:val="0"/>
          <w:numId w:val="1029"/>
        </w:numPr>
      </w:pPr>
      <w:r>
        <w:t xml:space="preserve">Government of Canada Job Bank — Accounting Bookkeeper, NOC 12200 summary:</w:t>
      </w:r>
      <w:r>
        <w:t xml:space="preserve"> </w:t>
      </w:r>
      <w:hyperlink r:id="rId82">
        <w:r>
          <w:rPr>
            <w:rStyle w:val="Hyperlink"/>
          </w:rPr>
          <w:t xml:space="preserve">https://www.jobbank.gc.ca/marketreport/summary-occupation/12564/ca</w:t>
        </w:r>
      </w:hyperlink>
    </w:p>
    <w:p>
      <w:pPr>
        <w:numPr>
          <w:ilvl w:val="0"/>
          <w:numId w:val="1029"/>
        </w:numPr>
      </w:pPr>
      <w:r>
        <w:t xml:space="preserve">Government of Canada Job Bank — Accounting technicians and bookkeepers wages:</w:t>
      </w:r>
      <w:r>
        <w:t xml:space="preserve"> </w:t>
      </w:r>
      <w:hyperlink r:id="rId83">
        <w:r>
          <w:rPr>
            <w:rStyle w:val="Hyperlink"/>
          </w:rPr>
          <w:t xml:space="preserve">https://www.jobbank.gc.ca/wagereport/occupation/24500</w:t>
        </w:r>
      </w:hyperlink>
    </w:p>
    <w:p>
      <w:pPr>
        <w:numPr>
          <w:ilvl w:val="1"/>
          <w:numId w:val="1030"/>
        </w:numPr>
        <w:pStyle w:val="Compact"/>
      </w:pPr>
      <w:r>
        <w:t xml:space="preserve">Bajo/mediana/alto nacional: C</w:t>
      </w:r>
      <m:oMath>
        <m:r>
          <m:t>19.55</m:t>
        </m:r>
        <m:r>
          <m:rPr>
            <m:sty m:val="p"/>
          </m:rPr>
          <m:t>/</m:t>
        </m:r>
        <m:r>
          <m:t>C</m:t>
        </m:r>
      </m:oMath>
      <w:r>
        <w:t xml:space="preserve">28.02/C$45.07 por hora.</w:t>
      </w:r>
    </w:p>
    <w:p>
      <w:pPr>
        <w:numPr>
          <w:ilvl w:val="1"/>
          <w:numId w:val="1030"/>
        </w:numPr>
        <w:pStyle w:val="Compact"/>
      </w:pPr>
      <w:r>
        <w:t xml:space="preserve">Tabla salarial actualizada el 19 de noviembre de 2025; período de referencia 2023–2024.</w:t>
      </w:r>
    </w:p>
    <w:p>
      <w:pPr>
        <w:numPr>
          <w:ilvl w:val="0"/>
          <w:numId w:val="1029"/>
        </w:numPr>
      </w:pPr>
      <w:r>
        <w:t xml:space="preserve">Government of Canada Job Bank — Payroll Administrator, NOC 13102 summary:</w:t>
      </w:r>
      <w:r>
        <w:t xml:space="preserve"> </w:t>
      </w:r>
      <w:hyperlink r:id="rId84">
        <w:r>
          <w:rPr>
            <w:rStyle w:val="Hyperlink"/>
          </w:rPr>
          <w:t xml:space="preserve">https://www.jobbank.gc.ca/marketreport/summary-occupation/25792/ca</w:t>
        </w:r>
      </w:hyperlink>
    </w:p>
    <w:p>
      <w:pPr>
        <w:numPr>
          <w:ilvl w:val="0"/>
          <w:numId w:val="1029"/>
        </w:numPr>
      </w:pPr>
      <w:r>
        <w:t xml:space="preserve">Government of Canada Job Bank — Payroll administrators wages:</w:t>
      </w:r>
      <w:r>
        <w:t xml:space="preserve"> </w:t>
      </w:r>
      <w:hyperlink r:id="rId85">
        <w:r>
          <w:rPr>
            <w:rStyle w:val="Hyperlink"/>
          </w:rPr>
          <w:t xml:space="preserve">https://www.jobbank.gc.ca/wagereport/occupation/1636</w:t>
        </w:r>
      </w:hyperlink>
    </w:p>
    <w:p>
      <w:pPr>
        <w:numPr>
          <w:ilvl w:val="1"/>
          <w:numId w:val="1031"/>
        </w:numPr>
        <w:pStyle w:val="Compact"/>
      </w:pPr>
      <w:r>
        <w:t xml:space="preserve">Bajo/mediana/alto nacional: C</w:t>
      </w:r>
      <m:oMath>
        <m:r>
          <m:t>20.00</m:t>
        </m:r>
        <m:r>
          <m:rPr>
            <m:sty m:val="p"/>
          </m:rPr>
          <m:t>/</m:t>
        </m:r>
        <m:r>
          <m:t>C</m:t>
        </m:r>
      </m:oMath>
      <w:r>
        <w:t xml:space="preserve">30.00/C$43.27 por hora.</w:t>
      </w:r>
    </w:p>
    <w:p>
      <w:pPr>
        <w:numPr>
          <w:ilvl w:val="1"/>
          <w:numId w:val="1031"/>
        </w:numPr>
        <w:pStyle w:val="Compact"/>
      </w:pPr>
      <w:r>
        <w:t xml:space="preserve">Tabla salarial actualizada el 19 de noviembre de 2025; período de referencia 2023–2024.</w:t>
      </w:r>
    </w:p>
    <w:bookmarkEnd w:id="86"/>
    <w:bookmarkStart w:id="92" w:name="rutas-oficialespúblicas-de-colombia"/>
    <w:p>
      <w:pPr>
        <w:pStyle w:val="Heading2"/>
      </w:pPr>
      <w:r>
        <w:t xml:space="preserve">Rutas oficiales/públicas de Colombia</w:t>
      </w:r>
    </w:p>
    <w:p>
      <w:pPr>
        <w:numPr>
          <w:ilvl w:val="0"/>
          <w:numId w:val="1032"/>
        </w:numPr>
        <w:pStyle w:val="Compact"/>
      </w:pPr>
      <w:r>
        <w:t xml:space="preserve">SENA Betowa — Contabilización de operaciones comerciales y financieras:</w:t>
      </w:r>
      <w:r>
        <w:t xml:space="preserve"> </w:t>
      </w:r>
      <w:hyperlink r:id="rId87">
        <w:r>
          <w:rPr>
            <w:rStyle w:val="Hyperlink"/>
          </w:rPr>
          <w:t xml:space="preserve">https://betowa.sena.edu.co/oferta/contabilizacion-de-operaciones-comerciales-y-financieras?enrollCourse=3563012&amp;level=2&amp;modality=V&amp;programId=144294</w:t>
        </w:r>
      </w:hyperlink>
    </w:p>
    <w:p>
      <w:pPr>
        <w:numPr>
          <w:ilvl w:val="0"/>
          <w:numId w:val="1032"/>
        </w:numPr>
        <w:pStyle w:val="Compact"/>
      </w:pPr>
      <w:r>
        <w:t xml:space="preserve">SENA Betowa — Gestión contable y de información financiera:</w:t>
      </w:r>
      <w:r>
        <w:t xml:space="preserve"> </w:t>
      </w:r>
      <w:hyperlink r:id="rId88">
        <w:r>
          <w:rPr>
            <w:rStyle w:val="Hyperlink"/>
          </w:rPr>
          <w:t xml:space="preserve">https://betowa.sena.edu.co/oferta/gestion-contable-y-de-informacion-financiera?enrollCourse=3562997&amp;level=6&amp;modality=V&amp;programId=111215</w:t>
        </w:r>
      </w:hyperlink>
    </w:p>
    <w:p>
      <w:pPr>
        <w:numPr>
          <w:ilvl w:val="0"/>
          <w:numId w:val="1032"/>
        </w:numPr>
        <w:pStyle w:val="Compact"/>
      </w:pPr>
      <w:r>
        <w:t xml:space="preserve">SENA Betowa — Diseño, liquidación y pago de nómina:</w:t>
      </w:r>
      <w:r>
        <w:t xml:space="preserve"> </w:t>
      </w:r>
      <w:hyperlink r:id="rId89">
        <w:r>
          <w:rPr>
            <w:rStyle w:val="Hyperlink"/>
          </w:rPr>
          <w:t xml:space="preserve">https://betowa.sena.edu.co/oferta/diseno-liquidacion-y-pago-de-nomina?programId=140534</w:t>
        </w:r>
      </w:hyperlink>
    </w:p>
    <w:p>
      <w:pPr>
        <w:numPr>
          <w:ilvl w:val="0"/>
          <w:numId w:val="1032"/>
        </w:numPr>
        <w:pStyle w:val="Compact"/>
      </w:pPr>
      <w:r>
        <w:t xml:space="preserve">SENA Betowa — Básico de contabilidad costos y presupuestos:</w:t>
      </w:r>
      <w:r>
        <w:t xml:space="preserve"> </w:t>
      </w:r>
      <w:hyperlink r:id="rId90">
        <w:r>
          <w:rPr>
            <w:rStyle w:val="Hyperlink"/>
          </w:rPr>
          <w:t xml:space="preserve">https://betowa.sena.edu.co/oferta/basico-de-contabilidad-costos-y-presupuestos?modality=P</w:t>
        </w:r>
      </w:hyperlink>
    </w:p>
    <w:p>
      <w:pPr>
        <w:numPr>
          <w:ilvl w:val="0"/>
          <w:numId w:val="1032"/>
        </w:numPr>
        <w:pStyle w:val="Compact"/>
      </w:pPr>
      <w:r>
        <w:t xml:space="preserve">Servicio Público de Empleo:</w:t>
      </w:r>
      <w:r>
        <w:t xml:space="preserve"> </w:t>
      </w:r>
      <w:hyperlink r:id="rId91">
        <w:r>
          <w:rPr>
            <w:rStyle w:val="Hyperlink"/>
          </w:rPr>
          <w:t xml:space="preserve">https://www.serviciodeempleo.gov.co/</w:t>
        </w:r>
      </w:hyperlink>
    </w:p>
    <w:p>
      <w:r>
        <w:pict>
          <v:rect style="width:0;height:1.5pt" o:hralign="center" o:hrstd="t" o:hr="t"/>
        </w:pict>
      </w:r>
    </w:p>
    <w:bookmarkEnd w:id="92"/>
    <w:bookmarkStart w:id="93" w:name="controles-de-versión-y-mantenimiento"/>
    <w:p>
      <w:pPr>
        <w:pStyle w:val="Heading2"/>
      </w:pPr>
      <w:r>
        <w:t xml:space="preserve">Controles de versión y mantenimiento</w:t>
      </w:r>
    </w:p>
    <w:p>
      <w:pPr>
        <w:numPr>
          <w:ilvl w:val="0"/>
          <w:numId w:val="1033"/>
        </w:numPr>
        <w:pStyle w:val="Compact"/>
      </w:pPr>
      <w:r>
        <w:rPr>
          <w:bCs/>
          <w:b/>
        </w:rPr>
        <w:t xml:space="preserve">Maestro de trabajo:</w:t>
      </w:r>
      <w:r>
        <w:t xml:space="preserve"> </w:t>
      </w:r>
      <w:r>
        <w:t xml:space="preserve">Versión 2.0, agosto de 2026.</w:t>
      </w:r>
    </w:p>
    <w:p>
      <w:pPr>
        <w:numPr>
          <w:ilvl w:val="0"/>
          <w:numId w:val="1033"/>
        </w:numPr>
        <w:pStyle w:val="Compact"/>
      </w:pPr>
      <w:r>
        <w:t xml:space="preserve">Esta traducción se deriva del maestro inglés controlado congelado para traducción y no constituye por sí sola un artefacto publicado.</w:t>
      </w:r>
    </w:p>
    <w:p>
      <w:pPr>
        <w:numPr>
          <w:ilvl w:val="0"/>
          <w:numId w:val="1033"/>
        </w:numPr>
        <w:pStyle w:val="Compact"/>
      </w:pPr>
      <w:r>
        <w:t xml:space="preserve">La información sobre salarios, perspectivas, impuestos, financiamiento, aprendizajes, credenciales y enlaces debe volver a verificarse antes de la publicación.</w:t>
      </w:r>
    </w:p>
    <w:p>
      <w:pPr>
        <w:numPr>
          <w:ilvl w:val="0"/>
          <w:numId w:val="1033"/>
        </w:numPr>
        <w:pStyle w:val="Compact"/>
      </w:pPr>
      <w:r>
        <w:t xml:space="preserve">Esta edición no afirma certificación humana independiente, certificación profesional de traducción, acreditación, revisión legal, revisión tributaria ni certificación de accesibilidad.</w:t>
      </w:r>
    </w:p>
    <w:bookmarkEnd w:id="93"/>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419"/>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0" Target="https://betowa.sena.edu.co/oferta/basico-de-contabilidad-costos-y-presupuestos?modality=P" TargetMode="External" /><Relationship Type="http://schemas.openxmlformats.org/officeDocument/2006/relationships/hyperlink" Id="rId87" Target="https://betowa.sena.edu.co/oferta/contabilizacion-de-operaciones-comerciales-y-financieras?enrollCourse=3563012&amp;level=2&amp;modality=V&amp;programId=144294" TargetMode="External" /><Relationship Type="http://schemas.openxmlformats.org/officeDocument/2006/relationships/hyperlink" Id="rId89" Target="https://betowa.sena.edu.co/oferta/diseno-liquidacion-y-pago-de-nomina?programId=140534" TargetMode="External" /><Relationship Type="http://schemas.openxmlformats.org/officeDocument/2006/relationships/hyperlink" Id="rId88" Target="https://betowa.sena.edu.co/oferta/gestion-contable-y-de-informacion-financiera?enrollCourse=3562997&amp;level=6&amp;modality=V&amp;programId=111215" TargetMode="External" /><Relationship Type="http://schemas.openxmlformats.org/officeDocument/2006/relationships/hyperlink" Id="rId80" Target="https://payroll.org/certification/certification/overview" TargetMode="External" /><Relationship Type="http://schemas.openxmlformats.org/officeDocument/2006/relationships/hyperlink" Id="rId79" Target="https://payroll.org/education-certification/education/learning-paths/cpp-certification" TargetMode="External" /><Relationship Type="http://schemas.openxmlformats.org/officeDocument/2006/relationships/hyperlink" Id="rId78" Target="https://payroll.org/education-certification/education/learning-paths/fpc-certification" TargetMode="External" /><Relationship Type="http://schemas.openxmlformats.org/officeDocument/2006/relationships/hyperlink" Id="rId73" Target="https://studentaid.gov/" TargetMode="External" /><Relationship Type="http://schemas.openxmlformats.org/officeDocument/2006/relationships/hyperlink" Id="rId71" Target="https://www.apprenticeship.gov/" TargetMode="External" /><Relationship Type="http://schemas.openxmlformats.org/officeDocument/2006/relationships/hyperlink" Id="rId68" Target="https://www.bls.gov/ooh/office-and-administrative-support/bookkeeping-accounting-and-auditing-clerks.htm" TargetMode="External" /><Relationship Type="http://schemas.openxmlformats.org/officeDocument/2006/relationships/hyperlink" Id="rId69" Target="https://www.bls.gov/ooh/office-and-administrative-support/financial-clerks.htm" TargetMode="External" /><Relationship Type="http://schemas.openxmlformats.org/officeDocument/2006/relationships/hyperlink" Id="rId72" Target="https://www.careeronestop.org/LocalHelp/AmericanJobCenters/american-job-centers.aspx" TargetMode="External" /><Relationship Type="http://schemas.openxmlformats.org/officeDocument/2006/relationships/hyperlink" Id="rId70" Target="https://www.irs.gov/newsroom/irs-updates-frequently-asked-questions-about-section-127-educational-assistance-programs" TargetMode="External" /><Relationship Type="http://schemas.openxmlformats.org/officeDocument/2006/relationships/hyperlink" Id="rId82" Target="https://www.jobbank.gc.ca/marketreport/summary-occupation/12564/ca" TargetMode="External" /><Relationship Type="http://schemas.openxmlformats.org/officeDocument/2006/relationships/hyperlink" Id="rId84" Target="https://www.jobbank.gc.ca/marketreport/summary-occupation/25792/ca" TargetMode="External" /><Relationship Type="http://schemas.openxmlformats.org/officeDocument/2006/relationships/hyperlink" Id="rId85" Target="https://www.jobbank.gc.ca/wagereport/occupation/1636" TargetMode="External" /><Relationship Type="http://schemas.openxmlformats.org/officeDocument/2006/relationships/hyperlink" Id="rId83" Target="https://www.jobbank.gc.ca/wagereport/occupation/24500" TargetMode="External" /><Relationship Type="http://schemas.openxmlformats.org/officeDocument/2006/relationships/hyperlink" Id="rId91" Target="https://www.serviciodeempleo.gov.co/" TargetMode="External" /><Relationship Type="http://schemas.openxmlformats.org/officeDocument/2006/relationships/hyperlink" Id="rId75" Target="https://www.ziprecruiter.com/Salaries/Bookkeeper-Salary" TargetMode="External" /><Relationship Type="http://schemas.openxmlformats.org/officeDocument/2006/relationships/hyperlink" Id="rId76" Target="https://www.ziprecruiter.com/Salaries/Payroll-Specialist-Salary" TargetMode="External" /></Relationships>
</file>

<file path=word/_rels/footnotes.xml.rels><?xml version="1.0" encoding="UTF-8"?><Relationships xmlns="http://schemas.openxmlformats.org/package/2006/relationships"><Relationship Type="http://schemas.openxmlformats.org/officeDocument/2006/relationships/hyperlink" Id="rId90" Target="https://betowa.sena.edu.co/oferta/basico-de-contabilidad-costos-y-presupuestos?modality=P" TargetMode="External" /><Relationship Type="http://schemas.openxmlformats.org/officeDocument/2006/relationships/hyperlink" Id="rId87" Target="https://betowa.sena.edu.co/oferta/contabilizacion-de-operaciones-comerciales-y-financieras?enrollCourse=3563012&amp;level=2&amp;modality=V&amp;programId=144294" TargetMode="External" /><Relationship Type="http://schemas.openxmlformats.org/officeDocument/2006/relationships/hyperlink" Id="rId89" Target="https://betowa.sena.edu.co/oferta/diseno-liquidacion-y-pago-de-nomina?programId=140534" TargetMode="External" /><Relationship Type="http://schemas.openxmlformats.org/officeDocument/2006/relationships/hyperlink" Id="rId88" Target="https://betowa.sena.edu.co/oferta/gestion-contable-y-de-informacion-financiera?enrollCourse=3562997&amp;level=6&amp;modality=V&amp;programId=111215" TargetMode="External" /><Relationship Type="http://schemas.openxmlformats.org/officeDocument/2006/relationships/hyperlink" Id="rId80" Target="https://payroll.org/certification/certification/overview" TargetMode="External" /><Relationship Type="http://schemas.openxmlformats.org/officeDocument/2006/relationships/hyperlink" Id="rId79" Target="https://payroll.org/education-certification/education/learning-paths/cpp-certification" TargetMode="External" /><Relationship Type="http://schemas.openxmlformats.org/officeDocument/2006/relationships/hyperlink" Id="rId78" Target="https://payroll.org/education-certification/education/learning-paths/fpc-certification" TargetMode="External" /><Relationship Type="http://schemas.openxmlformats.org/officeDocument/2006/relationships/hyperlink" Id="rId73" Target="https://studentaid.gov/" TargetMode="External" /><Relationship Type="http://schemas.openxmlformats.org/officeDocument/2006/relationships/hyperlink" Id="rId71" Target="https://www.apprenticeship.gov/" TargetMode="External" /><Relationship Type="http://schemas.openxmlformats.org/officeDocument/2006/relationships/hyperlink" Id="rId68" Target="https://www.bls.gov/ooh/office-and-administrative-support/bookkeeping-accounting-and-auditing-clerks.htm" TargetMode="External" /><Relationship Type="http://schemas.openxmlformats.org/officeDocument/2006/relationships/hyperlink" Id="rId69" Target="https://www.bls.gov/ooh/office-and-administrative-support/financial-clerks.htm" TargetMode="External" /><Relationship Type="http://schemas.openxmlformats.org/officeDocument/2006/relationships/hyperlink" Id="rId72" Target="https://www.careeronestop.org/LocalHelp/AmericanJobCenters/american-job-centers.aspx" TargetMode="External" /><Relationship Type="http://schemas.openxmlformats.org/officeDocument/2006/relationships/hyperlink" Id="rId70" Target="https://www.irs.gov/newsroom/irs-updates-frequently-asked-questions-about-section-127-educational-assistance-programs" TargetMode="External" /><Relationship Type="http://schemas.openxmlformats.org/officeDocument/2006/relationships/hyperlink" Id="rId82" Target="https://www.jobbank.gc.ca/marketreport/summary-occupation/12564/ca" TargetMode="External" /><Relationship Type="http://schemas.openxmlformats.org/officeDocument/2006/relationships/hyperlink" Id="rId84" Target="https://www.jobbank.gc.ca/marketreport/summary-occupation/25792/ca" TargetMode="External" /><Relationship Type="http://schemas.openxmlformats.org/officeDocument/2006/relationships/hyperlink" Id="rId85" Target="https://www.jobbank.gc.ca/wagereport/occupation/1636" TargetMode="External" /><Relationship Type="http://schemas.openxmlformats.org/officeDocument/2006/relationships/hyperlink" Id="rId83" Target="https://www.jobbank.gc.ca/wagereport/occupation/24500" TargetMode="External" /><Relationship Type="http://schemas.openxmlformats.org/officeDocument/2006/relationships/hyperlink" Id="rId91" Target="https://www.serviciodeempleo.gov.co/" TargetMode="External" /><Relationship Type="http://schemas.openxmlformats.org/officeDocument/2006/relationships/hyperlink" Id="rId75" Target="https://www.ziprecruiter.com/Salaries/Bookkeeper-Salary" TargetMode="External" /><Relationship Type="http://schemas.openxmlformats.org/officeDocument/2006/relationships/hyperlink" Id="rId76" Target="https://www.ziprecruiter.com/Salaries/Payroll-Specialist-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es-419</dc:language>
  <cp:keywords/>
  <dcterms:created xsi:type="dcterms:W3CDTF">2026-08-08T09:07:19Z</dcterms:created>
  <dcterms:modified xsi:type="dcterms:W3CDTF">2026-08-08T09:07:19Z</dcterms:modified>
</cp:coreProperties>
</file>

<file path=docProps/custom.xml><?xml version="1.0" encoding="utf-8"?>
<Properties xmlns="http://schemas.openxmlformats.org/officeDocument/2006/custom-properties" xmlns:vt="http://schemas.openxmlformats.org/officeDocument/2006/docPropsVTypes"/>
</file>