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CIÊNCIA DE ALIMENTOS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ciência de alimentos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ciência de alimentos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Coletar e preparar amostras de ingredientes, processo e produto final.</w:t>
      </w:r>
    </w:p>
    <w:p>
      <w:pPr>
        <w:pStyle w:val="ListBullet"/>
      </w:pPr>
      <w:r>
        <w:t>Executar testes físicos, químicos, microbiológicos ou sensoriais autorizados.</w:t>
      </w:r>
    </w:p>
    <w:p>
      <w:pPr>
        <w:pStyle w:val="ListBullet"/>
      </w:pPr>
      <w:r>
        <w:t>Monitorar tempo, temperatura, formulação, higiene e controles de processo.</w:t>
      </w:r>
    </w:p>
    <w:p>
      <w:pPr>
        <w:pStyle w:val="ListBullet"/>
      </w:pPr>
      <w:r>
        <w:t>Registrar lotes, resultados, desvios e ações corretivas.</w:t>
      </w:r>
    </w:p>
    <w:p>
      <w:pPr>
        <w:pStyle w:val="ListBullet"/>
      </w:pPr>
      <w:r>
        <w:t>Apoiar desenvolvimento, vida útil, rotulagem e investigação de reclamações.</w:t>
      </w:r>
    </w:p>
    <w:p>
      <w:pPr>
        <w:pStyle w:val="ListBullet"/>
      </w:pPr>
      <w:r>
        <w:t>Escalar contaminação, alérgeno, resultado fora de especificação e risco de recall.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Coletar e preparar amostras de ingredientes, processo e produto final.</w:t>
      </w:r>
    </w:p>
    <w:p>
      <w:pPr>
        <w:pStyle w:val="ListBullet"/>
      </w:pPr>
      <w:r>
        <w:t>Executar testes físicos, químicos, microbiológicos ou sensoriais autorizados.</w:t>
      </w:r>
    </w:p>
    <w:p>
      <w:pPr>
        <w:pStyle w:val="ListBullet"/>
      </w:pPr>
      <w:r>
        <w:t>Monitorar tempo, temperatura, formulação, higiene e controles de processo.</w:t>
      </w:r>
    </w:p>
    <w:p>
      <w:pPr>
        <w:pStyle w:val="ListBullet"/>
      </w:pPr>
      <w:r>
        <w:t>Registrar lotes, resultados, desvios e ações corretivas.</w:t>
      </w:r>
    </w:p>
    <w:p>
      <w:pPr>
        <w:pStyle w:val="ListBullet"/>
      </w:pPr>
      <w:r>
        <w:t>Apoiar desenvolvimento, vida útil, rotulagem e investigação de reclamações.</w:t>
      </w:r>
    </w:p>
    <w:p>
      <w:pPr>
        <w:pStyle w:val="ListBullet"/>
      </w:pPr>
      <w:r>
        <w:t>Escalar contaminação, alérgeno, resultado fora de especificação e risco de recall.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instrumentos de laboratório e controle de processo</w:t>
      </w:r>
    </w:p>
    <w:p>
      <w:pPr>
        <w:pStyle w:val="ListBullet"/>
      </w:pPr>
      <w:r>
        <w:t>sistemas de gestão da qualidade e laboratório</w:t>
      </w:r>
    </w:p>
    <w:p>
      <w:pPr>
        <w:pStyle w:val="ListBullet"/>
      </w:pPr>
      <w:r>
        <w:t>planos HACCP, procedimentos e registros de lote</w:t>
      </w:r>
    </w:p>
    <w:p>
      <w:pPr>
        <w:pStyle w:val="ListBullet"/>
      </w:pPr>
      <w:r>
        <w:t>equipamentos de amostragem, incubação e medição</w:t>
      </w:r>
    </w:p>
    <w:p>
      <w:pPr>
        <w:pStyle w:val="ListBullet"/>
      </w:pPr>
      <w:r>
        <w:t>proteção individual, saneamento e controles de alérgenos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liberar produto sem autoridade e evidência.</w:t>
      </w:r>
    </w:p>
    <w:p>
      <w:pPr>
        <w:pStyle w:val="ListBullet"/>
      </w:pPr>
      <w:r>
        <w:t>Não ignorar resultado fora de especificação ou alérgeno não declarado.</w:t>
      </w:r>
    </w:p>
    <w:p>
      <w:pPr>
        <w:pStyle w:val="ListBullet"/>
      </w:pPr>
      <w:r>
        <w:t>Não falsificar lote, temperatura, limpeza ou teste.</w:t>
      </w:r>
    </w:p>
    <w:p>
      <w:pPr>
        <w:pStyle w:val="ListBullet"/>
      </w:pPr>
      <w:r>
        <w:t>Escalar patógeno, corpo estranho, rotulagem incorreta e possível recolhimento.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Ciência de Alimentos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