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72e3a4c69d7155004a1fe95f6ff4d1438755364"/>
    <w:p>
      <w:pPr>
        <w:pStyle w:val="Heading1"/>
      </w:pPr>
      <w:r>
        <w:t xml:space="preserve">Lifelong Opportunity Guide 14 — Patient Services Representative and Medical Office Coordinator</w:t>
      </w:r>
    </w:p>
    <w:p>
      <w:pPr>
        <w:pStyle w:val="FirstParagraph"/>
      </w:pPr>
      <w:r>
        <w:rPr>
          <w:bCs/>
          <w:b/>
        </w:rPr>
        <w:t xml:space="preserve">Controlled 2026 English publication candidate</w:t>
      </w:r>
      <w:r>
        <w:br/>
      </w:r>
      <w:r>
        <w:t xml:space="preserve">Version 2.0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is the controlled English publication candidate for the 2026 revision. It has passed the documented editorial, terminology, claim-to-source traceability, localization-parity, document, rendering, and publication QA gates recorded for this candidate. Release remains subject to the final controlled release audit.</w:t>
      </w:r>
    </w:p>
    <w:bookmarkStart w:id="20" w:name="the-promise-of-this-guide"/>
    <w:p>
      <w:pPr>
        <w:pStyle w:val="Heading2"/>
      </w:pPr>
      <w:r>
        <w:t xml:space="preserve">The promise of this guide</w:t>
      </w:r>
    </w:p>
    <w:p>
      <w:pPr>
        <w:pStyle w:val="FirstParagraph"/>
      </w:pPr>
      <w:r>
        <w:t xml:space="preserve">This guide does not promise that patient-services or medical-office work is right for everyone, that a credential will produce employment, that training will be free, or that any wage will apply in every location. Its purpose is to help readers understand nonclinical healthcare-administration work, compare affordable learning routes, build evidence of capability, protect patient information, recognize clinical and legal boundaries, use AI responsibly, and verify current requirements before spending money or accepting an employment or repayment obligation.</w:t>
      </w:r>
    </w:p>
    <w:bookmarkEnd w:id="20"/>
    <w:bookmarkStart w:id="21" w:name="why-this-guide-exists"/>
    <w:p>
      <w:pPr>
        <w:pStyle w:val="Heading2"/>
      </w:pPr>
      <w:r>
        <w:t xml:space="preserve">Why this guide exists</w:t>
      </w:r>
    </w:p>
    <w:p>
      <w:pPr>
        <w:pStyle w:val="FirstParagraph"/>
      </w:pPr>
      <w:r>
        <w:rPr>
          <w:rStyle w:val="VerbatimChar"/>
        </w:rPr>
        <w:t xml:space="preserve">Patient Services Representative</w:t>
      </w:r>
      <w:r>
        <w:t xml:space="preserve">,</w:t>
      </w:r>
      <w:r>
        <w:t xml:space="preserve"> </w:t>
      </w:r>
      <w:r>
        <w:rPr>
          <w:rStyle w:val="VerbatimChar"/>
        </w:rPr>
        <w:t xml:space="preserve">Patient Access Representative</w:t>
      </w:r>
      <w:r>
        <w:t xml:space="preserve">,</w:t>
      </w:r>
      <w:r>
        <w:t xml:space="preserve"> </w:t>
      </w:r>
      <w:r>
        <w:rPr>
          <w:rStyle w:val="VerbatimChar"/>
        </w:rPr>
        <w:t xml:space="preserve">Medical Receptionist</w:t>
      </w:r>
      <w:r>
        <w:t xml:space="preserve">, and</w:t>
      </w:r>
      <w:r>
        <w:t xml:space="preserve"> </w:t>
      </w:r>
      <w:r>
        <w:rPr>
          <w:rStyle w:val="VerbatimChar"/>
        </w:rPr>
        <w:t xml:space="preserve">Medical Office Coordinator</w:t>
      </w:r>
      <w:r>
        <w:t xml:space="preserve"> </w:t>
      </w:r>
      <w:r>
        <w:t xml:space="preserve">are practical job titles rather than one standardized occupation. One employer may focus on scheduling, check-in, registration, referrals, messages, insurance information, payments, records, and customer service. Another may add authorizations, patient access, front-desk leadership, specialty-clinic workflows, or care-team coordination. The safest plan starts with actual duties and authority, not the title alone.</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 support tool for research, organization, editing, translation support, and document preparation. AI assistance is not independent human certification, professional translation certification, accreditation, accessibility certification, legal review, clinical judgment, privacy-compliance certification, medical advice, or a substitute for current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 and career-navigation information. It does not provide individualized medical, nursing, legal, privacy, insurance, coding, billing, financial, cybersecurity, licensing, or clinical advice. Patient-services and medical-office coordination are generally administrative roles unless a job separately requires and authorizes qualified clinical duties. Do not diagnose, recommend treatment or medication, interpret test results, independently triage medical symptoms beyond approved protocols, or change clinical records outside authorized procedures.</w:t>
      </w:r>
    </w:p>
    <w:p>
      <w:r>
        <w:pict>
          <v:rect style="width:0;height:1.5pt" o:hralign="center" o:hrstd="t" o:hr="t"/>
        </w:pict>
      </w:r>
    </w:p>
    <w:bookmarkEnd w:id="23"/>
    <w:bookmarkStart w:id="24" w:name="how-to-use-this-guide"/>
    <w:p>
      <w:pPr>
        <w:pStyle w:val="Heading2"/>
      </w:pPr>
      <w:r>
        <w:t xml:space="preserve">1. How to use this guide</w:t>
      </w:r>
    </w:p>
    <w:p>
      <w:pPr>
        <w:pStyle w:val="FirstParagraph"/>
      </w:pPr>
      <w:r>
        <w:t xml:space="preserve">Start with current vacancies in your target market.</w:t>
      </w:r>
    </w:p>
    <w:p>
      <w:pPr>
        <w:numPr>
          <w:ilvl w:val="0"/>
          <w:numId w:val="1001"/>
        </w:numPr>
        <w:pStyle w:val="Compact"/>
      </w:pPr>
      <w:r>
        <w:t xml:space="preserve">Search</w:t>
      </w:r>
      <w:r>
        <w:t xml:space="preserve"> </w:t>
      </w:r>
      <w:r>
        <w:rPr>
          <w:rStyle w:val="VerbatimChar"/>
        </w:rPr>
        <w:t xml:space="preserve">Patient Services Representative</w:t>
      </w:r>
      <w:r>
        <w:t xml:space="preserve">,</w:t>
      </w:r>
      <w:r>
        <w:t xml:space="preserve"> </w:t>
      </w:r>
      <w:r>
        <w:rPr>
          <w:rStyle w:val="VerbatimChar"/>
        </w:rPr>
        <w:t xml:space="preserve">Patient Service Representative</w:t>
      </w:r>
      <w:r>
        <w:t xml:space="preserve">,</w:t>
      </w:r>
      <w:r>
        <w:t xml:space="preserve"> </w:t>
      </w:r>
      <w:r>
        <w:rPr>
          <w:rStyle w:val="VerbatimChar"/>
        </w:rPr>
        <w:t xml:space="preserve">Patient Access Representative</w:t>
      </w:r>
      <w:r>
        <w:t xml:space="preserve">,</w:t>
      </w:r>
      <w:r>
        <w:t xml:space="preserve"> </w:t>
      </w:r>
      <w:r>
        <w:rPr>
          <w:rStyle w:val="VerbatimChar"/>
        </w:rPr>
        <w:t xml:space="preserve">Medical Receptionist</w:t>
      </w:r>
      <w:r>
        <w:t xml:space="preserve">,</w:t>
      </w:r>
      <w:r>
        <w:t xml:space="preserve"> </w:t>
      </w:r>
      <w:r>
        <w:rPr>
          <w:rStyle w:val="VerbatimChar"/>
        </w:rPr>
        <w:t xml:space="preserve">Medical Office Coordinator</w:t>
      </w:r>
      <w:r>
        <w:t xml:space="preserve">,</w:t>
      </w:r>
      <w:r>
        <w:t xml:space="preserve"> </w:t>
      </w:r>
      <w:r>
        <w:rPr>
          <w:rStyle w:val="VerbatimChar"/>
        </w:rPr>
        <w:t xml:space="preserve">Medical Administrative Assistant</w:t>
      </w:r>
      <w:r>
        <w:t xml:space="preserve">,</w:t>
      </w:r>
      <w:r>
        <w:t xml:space="preserve"> </w:t>
      </w:r>
      <w:r>
        <w:rPr>
          <w:rStyle w:val="VerbatimChar"/>
        </w:rPr>
        <w:t xml:space="preserve">Clinic Coordinator</w:t>
      </w:r>
      <w:r>
        <w:t xml:space="preserve">,</w:t>
      </w:r>
      <w:r>
        <w:t xml:space="preserve"> </w:t>
      </w:r>
      <w:r>
        <w:rPr>
          <w:rStyle w:val="VerbatimChar"/>
        </w:rPr>
        <w:t xml:space="preserve">Front Desk Coordinator</w:t>
      </w:r>
      <w:r>
        <w:t xml:space="preserve">, and local equivalents.</w:t>
      </w:r>
    </w:p>
    <w:p>
      <w:pPr>
        <w:numPr>
          <w:ilvl w:val="0"/>
          <w:numId w:val="1001"/>
        </w:numPr>
        <w:pStyle w:val="Compact"/>
      </w:pPr>
      <w:r>
        <w:t xml:space="preserve">Compare duties, not titles alone.</w:t>
      </w:r>
    </w:p>
    <w:p>
      <w:pPr>
        <w:numPr>
          <w:ilvl w:val="0"/>
          <w:numId w:val="1001"/>
        </w:numPr>
        <w:pStyle w:val="Compact"/>
      </w:pPr>
      <w:r>
        <w:t xml:space="preserve">Record required education, experience, medical terminology, EHR/EMR systems, insurance knowledge, languages, schedule, weekend/evening coverage, call volume, and physical expectations.</w:t>
      </w:r>
    </w:p>
    <w:p>
      <w:pPr>
        <w:numPr>
          <w:ilvl w:val="0"/>
          <w:numId w:val="1001"/>
        </w:numPr>
        <w:pStyle w:val="Compact"/>
      </w:pPr>
      <w:r>
        <w:t xml:space="preserve">Separate nonclinical administration from clinical triage, diagnosis, coding, billing adjudication, nursing, medical assisting, records-release authority, and licensed responsibilities.</w:t>
      </w:r>
    </w:p>
    <w:p>
      <w:pPr>
        <w:numPr>
          <w:ilvl w:val="0"/>
          <w:numId w:val="1001"/>
        </w:numPr>
        <w:pStyle w:val="Compact"/>
      </w:pPr>
      <w:r>
        <w:t xml:space="preserve">Use free, public, employer-supported, or work-based learning before paying for a private credential when those routes meet the next verified requirement.</w:t>
      </w:r>
    </w:p>
    <w:p>
      <w:pPr>
        <w:numPr>
          <w:ilvl w:val="0"/>
          <w:numId w:val="1001"/>
        </w:numPr>
        <w:pStyle w:val="Compact"/>
      </w:pPr>
      <w:r>
        <w:t xml:space="preserve">Verify credential, background-check, vaccination, privacy-training, and employer-specific requirements before paying or applying.</w:t>
      </w:r>
    </w:p>
    <w:bookmarkEnd w:id="24"/>
    <w:bookmarkStart w:id="25" w:name="what-the-work-is-and-occupation-mapping"/>
    <w:p>
      <w:pPr>
        <w:pStyle w:val="Heading2"/>
      </w:pPr>
      <w:r>
        <w:t xml:space="preserve">2. What the work is — and occupation mapping</w:t>
      </w:r>
    </w:p>
    <w:p>
      <w:pPr>
        <w:pStyle w:val="FirstParagraph"/>
      </w:pPr>
      <w:r>
        <w:t xml:space="preserve">Patient-services and medical-office staff help patients navigate administrative parts of healthcare while supporting accurate records and smooth clinic operations. Depending on the employer, duties may include:</w:t>
      </w:r>
    </w:p>
    <w:p>
      <w:pPr>
        <w:numPr>
          <w:ilvl w:val="0"/>
          <w:numId w:val="1002"/>
        </w:numPr>
        <w:pStyle w:val="Compact"/>
      </w:pPr>
      <w:r>
        <w:t xml:space="preserve">greeting and checking patients in and out;</w:t>
      </w:r>
    </w:p>
    <w:p>
      <w:pPr>
        <w:numPr>
          <w:ilvl w:val="0"/>
          <w:numId w:val="1002"/>
        </w:numPr>
        <w:pStyle w:val="Compact"/>
      </w:pPr>
      <w:r>
        <w:t xml:space="preserve">confirming identity and contact information using approved procedures;</w:t>
      </w:r>
    </w:p>
    <w:p>
      <w:pPr>
        <w:numPr>
          <w:ilvl w:val="0"/>
          <w:numId w:val="1002"/>
        </w:numPr>
        <w:pStyle w:val="Compact"/>
      </w:pPr>
      <w:r>
        <w:t xml:space="preserve">scheduling, rescheduling, and canceling appointments;</w:t>
      </w:r>
    </w:p>
    <w:p>
      <w:pPr>
        <w:numPr>
          <w:ilvl w:val="0"/>
          <w:numId w:val="1002"/>
        </w:numPr>
        <w:pStyle w:val="Compact"/>
      </w:pPr>
      <w:r>
        <w:t xml:space="preserve">explaining administrative instructions without giving medical advice;</w:t>
      </w:r>
    </w:p>
    <w:p>
      <w:pPr>
        <w:numPr>
          <w:ilvl w:val="0"/>
          <w:numId w:val="1002"/>
        </w:numPr>
        <w:pStyle w:val="Compact"/>
      </w:pPr>
      <w:r>
        <w:t xml:space="preserve">routing patient messages to the correct clinical or administrative team;</w:t>
      </w:r>
    </w:p>
    <w:p>
      <w:pPr>
        <w:numPr>
          <w:ilvl w:val="0"/>
          <w:numId w:val="1002"/>
        </w:numPr>
        <w:pStyle w:val="Compact"/>
      </w:pPr>
      <w:r>
        <w:t xml:space="preserve">entering or updating demographic and insurance information;</w:t>
      </w:r>
    </w:p>
    <w:p>
      <w:pPr>
        <w:numPr>
          <w:ilvl w:val="0"/>
          <w:numId w:val="1002"/>
        </w:numPr>
        <w:pStyle w:val="Compact"/>
      </w:pPr>
      <w:r>
        <w:t xml:space="preserve">supporting referrals, authorizations, forms, and records requests under policy;</w:t>
      </w:r>
    </w:p>
    <w:p>
      <w:pPr>
        <w:numPr>
          <w:ilvl w:val="0"/>
          <w:numId w:val="1002"/>
        </w:numPr>
        <w:pStyle w:val="Compact"/>
      </w:pPr>
      <w:r>
        <w:t xml:space="preserve">collecting copays or other approved payments and providing receipts;</w:t>
      </w:r>
    </w:p>
    <w:p>
      <w:pPr>
        <w:numPr>
          <w:ilvl w:val="0"/>
          <w:numId w:val="1002"/>
        </w:numPr>
        <w:pStyle w:val="Compact"/>
      </w:pPr>
      <w:r>
        <w:t xml:space="preserve">scanning, indexing, or routing documents in approved systems;</w:t>
      </w:r>
    </w:p>
    <w:p>
      <w:pPr>
        <w:numPr>
          <w:ilvl w:val="0"/>
          <w:numId w:val="1002"/>
        </w:numPr>
        <w:pStyle w:val="Compact"/>
      </w:pPr>
      <w:r>
        <w:t xml:space="preserve">maintaining waiting-room, queue, or appointment-flow information;</w:t>
      </w:r>
    </w:p>
    <w:p>
      <w:pPr>
        <w:numPr>
          <w:ilvl w:val="0"/>
          <w:numId w:val="1002"/>
        </w:numPr>
        <w:pStyle w:val="Compact"/>
      </w:pPr>
      <w:r>
        <w:t xml:space="preserve">assisting patients with portals, forms, directions, or accessibility needs;</w:t>
      </w:r>
    </w:p>
    <w:p>
      <w:pPr>
        <w:numPr>
          <w:ilvl w:val="0"/>
          <w:numId w:val="1002"/>
        </w:numPr>
        <w:pStyle w:val="Compact"/>
      </w:pPr>
      <w:r>
        <w:t xml:space="preserve">escalating urgent symptoms or emergency statements according to approved protocols; and</w:t>
      </w:r>
    </w:p>
    <w:p>
      <w:pPr>
        <w:numPr>
          <w:ilvl w:val="0"/>
          <w:numId w:val="1002"/>
        </w:numPr>
        <w:pStyle w:val="Compact"/>
      </w:pPr>
      <w:r>
        <w:t xml:space="preserve">documenting administrative interactions accurately.</w:t>
      </w:r>
    </w:p>
    <w:p>
      <w:pPr>
        <w:pStyle w:val="FirstParagraph"/>
      </w:pPr>
      <w:r>
        <w:t xml:space="preserve">For U.S. labor-market benchmarking,</w:t>
      </w:r>
      <w:r>
        <w:t xml:space="preserve"> </w:t>
      </w:r>
      <w:r>
        <w:rPr>
          <w:bCs/>
          <w:b/>
        </w:rPr>
        <w:t xml:space="preserve">Medical Secretaries and Administrative Assistants, SOC 43-6013</w:t>
      </w:r>
      <w:r>
        <w:t xml:space="preserve">, is a useful broad administrative reference. It is not a perfect one-to-one mapping for every Patient Services Representative or Medical Office Coordinator title.</w:t>
      </w:r>
    </w:p>
    <w:bookmarkEnd w:id="25"/>
    <w:bookmarkStart w:id="26" w:name="a-realistic-patient-services-workflow"/>
    <w:p>
      <w:pPr>
        <w:pStyle w:val="Heading2"/>
      </w:pPr>
      <w:r>
        <w:t xml:space="preserve">3. A realistic patient-services workflow</w:t>
      </w:r>
    </w:p>
    <w:p>
      <w:pPr>
        <w:pStyle w:val="FirstParagraph"/>
      </w:pPr>
      <w:r>
        <w:t xml:space="preserve">A practical workflow may include:</w:t>
      </w:r>
    </w:p>
    <w:p>
      <w:pPr>
        <w:numPr>
          <w:ilvl w:val="0"/>
          <w:numId w:val="1003"/>
        </w:numPr>
        <w:pStyle w:val="Compact"/>
      </w:pPr>
      <w:r>
        <w:t xml:space="preserve">Confirm the patient’s identity using the approved method.</w:t>
      </w:r>
    </w:p>
    <w:p>
      <w:pPr>
        <w:numPr>
          <w:ilvl w:val="0"/>
          <w:numId w:val="1003"/>
        </w:numPr>
        <w:pStyle w:val="Compact"/>
      </w:pPr>
      <w:r>
        <w:t xml:space="preserve">Verify the purpose of the interaction and the administrative task requested.</w:t>
      </w:r>
    </w:p>
    <w:p>
      <w:pPr>
        <w:numPr>
          <w:ilvl w:val="0"/>
          <w:numId w:val="1003"/>
        </w:numPr>
        <w:pStyle w:val="Compact"/>
      </w:pPr>
      <w:r>
        <w:t xml:space="preserve">Access only the systems and information needed for the role.</w:t>
      </w:r>
    </w:p>
    <w:p>
      <w:pPr>
        <w:numPr>
          <w:ilvl w:val="0"/>
          <w:numId w:val="1003"/>
        </w:numPr>
        <w:pStyle w:val="Compact"/>
      </w:pPr>
      <w:r>
        <w:t xml:space="preserve">Confirm demographics, appointment details, referrals, insurance, or forms as authorized.</w:t>
      </w:r>
    </w:p>
    <w:p>
      <w:pPr>
        <w:numPr>
          <w:ilvl w:val="0"/>
          <w:numId w:val="1003"/>
        </w:numPr>
        <w:pStyle w:val="Compact"/>
      </w:pPr>
      <w:r>
        <w:t xml:space="preserve">Avoid guessing when information is missing or inconsistent.</w:t>
      </w:r>
    </w:p>
    <w:p>
      <w:pPr>
        <w:numPr>
          <w:ilvl w:val="0"/>
          <w:numId w:val="1003"/>
        </w:numPr>
        <w:pStyle w:val="Compact"/>
      </w:pPr>
      <w:r>
        <w:t xml:space="preserve">Route clinical questions to qualified clinical staff.</w:t>
      </w:r>
    </w:p>
    <w:p>
      <w:pPr>
        <w:numPr>
          <w:ilvl w:val="0"/>
          <w:numId w:val="1003"/>
        </w:numPr>
        <w:pStyle w:val="Compact"/>
      </w:pPr>
      <w:r>
        <w:t xml:space="preserve">Follow approved emergency-escalation procedures when a patient describes urgent symptoms or immediate danger.</w:t>
      </w:r>
    </w:p>
    <w:p>
      <w:pPr>
        <w:numPr>
          <w:ilvl w:val="0"/>
          <w:numId w:val="1003"/>
        </w:numPr>
        <w:pStyle w:val="Compact"/>
      </w:pPr>
      <w:r>
        <w:t xml:space="preserve">Document the administrative action accurately.</w:t>
      </w:r>
    </w:p>
    <w:p>
      <w:pPr>
        <w:numPr>
          <w:ilvl w:val="0"/>
          <w:numId w:val="1003"/>
        </w:numPr>
        <w:pStyle w:val="Compact"/>
      </w:pPr>
      <w:r>
        <w:t xml:space="preserve">Protect screens, documents, conversations, and messages from unnecessary exposure.</w:t>
      </w:r>
    </w:p>
    <w:p>
      <w:pPr>
        <w:numPr>
          <w:ilvl w:val="0"/>
          <w:numId w:val="1003"/>
        </w:numPr>
        <w:pStyle w:val="Compact"/>
      </w:pPr>
      <w:r>
        <w:t xml:space="preserve">Confirm next administrative steps without promising coverage, clinical outcomes, or payment amounts that have not been verified.</w:t>
      </w:r>
    </w:p>
    <w:p>
      <w:pPr>
        <w:pStyle w:val="FirstParagraph"/>
      </w:pPr>
      <w:r>
        <w:t xml:space="preserve">Common tools include electronic health records or medical-practice systems, scheduling systems, patient portals, telephones, secure messaging, scanners, payment systems, spreadsheets, office suites, referral/authorization portals, and approved communication tools.</w:t>
      </w:r>
    </w:p>
    <w:bookmarkEnd w:id="26"/>
    <w:bookmarkStart w:id="27" w:name="Xceb38cbcbaed71b9afdce3783ce76aa433f5a31"/>
    <w:p>
      <w:pPr>
        <w:pStyle w:val="Heading2"/>
      </w:pPr>
      <w:r>
        <w:t xml:space="preserve">4. Compatibility, work conditions, and accessibility</w:t>
      </w:r>
    </w:p>
    <w:p>
      <w:pPr>
        <w:pStyle w:val="FirstParagraph"/>
      </w:pPr>
      <w:r>
        <w:t xml:space="preserve">Ask yourself:</w:t>
      </w:r>
    </w:p>
    <w:p>
      <w:pPr>
        <w:numPr>
          <w:ilvl w:val="0"/>
          <w:numId w:val="1004"/>
        </w:numPr>
        <w:pStyle w:val="Compact"/>
      </w:pPr>
      <w:r>
        <w:t xml:space="preserve">Can I remain courteous with anxious, frustrated, sick, or confused people?</w:t>
      </w:r>
    </w:p>
    <w:p>
      <w:pPr>
        <w:numPr>
          <w:ilvl w:val="0"/>
          <w:numId w:val="1004"/>
        </w:numPr>
        <w:pStyle w:val="Compact"/>
      </w:pPr>
      <w:r>
        <w:t xml:space="preserve">Can I protect privacy even in a busy waiting room or call center?</w:t>
      </w:r>
    </w:p>
    <w:p>
      <w:pPr>
        <w:numPr>
          <w:ilvl w:val="0"/>
          <w:numId w:val="1004"/>
        </w:numPr>
        <w:pStyle w:val="Compact"/>
      </w:pPr>
      <w:r>
        <w:t xml:space="preserve">Can I enter names, dates, insurance data, phone numbers, and appointment details accurately?</w:t>
      </w:r>
    </w:p>
    <w:p>
      <w:pPr>
        <w:numPr>
          <w:ilvl w:val="0"/>
          <w:numId w:val="1004"/>
        </w:numPr>
        <w:pStyle w:val="Compact"/>
      </w:pPr>
      <w:r>
        <w:t xml:space="preserve">Can I follow scripts and escalation procedures without improvising clinical advice?</w:t>
      </w:r>
    </w:p>
    <w:p>
      <w:pPr>
        <w:numPr>
          <w:ilvl w:val="0"/>
          <w:numId w:val="1004"/>
        </w:numPr>
        <w:pStyle w:val="Compact"/>
      </w:pPr>
      <w:r>
        <w:t xml:space="preserve">Can I manage several tasks while keeping records accurate?</w:t>
      </w:r>
    </w:p>
    <w:p>
      <w:pPr>
        <w:numPr>
          <w:ilvl w:val="0"/>
          <w:numId w:val="1004"/>
        </w:numPr>
        <w:pStyle w:val="Compact"/>
      </w:pPr>
      <w:r>
        <w:t xml:space="preserve">Can I learn medical terminology without pretending to interpret clinical information?</w:t>
      </w:r>
    </w:p>
    <w:p>
      <w:pPr>
        <w:numPr>
          <w:ilvl w:val="0"/>
          <w:numId w:val="1004"/>
        </w:numPr>
        <w:pStyle w:val="Compact"/>
      </w:pPr>
      <w:r>
        <w:t xml:space="preserve">Can I handle payment conversations professionally without making unverified promises?</w:t>
      </w:r>
    </w:p>
    <w:p>
      <w:pPr>
        <w:pStyle w:val="FirstParagraph"/>
      </w:pPr>
      <w:r>
        <w:t xml:space="preserve">Work may involve prolonged sitting or standing, telephone or headset use, repetitive keyboarding, frequent interruptions, screen time, lifting files or supplies, exposure to healthcare environments, shift work, evenings/weekends, and sometimes contact with distressed patients.</w:t>
      </w:r>
    </w:p>
    <w:p>
      <w:pPr>
        <w:pStyle w:val="BodyText"/>
      </w:pPr>
      <w:r>
        <w:t xml:space="preserve">Possible accommodations may include ergonomic equipment, screen readers or magnification, captions, accessible software, modified schedules, alternative communication formats, quiet work areas where feasible, or other reasonable accommodations under applicable law and policy.</w:t>
      </w:r>
    </w:p>
    <w:bookmarkEnd w:id="27"/>
    <w:bookmarkStart w:id="28" w:name="Xabfe7b642656a6f3262c98e2b7aa2f41eecf2bb"/>
    <w:p>
      <w:pPr>
        <w:pStyle w:val="Heading2"/>
      </w:pPr>
      <w:r>
        <w:t xml:space="preserve">5. Ethics, patient identity, privacy, and record integrity</w:t>
      </w:r>
    </w:p>
    <w:p>
      <w:pPr>
        <w:pStyle w:val="FirstParagraph"/>
      </w:pPr>
      <w:r>
        <w:t xml:space="preserve">Never:</w:t>
      </w:r>
    </w:p>
    <w:p>
      <w:pPr>
        <w:numPr>
          <w:ilvl w:val="0"/>
          <w:numId w:val="1005"/>
        </w:numPr>
        <w:pStyle w:val="Compact"/>
      </w:pPr>
      <w:r>
        <w:t xml:space="preserve">access a patient’s information out of curiosity or without a work-related need;</w:t>
      </w:r>
    </w:p>
    <w:p>
      <w:pPr>
        <w:numPr>
          <w:ilvl w:val="0"/>
          <w:numId w:val="1005"/>
        </w:numPr>
        <w:pStyle w:val="Compact"/>
      </w:pPr>
      <w:r>
        <w:t xml:space="preserve">discuss patient information where unauthorized people can hear it;</w:t>
      </w:r>
    </w:p>
    <w:p>
      <w:pPr>
        <w:numPr>
          <w:ilvl w:val="0"/>
          <w:numId w:val="1005"/>
        </w:numPr>
        <w:pStyle w:val="Compact"/>
      </w:pPr>
      <w:r>
        <w:t xml:space="preserve">share passwords or use another person’s account;</w:t>
      </w:r>
    </w:p>
    <w:p>
      <w:pPr>
        <w:numPr>
          <w:ilvl w:val="0"/>
          <w:numId w:val="1005"/>
        </w:numPr>
        <w:pStyle w:val="Compact"/>
      </w:pPr>
      <w:r>
        <w:t xml:space="preserve">change a clinical note, diagnosis, test result, medication, order, or other clinical record outside authorized workflow;</w:t>
      </w:r>
    </w:p>
    <w:p>
      <w:pPr>
        <w:numPr>
          <w:ilvl w:val="0"/>
          <w:numId w:val="1005"/>
        </w:numPr>
        <w:pStyle w:val="Compact"/>
      </w:pPr>
      <w:r>
        <w:t xml:space="preserve">tell a patient that a service is covered, free, approved, medically necessary, or guaranteed unless the responsible system or authority confirms it;</w:t>
      </w:r>
    </w:p>
    <w:p>
      <w:pPr>
        <w:numPr>
          <w:ilvl w:val="0"/>
          <w:numId w:val="1005"/>
        </w:numPr>
        <w:pStyle w:val="Compact"/>
      </w:pPr>
      <w:r>
        <w:t xml:space="preserve">provide diagnosis, treatment, medication, or test-result interpretation;</w:t>
      </w:r>
    </w:p>
    <w:p>
      <w:pPr>
        <w:numPr>
          <w:ilvl w:val="0"/>
          <w:numId w:val="1005"/>
        </w:numPr>
        <w:pStyle w:val="Compact"/>
      </w:pPr>
      <w:r>
        <w:t xml:space="preserve">ignore a stated emergency because it is</w:t>
      </w:r>
      <w:r>
        <w:t xml:space="preserve"> </w:t>
      </w:r>
      <w:r>
        <w:t xml:space="preserve">“</w:t>
      </w:r>
      <w:r>
        <w:t xml:space="preserve">not your job</w:t>
      </w:r>
      <w:r>
        <w:t xml:space="preserve">”</w:t>
      </w:r>
      <w:r>
        <w:t xml:space="preserve">—follow the approved escalation procedure;</w:t>
      </w:r>
    </w:p>
    <w:p>
      <w:pPr>
        <w:numPr>
          <w:ilvl w:val="0"/>
          <w:numId w:val="1005"/>
        </w:numPr>
        <w:pStyle w:val="Compact"/>
      </w:pPr>
      <w:r>
        <w:t xml:space="preserve">create false appointments, authorizations, payments, signatures, insurance information, referrals, or records;</w:t>
      </w:r>
    </w:p>
    <w:p>
      <w:pPr>
        <w:numPr>
          <w:ilvl w:val="0"/>
          <w:numId w:val="1005"/>
        </w:numPr>
        <w:pStyle w:val="Compact"/>
      </w:pPr>
      <w:r>
        <w:t xml:space="preserve">send patient information through personal email, text, cloud storage, or AI tools unless explicitly approved; or</w:t>
      </w:r>
    </w:p>
    <w:p>
      <w:pPr>
        <w:numPr>
          <w:ilvl w:val="0"/>
          <w:numId w:val="1005"/>
        </w:numPr>
        <w:pStyle w:val="Compact"/>
      </w:pPr>
      <w:r>
        <w:t xml:space="preserve">bypass identity-verification or release-of-information controls because a caller sounds convincing.</w:t>
      </w:r>
    </w:p>
    <w:p>
      <w:pPr>
        <w:pStyle w:val="FirstParagraph"/>
      </w:pPr>
      <w:r>
        <w:t xml:space="preserve">If identity, authorization, payment instructions, records-release authority, clinical urgency, or privacy is unclear, stop and escalate.</w:t>
      </w:r>
    </w:p>
    <w:bookmarkEnd w:id="28"/>
    <w:bookmarkStart w:id="31" w:name="Xaf2881bc589582229a4fcfe99b609af3ca99d80"/>
    <w:p>
      <w:pPr>
        <w:pStyle w:val="Heading2"/>
      </w:pPr>
      <w:r>
        <w:t xml:space="preserve">6. United States — official wage and outlook evidence</w:t>
      </w:r>
    </w:p>
    <w:bookmarkStart w:id="29" w:name="X17298380da6c5c37c16aad63f674dac10e3f267"/>
    <w:p>
      <w:pPr>
        <w:pStyle w:val="Heading3"/>
      </w:pPr>
      <w:r>
        <w:t xml:space="preserve">May 2025 OEWS — Medical Secretaries and Administrative Assistants</w:t>
      </w:r>
    </w:p>
    <w:p>
      <w:pPr>
        <w:pStyle w:val="FirstParagraph"/>
      </w:pPr>
      <w:r>
        <w:t xml:space="preserve">The U.S. Bureau of Labor Statistics May 2025 Occupational Employment and Wage Statistics table reports for</w:t>
      </w:r>
      <w:r>
        <w:t xml:space="preserve"> </w:t>
      </w:r>
      <w:r>
        <w:rPr>
          <w:bCs/>
          <w:b/>
        </w:rPr>
        <w:t xml:space="preserve">Medical Secretaries and Administrative Assistants</w:t>
      </w:r>
      <w:r>
        <w:t xml:space="preserve">:</w:t>
      </w:r>
    </w:p>
    <w:p>
      <w:pPr>
        <w:numPr>
          <w:ilvl w:val="0"/>
          <w:numId w:val="1006"/>
        </w:numPr>
        <w:pStyle w:val="Compact"/>
      </w:pPr>
      <w:r>
        <w:t xml:space="preserve">employment:</w:t>
      </w:r>
      <w:r>
        <w:t xml:space="preserve"> </w:t>
      </w:r>
      <w:r>
        <w:rPr>
          <w:bCs/>
          <w:b/>
        </w:rPr>
        <w:t xml:space="preserve">961,610</w:t>
      </w:r>
      <w:r>
        <w:t xml:space="preserve">;</w:t>
      </w:r>
    </w:p>
    <w:p>
      <w:pPr>
        <w:numPr>
          <w:ilvl w:val="0"/>
          <w:numId w:val="1006"/>
        </w:numPr>
        <w:pStyle w:val="Compact"/>
      </w:pPr>
      <w:r>
        <w:t xml:space="preserve">mean hourly wage:</w:t>
      </w:r>
      <w:r>
        <w:t xml:space="preserve"> </w:t>
      </w:r>
      <w:r>
        <w:rPr>
          <w:bCs/>
          <w:b/>
        </w:rPr>
        <w:t xml:space="preserve">$22.50</w:t>
      </w:r>
      <w:r>
        <w:t xml:space="preserve">;</w:t>
      </w:r>
    </w:p>
    <w:p>
      <w:pPr>
        <w:numPr>
          <w:ilvl w:val="0"/>
          <w:numId w:val="1006"/>
        </w:numPr>
        <w:pStyle w:val="Compact"/>
      </w:pPr>
      <w:r>
        <w:t xml:space="preserve">mean annual wage:</w:t>
      </w:r>
      <w:r>
        <w:t xml:space="preserve"> </w:t>
      </w:r>
      <w:r>
        <w:rPr>
          <w:bCs/>
          <w:b/>
        </w:rPr>
        <w:t xml:space="preserve">$46,800</w:t>
      </w:r>
      <w:r>
        <w:t xml:space="preserve">; and</w:t>
      </w:r>
    </w:p>
    <w:p>
      <w:pPr>
        <w:numPr>
          <w:ilvl w:val="0"/>
          <w:numId w:val="1006"/>
        </w:numPr>
        <w:pStyle w:val="Compact"/>
      </w:pPr>
      <w:r>
        <w:t xml:space="preserve">median hourly wage:</w:t>
      </w:r>
      <w:r>
        <w:t xml:space="preserve"> </w:t>
      </w:r>
      <w:r>
        <w:rPr>
          <w:bCs/>
          <w:b/>
        </w:rPr>
        <w:t xml:space="preserve">$22.08</w:t>
      </w:r>
      <w:r>
        <w:t xml:space="preserve">.</w:t>
      </w:r>
    </w:p>
    <w:p>
      <w:pPr>
        <w:pStyle w:val="FirstParagraph"/>
      </w:pPr>
      <w:r>
        <w:t xml:space="preserve">Source:</w:t>
      </w:r>
      <w:r>
        <w:br/>
      </w:r>
      <w:r>
        <w:t xml:space="preserve">https://www.bls.gov/news.release/ocwage.t01.htm</w:t>
      </w:r>
    </w:p>
    <w:bookmarkEnd w:id="29"/>
    <w:bookmarkStart w:id="30" w:name="occupational-outlook-handbook"/>
    <w:p>
      <w:pPr>
        <w:pStyle w:val="Heading3"/>
      </w:pPr>
      <w:r>
        <w:t xml:space="preserve">Occupational Outlook Handbook</w:t>
      </w:r>
    </w:p>
    <w:p>
      <w:pPr>
        <w:pStyle w:val="FirstParagraph"/>
      </w:pPr>
      <w:r>
        <w:t xml:space="preserve">The BLS Occupational Outlook Handbook identifies</w:t>
      </w:r>
      <w:r>
        <w:t xml:space="preserve"> </w:t>
      </w:r>
      <w:r>
        <w:rPr>
          <w:bCs/>
          <w:b/>
        </w:rPr>
        <w:t xml:space="preserve">Medical Secretaries and Administrative Assistants, SOC 43-6013</w:t>
      </w:r>
      <w:r>
        <w:t xml:space="preserve">, and reports:</w:t>
      </w:r>
    </w:p>
    <w:p>
      <w:pPr>
        <w:numPr>
          <w:ilvl w:val="0"/>
          <w:numId w:val="1007"/>
        </w:numPr>
        <w:pStyle w:val="Compact"/>
      </w:pPr>
      <w:r>
        <w:t xml:space="preserve">employment in 2024:</w:t>
      </w:r>
      <w:r>
        <w:t xml:space="preserve"> </w:t>
      </w:r>
      <w:r>
        <w:rPr>
          <w:bCs/>
          <w:b/>
        </w:rPr>
        <w:t xml:space="preserve">850,000</w:t>
      </w:r>
      <w:r>
        <w:t xml:space="preserve">;</w:t>
      </w:r>
    </w:p>
    <w:p>
      <w:pPr>
        <w:numPr>
          <w:ilvl w:val="0"/>
          <w:numId w:val="1007"/>
        </w:numPr>
        <w:pStyle w:val="Compact"/>
      </w:pPr>
      <w:r>
        <w:t xml:space="preserve">projected employment in 2034:</w:t>
      </w:r>
      <w:r>
        <w:t xml:space="preserve"> </w:t>
      </w:r>
      <w:r>
        <w:rPr>
          <w:bCs/>
          <w:b/>
        </w:rPr>
        <w:t xml:space="preserve">885,300</w:t>
      </w:r>
      <w:r>
        <w:t xml:space="preserve">;</w:t>
      </w:r>
    </w:p>
    <w:p>
      <w:pPr>
        <w:numPr>
          <w:ilvl w:val="0"/>
          <w:numId w:val="1007"/>
        </w:numPr>
        <w:pStyle w:val="Compact"/>
      </w:pPr>
      <w:r>
        <w:t xml:space="preserve">projected growth:</w:t>
      </w:r>
      <w:r>
        <w:t xml:space="preserve"> </w:t>
      </w:r>
      <w:r>
        <w:rPr>
          <w:bCs/>
          <w:b/>
        </w:rPr>
        <w:t xml:space="preserve">4%</w:t>
      </w:r>
      <w:r>
        <w:t xml:space="preserve">;</w:t>
      </w:r>
    </w:p>
    <w:p>
      <w:pPr>
        <w:numPr>
          <w:ilvl w:val="0"/>
          <w:numId w:val="1007"/>
        </w:numPr>
        <w:pStyle w:val="Compact"/>
      </w:pPr>
      <w:r>
        <w:t xml:space="preserve">projected numeric growth:</w:t>
      </w:r>
      <w:r>
        <w:t xml:space="preserve"> </w:t>
      </w:r>
      <w:r>
        <w:rPr>
          <w:bCs/>
          <w:b/>
        </w:rPr>
        <w:t xml:space="preserve">35,300</w:t>
      </w:r>
      <w:r>
        <w:t xml:space="preserve">; and</w:t>
      </w:r>
    </w:p>
    <w:p>
      <w:pPr>
        <w:numPr>
          <w:ilvl w:val="0"/>
          <w:numId w:val="1007"/>
        </w:numPr>
        <w:pStyle w:val="Compact"/>
      </w:pPr>
      <w:r>
        <w:t xml:space="preserve">median annual wage for the medical-secretary subtype in May 2024:</w:t>
      </w:r>
      <w:r>
        <w:t xml:space="preserve"> </w:t>
      </w:r>
      <w:r>
        <w:rPr>
          <w:bCs/>
          <w:b/>
        </w:rPr>
        <w:t xml:space="preserve">$44,640</w:t>
      </w:r>
      <w:r>
        <w:t xml:space="preserve">.</w:t>
      </w:r>
    </w:p>
    <w:p>
      <w:pPr>
        <w:pStyle w:val="FirstParagraph"/>
      </w:pPr>
      <w:r>
        <w:t xml:space="preserve">BLS notes that medical secretaries need familiarity with medical terminology and codes, medical records, and hospital or laboratory procedures. These statistics describe a broad occupational subtype and should not be treated as guaranteed Patient Services Representative or coordinator pay.</w:t>
      </w:r>
    </w:p>
    <w:p>
      <w:pPr>
        <w:pStyle w:val="BodyText"/>
      </w:pPr>
      <w:r>
        <w:t xml:space="preserve">Source:</w:t>
      </w:r>
      <w:r>
        <w:br/>
      </w:r>
      <w:r>
        <w:t xml:space="preserve">https://www.bls.gov/ooh/office-and-administrative-support/secretaries-and-administrative-assistants.htm</w:t>
      </w:r>
    </w:p>
    <w:bookmarkEnd w:id="30"/>
    <w:bookmarkEnd w:id="31"/>
    <w:bookmarkStart w:id="32" w:name="X16d0231e772209596600aa5f00a84155e9e530c"/>
    <w:p>
      <w:pPr>
        <w:pStyle w:val="Heading2"/>
      </w:pPr>
      <w:r>
        <w:t xml:space="preserve">7. United States — current private-market title estimate</w:t>
      </w:r>
    </w:p>
    <w:p>
      <w:pPr>
        <w:pStyle w:val="FirstParagraph"/>
      </w:pPr>
      <w:r>
        <w:t xml:space="preserve">ZipRecruiter’s</w:t>
      </w:r>
      <w:r>
        <w:t xml:space="preserve"> </w:t>
      </w:r>
      <w:r>
        <w:rPr>
          <w:rStyle w:val="VerbatimChar"/>
        </w:rPr>
        <w:t xml:space="preserve">Patient Services Representative</w:t>
      </w:r>
      <w:r>
        <w:t xml:space="preserve"> </w:t>
      </w:r>
      <w:r>
        <w:t xml:space="preserve">salary page reported, as of</w:t>
      </w:r>
      <w:r>
        <w:t xml:space="preserve"> </w:t>
      </w:r>
      <w:r>
        <w:rPr>
          <w:bCs/>
          <w:b/>
        </w:rPr>
        <w:t xml:space="preserve">July 24, 2026</w:t>
      </w:r>
      <w:r>
        <w:t xml:space="preserve">:</w:t>
      </w:r>
    </w:p>
    <w:p>
      <w:pPr>
        <w:numPr>
          <w:ilvl w:val="0"/>
          <w:numId w:val="1008"/>
        </w:numPr>
        <w:pStyle w:val="Compact"/>
      </w:pPr>
      <w:r>
        <w:t xml:space="preserve">average:</w:t>
      </w:r>
      <w:r>
        <w:t xml:space="preserve"> </w:t>
      </w:r>
      <w:r>
        <w:rPr>
          <w:bCs/>
          <w:b/>
        </w:rPr>
        <w:t xml:space="preserve">$41,073/year</w:t>
      </w:r>
      <w:r>
        <w:t xml:space="preserve">;</w:t>
      </w:r>
    </w:p>
    <w:p>
      <w:pPr>
        <w:numPr>
          <w:ilvl w:val="0"/>
          <w:numId w:val="1008"/>
        </w:numPr>
        <w:pStyle w:val="Compact"/>
      </w:pPr>
      <w:r>
        <w:t xml:space="preserve">approximately</w:t>
      </w:r>
      <w:r>
        <w:t xml:space="preserve"> </w:t>
      </w:r>
      <w:r>
        <w:rPr>
          <w:bCs/>
          <w:b/>
        </w:rPr>
        <w:t xml:space="preserve">$19.75/hour</w:t>
      </w:r>
      <w:r>
        <w:t xml:space="preserve">;</w:t>
      </w:r>
    </w:p>
    <w:p>
      <w:pPr>
        <w:numPr>
          <w:ilvl w:val="0"/>
          <w:numId w:val="1008"/>
        </w:numPr>
        <w:pStyle w:val="Compact"/>
      </w:pPr>
      <w:r>
        <w:t xml:space="preserve">25th percentile:</w:t>
      </w:r>
      <w:r>
        <w:t xml:space="preserve"> </w:t>
      </w:r>
      <w:r>
        <w:rPr>
          <w:bCs/>
          <w:b/>
        </w:rPr>
        <w:t xml:space="preserve">$35,000</w:t>
      </w:r>
      <w:r>
        <w:t xml:space="preserve">;</w:t>
      </w:r>
    </w:p>
    <w:p>
      <w:pPr>
        <w:numPr>
          <w:ilvl w:val="0"/>
          <w:numId w:val="1008"/>
        </w:numPr>
        <w:pStyle w:val="Compact"/>
      </w:pPr>
      <w:r>
        <w:t xml:space="preserve">75th percentile:</w:t>
      </w:r>
      <w:r>
        <w:t xml:space="preserve"> </w:t>
      </w:r>
      <w:r>
        <w:rPr>
          <w:bCs/>
          <w:b/>
        </w:rPr>
        <w:t xml:space="preserve">$44,500</w:t>
      </w:r>
      <w:r>
        <w:t xml:space="preserve">; and</w:t>
      </w:r>
    </w:p>
    <w:p>
      <w:pPr>
        <w:numPr>
          <w:ilvl w:val="0"/>
          <w:numId w:val="1008"/>
        </w:numPr>
        <w:pStyle w:val="Compact"/>
      </w:pPr>
      <w:r>
        <w:t xml:space="preserve">90th percentile:</w:t>
      </w:r>
      <w:r>
        <w:t xml:space="preserve"> </w:t>
      </w:r>
      <w:r>
        <w:rPr>
          <w:bCs/>
          <w:b/>
        </w:rPr>
        <w:t xml:space="preserve">$50,000</w:t>
      </w:r>
      <w:r>
        <w:t xml:space="preserve">.</w:t>
      </w:r>
    </w:p>
    <w:p>
      <w:pPr>
        <w:pStyle w:val="FirstParagraph"/>
      </w:pPr>
      <w:r>
        <w:t xml:space="preserve">ZipRecruiter says its estimates use employer job postings and third-party data. This is a nongovernment market estimate, not an official statistic or guarantee.</w:t>
      </w:r>
    </w:p>
    <w:p>
      <w:pPr>
        <w:pStyle w:val="BodyText"/>
      </w:pPr>
      <w:r>
        <w:t xml:space="preserve">Source:</w:t>
      </w:r>
      <w:r>
        <w:br/>
      </w:r>
      <w:r>
        <w:t xml:space="preserve">https://www.ziprecruiter.com/Salaries/Patient-Services-Representative-Salary</w:t>
      </w:r>
    </w:p>
    <w:bookmarkEnd w:id="32"/>
    <w:bookmarkStart w:id="33" w:name="canada-medical-administrative-benchmark"/>
    <w:p>
      <w:pPr>
        <w:pStyle w:val="Heading2"/>
      </w:pPr>
      <w:r>
        <w:t xml:space="preserve">8. Canada — medical administrative benchmark</w:t>
      </w:r>
    </w:p>
    <w:p>
      <w:pPr>
        <w:pStyle w:val="FirstParagraph"/>
      </w:pPr>
      <w:r>
        <w:t xml:space="preserve">Government of Canada Job Bank maps medical-secretary work to</w:t>
      </w:r>
      <w:r>
        <w:t xml:space="preserve"> </w:t>
      </w:r>
      <w:r>
        <w:rPr>
          <w:bCs/>
          <w:b/>
        </w:rPr>
        <w:t xml:space="preserve">NOC 13112 — Medical administrative assistants</w:t>
      </w:r>
      <w:r>
        <w:t xml:space="preserve">. National wages updated</w:t>
      </w:r>
      <w:r>
        <w:t xml:space="preserve"> </w:t>
      </w:r>
      <w:r>
        <w:rPr>
          <w:bCs/>
          <w:b/>
        </w:rPr>
        <w:t xml:space="preserve">November 19, 2025</w:t>
      </w:r>
      <w:r>
        <w:t xml:space="preserve">, with a</w:t>
      </w:r>
      <w:r>
        <w:t xml:space="preserve"> </w:t>
      </w:r>
      <w:r>
        <w:rPr>
          <w:bCs/>
          <w:b/>
        </w:rPr>
        <w:t xml:space="preserve">2023–2024</w:t>
      </w:r>
      <w:r>
        <w:t xml:space="preserve"> </w:t>
      </w:r>
      <w:r>
        <w:t xml:space="preserve">reference period, report:</w:t>
      </w:r>
    </w:p>
    <w:p>
      <w:pPr>
        <w:numPr>
          <w:ilvl w:val="0"/>
          <w:numId w:val="1009"/>
        </w:numPr>
        <w:pStyle w:val="Compact"/>
      </w:pPr>
      <w:r>
        <w:t xml:space="preserve">low:</w:t>
      </w:r>
      <w:r>
        <w:t xml:space="preserve"> </w:t>
      </w:r>
      <w:r>
        <w:rPr>
          <w:bCs/>
          <w:b/>
        </w:rPr>
        <w:t xml:space="preserve">C$18.92/hour</w:t>
      </w:r>
      <w:r>
        <w:t xml:space="preserve">;</w:t>
      </w:r>
    </w:p>
    <w:p>
      <w:pPr>
        <w:numPr>
          <w:ilvl w:val="0"/>
          <w:numId w:val="1009"/>
        </w:numPr>
        <w:pStyle w:val="Compact"/>
      </w:pPr>
      <w:r>
        <w:t xml:space="preserve">median:</w:t>
      </w:r>
      <w:r>
        <w:t xml:space="preserve"> </w:t>
      </w:r>
      <w:r>
        <w:rPr>
          <w:bCs/>
          <w:b/>
        </w:rPr>
        <w:t xml:space="preserve">C$25.00/hour</w:t>
      </w:r>
      <w:r>
        <w:t xml:space="preserve">; and</w:t>
      </w:r>
    </w:p>
    <w:p>
      <w:pPr>
        <w:numPr>
          <w:ilvl w:val="0"/>
          <w:numId w:val="1009"/>
        </w:numPr>
        <w:pStyle w:val="Compact"/>
      </w:pPr>
      <w:r>
        <w:t xml:space="preserve">high:</w:t>
      </w:r>
      <w:r>
        <w:t xml:space="preserve"> </w:t>
      </w:r>
      <w:r>
        <w:rPr>
          <w:bCs/>
          <w:b/>
        </w:rPr>
        <w:t xml:space="preserve">C$32.00/hour</w:t>
      </w:r>
      <w:r>
        <w:t xml:space="preserve">.</w:t>
      </w:r>
    </w:p>
    <w:p>
      <w:pPr>
        <w:pStyle w:val="FirstParagraph"/>
      </w:pPr>
      <w:r>
        <w:t xml:space="preserve">This is a medical-administrative benchmark. Patient access, reception, billing, records, and specialty-clinic roles may map differently, so compare actual duties and provincial requirements.</w:t>
      </w:r>
    </w:p>
    <w:p>
      <w:pPr>
        <w:pStyle w:val="BodyText"/>
      </w:pPr>
      <w:r>
        <w:t xml:space="preserve">Source:</w:t>
      </w:r>
      <w:r>
        <w:br/>
      </w:r>
      <w:r>
        <w:t xml:space="preserve">https://www.jobbank.gc.ca/wagereport/occupation/12598</w:t>
      </w:r>
    </w:p>
    <w:bookmarkEnd w:id="33"/>
    <w:bookmarkStart w:id="34" w:name="colombia-sena-pathway"/>
    <w:p>
      <w:pPr>
        <w:pStyle w:val="Heading2"/>
      </w:pPr>
      <w:r>
        <w:t xml:space="preserve">9. Colombia — SENA pathway</w:t>
      </w:r>
    </w:p>
    <w:p>
      <w:pPr>
        <w:pStyle w:val="FirstParagraph"/>
      </w:pPr>
      <w:r>
        <w:t xml:space="preserve">SENA Betowa lists</w:t>
      </w:r>
      <w:r>
        <w:t xml:space="preserve"> </w:t>
      </w:r>
      <w:r>
        <w:rPr>
          <w:bCs/>
          <w:b/>
        </w:rPr>
        <w:t xml:space="preserve">Apoyo Administrativo en Salud</w:t>
      </w:r>
      <w:r>
        <w:t xml:space="preserve">, a</w:t>
      </w:r>
      <w:r>
        <w:t xml:space="preserve"> </w:t>
      </w:r>
      <w:r>
        <w:rPr>
          <w:bCs/>
          <w:b/>
        </w:rPr>
        <w:t xml:space="preserve">Técnico</w:t>
      </w:r>
      <w:r>
        <w:t xml:space="preserve"> </w:t>
      </w:r>
      <w:r>
        <w:t xml:space="preserve">titled program delivered</w:t>
      </w:r>
      <w:r>
        <w:t xml:space="preserve"> </w:t>
      </w:r>
      <w:r>
        <w:rPr>
          <w:bCs/>
          <w:b/>
        </w:rPr>
        <w:t xml:space="preserve">presencial</w:t>
      </w:r>
      <w:r>
        <w:t xml:space="preserve"> </w:t>
      </w:r>
      <w:r>
        <w:t xml:space="preserve">with a published duration of</w:t>
      </w:r>
      <w:r>
        <w:t xml:space="preserve"> </w:t>
      </w:r>
      <w:r>
        <w:rPr>
          <w:bCs/>
          <w:b/>
        </w:rPr>
        <w:t xml:space="preserve">2,640 hours</w:t>
      </w:r>
      <w:r>
        <w:t xml:space="preserve"> </w:t>
      </w:r>
      <w:r>
        <w:t xml:space="preserve">and minimum age</w:t>
      </w:r>
      <w:r>
        <w:t xml:space="preserve"> </w:t>
      </w:r>
      <w:r>
        <w:rPr>
          <w:bCs/>
          <w:b/>
        </w:rPr>
        <w:t xml:space="preserve">16+</w:t>
      </w:r>
      <w:r>
        <w:t xml:space="preserve">. Published competencies include admitting and orienting people under health-sector rules, processing affiliations, handling cash collection under applicable procedures, registering information, and using information technology tools.</w:t>
      </w:r>
    </w:p>
    <w:p>
      <w:pPr>
        <w:pStyle w:val="BodyText"/>
      </w:pPr>
      <w:r>
        <w:t xml:space="preserve">A current open-offer view can show no local cohort even though the program remains in the catalog. SENA states that selection depends on available spaces and its established admission process. Verify the current city, center, enrollment window, prerequisites, and availability before relying on the program.</w:t>
      </w:r>
    </w:p>
    <w:p>
      <w:pPr>
        <w:pStyle w:val="BodyText"/>
      </w:pPr>
      <w:r>
        <w:t xml:space="preserve">Sources:</w:t>
      </w:r>
      <w:r>
        <w:br/>
      </w:r>
      <w:r>
        <w:t xml:space="preserve">https://betowa.sena.edu.co/oferta/apoyo-administrativo-en-salud?location=57011001&amp;modality=P&amp;offertype=open&amp;programId=212936</w:t>
      </w:r>
      <w:r>
        <w:br/>
      </w:r>
      <w:r>
        <w:t xml:space="preserve">https://betowa.sena.edu.co/oferta/apoyo-administrativo-en-salud?level=2&amp;location=57025307&amp;modality=P&amp;offertype=company&amp;programId=212936</w:t>
      </w:r>
    </w:p>
    <w:bookmarkEnd w:id="34"/>
    <w:bookmarkStart w:id="35" w:name="other-latin-america-pathways"/>
    <w:p>
      <w:pPr>
        <w:pStyle w:val="Heading2"/>
      </w:pPr>
      <w:r>
        <w:t xml:space="preserve">10. Other Latin America pathways</w:t>
      </w:r>
    </w:p>
    <w:p>
      <w:pPr>
        <w:pStyle w:val="FirstParagraph"/>
      </w:pPr>
      <w:r>
        <w:t xml:space="preserve">Across Latin America, search local titles such as</w:t>
      </w:r>
      <w:r>
        <w:t xml:space="preserve"> </w:t>
      </w:r>
      <w:r>
        <w:rPr>
          <w:rStyle w:val="VerbatimChar"/>
        </w:rPr>
        <w:t xml:space="preserve">admisiones en salud</w:t>
      </w:r>
      <w:r>
        <w:t xml:space="preserve">,</w:t>
      </w:r>
      <w:r>
        <w:t xml:space="preserve"> </w:t>
      </w:r>
      <w:r>
        <w:rPr>
          <w:rStyle w:val="VerbatimChar"/>
        </w:rPr>
        <w:t xml:space="preserve">recepción médica</w:t>
      </w:r>
      <w:r>
        <w:t xml:space="preserve">,</w:t>
      </w:r>
      <w:r>
        <w:t xml:space="preserve"> </w:t>
      </w:r>
      <w:r>
        <w:rPr>
          <w:rStyle w:val="VerbatimChar"/>
        </w:rPr>
        <w:t xml:space="preserve">secretariado médico</w:t>
      </w:r>
      <w:r>
        <w:t xml:space="preserve">,</w:t>
      </w:r>
      <w:r>
        <w:t xml:space="preserve"> </w:t>
      </w:r>
      <w:r>
        <w:rPr>
          <w:rStyle w:val="VerbatimChar"/>
        </w:rPr>
        <w:t xml:space="preserve">asistencia administrativa en salud</w:t>
      </w:r>
      <w:r>
        <w:t xml:space="preserve">,</w:t>
      </w:r>
      <w:r>
        <w:t xml:space="preserve"> </w:t>
      </w:r>
      <w:r>
        <w:rPr>
          <w:rStyle w:val="VerbatimChar"/>
        </w:rPr>
        <w:t xml:space="preserve">servicio al paciente</w:t>
      </w:r>
      <w:r>
        <w:t xml:space="preserve">,</w:t>
      </w:r>
      <w:r>
        <w:t xml:space="preserve"> </w:t>
      </w:r>
      <w:r>
        <w:rPr>
          <w:rStyle w:val="VerbatimChar"/>
        </w:rPr>
        <w:t xml:space="preserve">atención al usuario en salud</w:t>
      </w:r>
      <w:r>
        <w:t xml:space="preserve">,</w:t>
      </w:r>
      <w:r>
        <w:t xml:space="preserve"> </w:t>
      </w:r>
      <w:r>
        <w:rPr>
          <w:rStyle w:val="VerbatimChar"/>
        </w:rPr>
        <w:t xml:space="preserve">coordinación de consultorio</w:t>
      </w:r>
      <w:r>
        <w:t xml:space="preserve">, and</w:t>
      </w:r>
      <w:r>
        <w:t xml:space="preserve"> </w:t>
      </w:r>
      <w:r>
        <w:rPr>
          <w:rStyle w:val="VerbatimChar"/>
        </w:rPr>
        <w:t xml:space="preserve">acceso de pacientes</w:t>
      </w:r>
      <w:r>
        <w:t xml:space="preserve">.</w:t>
      </w:r>
    </w:p>
    <w:p>
      <w:pPr>
        <w:pStyle w:val="BodyText"/>
      </w:pPr>
      <w:r>
        <w:t xml:space="preserve">Requirements differ by healthcare system and country. Prioritize public technical institutions, recognized universities or institutes, national employment services, employer academies, and verified work-based learning. Do not assume that HIPAA, a U.S. occupation code, Canadian NOC, or Colombian SENA program automatically governs another country.</w:t>
      </w:r>
    </w:p>
    <w:bookmarkEnd w:id="35"/>
    <w:bookmarkStart w:id="36" w:name="education-skills-and-free-first-learning"/>
    <w:p>
      <w:pPr>
        <w:pStyle w:val="Heading2"/>
      </w:pPr>
      <w:r>
        <w:t xml:space="preserve">11. Education, skills, and free-first learning</w:t>
      </w:r>
    </w:p>
    <w:p>
      <w:pPr>
        <w:pStyle w:val="FirstParagraph"/>
      </w:pPr>
      <w:r>
        <w:t xml:space="preserve">There is no universal private credential for this broad role.</w:t>
      </w:r>
    </w:p>
    <w:p>
      <w:pPr>
        <w:pStyle w:val="BodyText"/>
      </w:pPr>
      <w:r>
        <w:t xml:space="preserve">Useful foundational skills include:</w:t>
      </w:r>
    </w:p>
    <w:p>
      <w:pPr>
        <w:numPr>
          <w:ilvl w:val="0"/>
          <w:numId w:val="1010"/>
        </w:numPr>
        <w:pStyle w:val="Compact"/>
      </w:pPr>
      <w:r>
        <w:t xml:space="preserve">medical terminology at an administrative level;</w:t>
      </w:r>
    </w:p>
    <w:p>
      <w:pPr>
        <w:numPr>
          <w:ilvl w:val="0"/>
          <w:numId w:val="1010"/>
        </w:numPr>
        <w:pStyle w:val="Compact"/>
      </w:pPr>
      <w:r>
        <w:t xml:space="preserve">appointment scheduling and calendar discipline;</w:t>
      </w:r>
    </w:p>
    <w:p>
      <w:pPr>
        <w:numPr>
          <w:ilvl w:val="0"/>
          <w:numId w:val="1010"/>
        </w:numPr>
        <w:pStyle w:val="Compact"/>
      </w:pPr>
      <w:r>
        <w:t xml:space="preserve">patient registration and identity verification;</w:t>
      </w:r>
    </w:p>
    <w:p>
      <w:pPr>
        <w:numPr>
          <w:ilvl w:val="0"/>
          <w:numId w:val="1010"/>
        </w:numPr>
        <w:pStyle w:val="Compact"/>
      </w:pPr>
      <w:r>
        <w:t xml:space="preserve">privacy and confidentiality;</w:t>
      </w:r>
    </w:p>
    <w:p>
      <w:pPr>
        <w:numPr>
          <w:ilvl w:val="0"/>
          <w:numId w:val="1010"/>
        </w:numPr>
        <w:pStyle w:val="Compact"/>
      </w:pPr>
      <w:r>
        <w:t xml:space="preserve">clear telephone and written communication;</w:t>
      </w:r>
    </w:p>
    <w:p>
      <w:pPr>
        <w:numPr>
          <w:ilvl w:val="0"/>
          <w:numId w:val="1010"/>
        </w:numPr>
        <w:pStyle w:val="Compact"/>
      </w:pPr>
      <w:r>
        <w:t xml:space="preserve">basic insurance and referral vocabulary;</w:t>
      </w:r>
    </w:p>
    <w:p>
      <w:pPr>
        <w:numPr>
          <w:ilvl w:val="0"/>
          <w:numId w:val="1010"/>
        </w:numPr>
        <w:pStyle w:val="Compact"/>
      </w:pPr>
      <w:r>
        <w:t xml:space="preserve">payment-handling procedures;</w:t>
      </w:r>
    </w:p>
    <w:p>
      <w:pPr>
        <w:numPr>
          <w:ilvl w:val="0"/>
          <w:numId w:val="1010"/>
        </w:numPr>
        <w:pStyle w:val="Compact"/>
      </w:pPr>
      <w:r>
        <w:t xml:space="preserve">accurate data entry;</w:t>
      </w:r>
    </w:p>
    <w:p>
      <w:pPr>
        <w:numPr>
          <w:ilvl w:val="0"/>
          <w:numId w:val="1010"/>
        </w:numPr>
        <w:pStyle w:val="Compact"/>
      </w:pPr>
      <w:r>
        <w:t xml:space="preserve">EHR/EMR navigation through authorized training environments;</w:t>
      </w:r>
    </w:p>
    <w:p>
      <w:pPr>
        <w:numPr>
          <w:ilvl w:val="0"/>
          <w:numId w:val="1010"/>
        </w:numPr>
        <w:pStyle w:val="Compact"/>
      </w:pPr>
      <w:r>
        <w:t xml:space="preserve">accessibility and disability awareness;</w:t>
      </w:r>
    </w:p>
    <w:p>
      <w:pPr>
        <w:numPr>
          <w:ilvl w:val="0"/>
          <w:numId w:val="1010"/>
        </w:numPr>
        <w:pStyle w:val="Compact"/>
      </w:pPr>
      <w:r>
        <w:t xml:space="preserve">de-escalation and customer service;</w:t>
      </w:r>
    </w:p>
    <w:p>
      <w:pPr>
        <w:numPr>
          <w:ilvl w:val="0"/>
          <w:numId w:val="1010"/>
        </w:numPr>
        <w:pStyle w:val="Compact"/>
      </w:pPr>
      <w:r>
        <w:t xml:space="preserve">cybersecurity and phishing awareness; and</w:t>
      </w:r>
    </w:p>
    <w:p>
      <w:pPr>
        <w:numPr>
          <w:ilvl w:val="0"/>
          <w:numId w:val="1010"/>
        </w:numPr>
        <w:pStyle w:val="Compact"/>
      </w:pPr>
      <w:r>
        <w:t xml:space="preserve">responsible use of AI.</w:t>
      </w:r>
    </w:p>
    <w:p>
      <w:pPr>
        <w:pStyle w:val="FirstParagraph"/>
      </w:pPr>
      <w:r>
        <w:t xml:space="preserve">Free-first practice can include fictional scheduling exercises, sanitized intake forms, communication scripts, spreadsheet trackers, privacy-awareness courses, and employer-provided system training. Never use real patient information for a portfolio or practice exercise.</w:t>
      </w:r>
    </w:p>
    <w:bookmarkEnd w:id="36"/>
    <w:bookmarkStart w:id="38" w:name="Xb79dfce052e4a426ad9941ddbb58d3ab66a632d"/>
    <w:p>
      <w:pPr>
        <w:pStyle w:val="Heading2"/>
      </w:pPr>
      <w:r>
        <w:t xml:space="preserve">12. Funding, employer support, and work-based learning</w:t>
      </w:r>
    </w:p>
    <w:bookmarkStart w:id="37" w:name="united-states"/>
    <w:p>
      <w:pPr>
        <w:pStyle w:val="Heading3"/>
      </w:pPr>
      <w:r>
        <w:t xml:space="preserve">United States</w:t>
      </w:r>
    </w:p>
    <w:p>
      <w:pPr>
        <w:pStyle w:val="FirstParagraph"/>
      </w:pPr>
      <w:r>
        <w:t xml:space="preserve">Federal Student Aid may support eligible students in eligible postsecondary or career-school programs. FAFSA completion does not make every short course or private certificate eligible.</w:t>
      </w:r>
    </w:p>
    <w:p>
      <w:pPr>
        <w:pStyle w:val="BodyText"/>
      </w:pPr>
      <w:r>
        <w:t xml:space="preserve">https://studentaid.gov/articles/fafsa-student-steps/</w:t>
      </w:r>
    </w:p>
    <w:p>
      <w:pPr>
        <w:pStyle w:val="BodyText"/>
      </w:pPr>
      <w:r>
        <w:t xml:space="preserve">State and local workforce systems may support eligible adult or dislocated-worker training under applicable WIOA rules and available funding.</w:t>
      </w:r>
    </w:p>
    <w:p>
      <w:pPr>
        <w:pStyle w:val="BodyText"/>
      </w:pPr>
      <w:r>
        <w:t xml:space="preserve">https://www.dol.gov/general/topic/training/adulttraining</w:t>
      </w:r>
    </w:p>
    <w:p>
      <w:pPr>
        <w:pStyle w:val="BodyText"/>
      </w:pPr>
      <w:r>
        <w:t xml:space="preserve">Under a qualifying employer educational-assistance program, IRS Section 127 guidance states that for calendar years</w:t>
      </w:r>
      <w:r>
        <w:t xml:space="preserve"> </w:t>
      </w:r>
      <w:r>
        <w:rPr>
          <w:bCs/>
          <w:b/>
        </w:rPr>
        <w:t xml:space="preserve">2025 and 2026</w:t>
      </w:r>
      <w:r>
        <w:t xml:space="preserve">, up to</w:t>
      </w:r>
      <w:r>
        <w:t xml:space="preserve"> </w:t>
      </w:r>
      <w:r>
        <w:rPr>
          <w:bCs/>
          <w:b/>
        </w:rPr>
        <w:t xml:space="preserve">$5,250</w:t>
      </w:r>
      <w:r>
        <w:t xml:space="preserve"> </w:t>
      </w:r>
      <w:r>
        <w:t xml:space="preserve">of qualifying educational assistance may be excluded from an employee’s gross income. This is a U.S. tax-rule ceiling, not a guaranteed employer benefit.</w:t>
      </w:r>
    </w:p>
    <w:p>
      <w:pPr>
        <w:pStyle w:val="BodyText"/>
      </w:pPr>
      <w:r>
        <w:t xml:space="preserve">https://www.irs.gov/newsroom/irs-updates-frequently-asked-questions-about-section-127-educational-assistance-programs</w:t>
      </w:r>
    </w:p>
    <w:p>
      <w:pPr>
        <w:pStyle w:val="BodyText"/>
      </w:pPr>
      <w:r>
        <w:t xml:space="preserve">Registered Apprenticeship combines paid work experience, mentorship, progressive wage increases, classroom instruction, and a portable nationally recognized credential. Healthcare-administration availability is local and employer-driven; search actual openings.</w:t>
      </w:r>
    </w:p>
    <w:p>
      <w:pPr>
        <w:pStyle w:val="BodyText"/>
      </w:pPr>
      <w:r>
        <w:t xml:space="preserve">https://www.apprenticeship.gov/career-seekers</w:t>
      </w:r>
    </w:p>
    <w:bookmarkEnd w:id="37"/>
    <w:bookmarkEnd w:id="38"/>
    <w:bookmarkStart w:id="39" w:name="X9990a6c1dbafafbfa82de582877fa82942707a9"/>
    <w:p>
      <w:pPr>
        <w:pStyle w:val="Heading2"/>
      </w:pPr>
      <w:r>
        <w:t xml:space="preserve">13. Patient communication, accessibility, and language access</w:t>
      </w:r>
    </w:p>
    <w:p>
      <w:pPr>
        <w:pStyle w:val="FirstParagraph"/>
      </w:pPr>
      <w:r>
        <w:t xml:space="preserve">Good patient-service work reduces administrative barriers without crossing into clinical practice.</w:t>
      </w:r>
    </w:p>
    <w:p>
      <w:pPr>
        <w:pStyle w:val="BodyText"/>
      </w:pPr>
      <w:r>
        <w:t xml:space="preserve">Useful practices include:</w:t>
      </w:r>
    </w:p>
    <w:p>
      <w:pPr>
        <w:numPr>
          <w:ilvl w:val="0"/>
          <w:numId w:val="1011"/>
        </w:numPr>
        <w:pStyle w:val="Compact"/>
      </w:pPr>
      <w:r>
        <w:t xml:space="preserve">use plain language for administrative instructions;</w:t>
      </w:r>
    </w:p>
    <w:p>
      <w:pPr>
        <w:numPr>
          <w:ilvl w:val="0"/>
          <w:numId w:val="1011"/>
        </w:numPr>
        <w:pStyle w:val="Compact"/>
      </w:pPr>
      <w:r>
        <w:t xml:space="preserve">repeat dates, times, addresses, and preparation instructions exactly as approved;</w:t>
      </w:r>
    </w:p>
    <w:p>
      <w:pPr>
        <w:numPr>
          <w:ilvl w:val="0"/>
          <w:numId w:val="1011"/>
        </w:numPr>
        <w:pStyle w:val="Compact"/>
      </w:pPr>
      <w:r>
        <w:t xml:space="preserve">confirm the patient’s preferred communication channel when policy permits;</w:t>
      </w:r>
    </w:p>
    <w:p>
      <w:pPr>
        <w:numPr>
          <w:ilvl w:val="0"/>
          <w:numId w:val="1011"/>
        </w:numPr>
        <w:pStyle w:val="Compact"/>
      </w:pPr>
      <w:r>
        <w:t xml:space="preserve">use qualified interpreter or language-access services when required rather than relying on unapproved informal translation;</w:t>
      </w:r>
    </w:p>
    <w:p>
      <w:pPr>
        <w:numPr>
          <w:ilvl w:val="0"/>
          <w:numId w:val="1011"/>
        </w:numPr>
        <w:pStyle w:val="Compact"/>
      </w:pPr>
      <w:r>
        <w:t xml:space="preserve">protect privacy when discussing sensitive matters at a front desk;</w:t>
      </w:r>
    </w:p>
    <w:p>
      <w:pPr>
        <w:numPr>
          <w:ilvl w:val="0"/>
          <w:numId w:val="1011"/>
        </w:numPr>
        <w:pStyle w:val="Compact"/>
      </w:pPr>
      <w:r>
        <w:t xml:space="preserve">provide accessible forms, portals, communication methods, or accommodation pathways when available;</w:t>
      </w:r>
    </w:p>
    <w:p>
      <w:pPr>
        <w:numPr>
          <w:ilvl w:val="0"/>
          <w:numId w:val="1011"/>
        </w:numPr>
        <w:pStyle w:val="Compact"/>
      </w:pPr>
      <w:r>
        <w:t xml:space="preserve">document requests accurately; and</w:t>
      </w:r>
    </w:p>
    <w:p>
      <w:pPr>
        <w:numPr>
          <w:ilvl w:val="0"/>
          <w:numId w:val="1011"/>
        </w:numPr>
        <w:pStyle w:val="Compact"/>
      </w:pPr>
      <w:r>
        <w:t xml:space="preserve">escalate when an accommodation, interpreter, safety, clinical, or legal question exceeds your authority.</w:t>
      </w:r>
    </w:p>
    <w:p>
      <w:pPr>
        <w:pStyle w:val="FirstParagraph"/>
      </w:pPr>
      <w:r>
        <w:t xml:space="preserve">Do not treat communication skill as permission to interpret symptoms, diagnoses, treatment plans, test results, or medical necessity.</w:t>
      </w:r>
    </w:p>
    <w:bookmarkEnd w:id="39"/>
    <w:bookmarkStart w:id="40" w:name="Xd942e1649633f83515c979ff79ba162bb26875d"/>
    <w:p>
      <w:pPr>
        <w:pStyle w:val="Heading2"/>
      </w:pPr>
      <w:r>
        <w:t xml:space="preserve">14. Privacy, cybersecurity, HIPAA, and responsible AI</w:t>
      </w:r>
    </w:p>
    <w:p>
      <w:pPr>
        <w:pStyle w:val="FirstParagraph"/>
      </w:pPr>
      <w:r>
        <w:t xml:space="preserve">For U.S. organizations subject to HIPAA, HHS states that the Security Rule requires appropriate</w:t>
      </w:r>
      <w:r>
        <w:t xml:space="preserve"> </w:t>
      </w:r>
      <w:r>
        <w:rPr>
          <w:bCs/>
          <w:b/>
        </w:rPr>
        <w:t xml:space="preserve">administrative, physical, and technical safeguards</w:t>
      </w:r>
      <w:r>
        <w:t xml:space="preserve"> </w:t>
      </w:r>
      <w:r>
        <w:t xml:space="preserve">to protect the confidentiality, integrity, and availability of electronic protected health information.</w:t>
      </w:r>
    </w:p>
    <w:p>
      <w:pPr>
        <w:pStyle w:val="BodyText"/>
      </w:pPr>
      <w:r>
        <w:t xml:space="preserve">https://www.hhs.gov/hipaa/for-professionals/security/index.html</w:t>
      </w:r>
    </w:p>
    <w:p>
      <w:pPr>
        <w:pStyle w:val="BodyText"/>
      </w:pPr>
      <w:r>
        <w:t xml:space="preserve">HHS also explains that the Privacy Rule’s minimum-necessary standard generally requires reasonable efforts to limit uses, disclosures, and requests for protected health information to what is necessary for the intended purpose. Important exceptions exist, including certain treatment disclosures/requests and uses or disclosures authorized by the individual. Follow the organization’s approved policies rather than inventing a simplified rule.</w:t>
      </w:r>
    </w:p>
    <w:p>
      <w:pPr>
        <w:pStyle w:val="BodyText"/>
      </w:pPr>
      <w:r>
        <w:t xml:space="preserve">https://www.hhs.gov/hipaa/for-professionals/privacy/guidance/minimum-necessary-requirement/index.html</w:t>
      </w:r>
    </w:p>
    <w:p>
      <w:pPr>
        <w:pStyle w:val="BodyText"/>
      </w:pPr>
      <w:r>
        <w:t xml:space="preserve">AI may help with low-risk, nonpatient tasks such as fictional scripts, plain-language drafts, generic checklists, or training scenarios. Do not paste patient names, medical record numbers, diagnoses, appointments, insurance details, messages, clinical notes, payment data, or other confidential information into an unapproved AI system. Human review remains responsible for privacy, accuracy, safety, accessibility, and final decisions.</w:t>
      </w:r>
    </w:p>
    <w:bookmarkEnd w:id="40"/>
    <w:bookmarkStart w:id="41" w:name="build-evidence-of-capability-safely"/>
    <w:p>
      <w:pPr>
        <w:pStyle w:val="Heading2"/>
      </w:pPr>
      <w:r>
        <w:t xml:space="preserve">15. Build evidence of capability safely</w:t>
      </w:r>
    </w:p>
    <w:p>
      <w:pPr>
        <w:pStyle w:val="FirstParagraph"/>
      </w:pPr>
      <w:r>
        <w:t xml:space="preserve">Create a portfolio using fictional information only. Possible items include:</w:t>
      </w:r>
    </w:p>
    <w:p>
      <w:pPr>
        <w:numPr>
          <w:ilvl w:val="0"/>
          <w:numId w:val="1012"/>
        </w:numPr>
        <w:pStyle w:val="Compact"/>
      </w:pPr>
      <w:r>
        <w:t xml:space="preserve">a fictional appointment schedule with conflict-resolution rules;</w:t>
      </w:r>
    </w:p>
    <w:p>
      <w:pPr>
        <w:numPr>
          <w:ilvl w:val="0"/>
          <w:numId w:val="1012"/>
        </w:numPr>
        <w:pStyle w:val="Compact"/>
      </w:pPr>
      <w:r>
        <w:t xml:space="preserve">a patient check-in checklist;</w:t>
      </w:r>
    </w:p>
    <w:p>
      <w:pPr>
        <w:numPr>
          <w:ilvl w:val="0"/>
          <w:numId w:val="1012"/>
        </w:numPr>
        <w:pStyle w:val="Compact"/>
      </w:pPr>
      <w:r>
        <w:t xml:space="preserve">an identity-verification workflow;</w:t>
      </w:r>
    </w:p>
    <w:p>
      <w:pPr>
        <w:numPr>
          <w:ilvl w:val="0"/>
          <w:numId w:val="1012"/>
        </w:numPr>
        <w:pStyle w:val="Compact"/>
      </w:pPr>
      <w:r>
        <w:t xml:space="preserve">a fictional referral-status tracker;</w:t>
      </w:r>
    </w:p>
    <w:p>
      <w:pPr>
        <w:numPr>
          <w:ilvl w:val="0"/>
          <w:numId w:val="1012"/>
        </w:numPr>
        <w:pStyle w:val="Compact"/>
      </w:pPr>
      <w:r>
        <w:t xml:space="preserve">a privacy-safe front-desk communication script;</w:t>
      </w:r>
    </w:p>
    <w:p>
      <w:pPr>
        <w:numPr>
          <w:ilvl w:val="0"/>
          <w:numId w:val="1012"/>
        </w:numPr>
        <w:pStyle w:val="Compact"/>
      </w:pPr>
      <w:r>
        <w:t xml:space="preserve">a portal-support quick guide;</w:t>
      </w:r>
    </w:p>
    <w:p>
      <w:pPr>
        <w:numPr>
          <w:ilvl w:val="0"/>
          <w:numId w:val="1012"/>
        </w:numPr>
        <w:pStyle w:val="Compact"/>
      </w:pPr>
      <w:r>
        <w:t xml:space="preserve">an accessibility-request routing workflow;</w:t>
      </w:r>
    </w:p>
    <w:p>
      <w:pPr>
        <w:numPr>
          <w:ilvl w:val="0"/>
          <w:numId w:val="1012"/>
        </w:numPr>
        <w:pStyle w:val="Compact"/>
      </w:pPr>
      <w:r>
        <w:t xml:space="preserve">a fictional payment-receipt reconciliation checklist; or</w:t>
      </w:r>
    </w:p>
    <w:p>
      <w:pPr>
        <w:numPr>
          <w:ilvl w:val="0"/>
          <w:numId w:val="1012"/>
        </w:numPr>
        <w:pStyle w:val="Compact"/>
      </w:pPr>
      <w:r>
        <w:t xml:space="preserve">a process map from appointment request through check-out.</w:t>
      </w:r>
    </w:p>
    <w:p>
      <w:pPr>
        <w:pStyle w:val="FirstParagraph"/>
      </w:pPr>
      <w:r>
        <w:t xml:space="preserve">For every item, explain the problem, users, workflow, controls, escalation points, and what you would verify before using it in a real clinic. Never publish real patient or employee data.</w:t>
      </w:r>
    </w:p>
    <w:bookmarkEnd w:id="41"/>
    <w:bookmarkStart w:id="42" w:name="interview-preparation"/>
    <w:p>
      <w:pPr>
        <w:pStyle w:val="Heading2"/>
      </w:pPr>
      <w:r>
        <w:t xml:space="preserve">16. Interview preparation</w:t>
      </w:r>
    </w:p>
    <w:p>
      <w:pPr>
        <w:pStyle w:val="FirstParagraph"/>
      </w:pPr>
      <w:r>
        <w:t xml:space="preserve">Practice questions such as:</w:t>
      </w:r>
    </w:p>
    <w:p>
      <w:pPr>
        <w:numPr>
          <w:ilvl w:val="0"/>
          <w:numId w:val="1013"/>
        </w:numPr>
        <w:pStyle w:val="Compact"/>
      </w:pPr>
      <w:r>
        <w:t xml:space="preserve">What would you do if a caller asks for information about another adult patient’s appointment?</w:t>
      </w:r>
    </w:p>
    <w:p>
      <w:pPr>
        <w:numPr>
          <w:ilvl w:val="0"/>
          <w:numId w:val="1013"/>
        </w:numPr>
        <w:pStyle w:val="Compact"/>
      </w:pPr>
      <w:r>
        <w:t xml:space="preserve">How would you handle a patient who says they are having urgent symptoms while you are scheduling?</w:t>
      </w:r>
    </w:p>
    <w:p>
      <w:pPr>
        <w:numPr>
          <w:ilvl w:val="0"/>
          <w:numId w:val="1013"/>
        </w:numPr>
        <w:pStyle w:val="Compact"/>
      </w:pPr>
      <w:r>
        <w:t xml:space="preserve">What would you do if the EHR contains two patients with similar names?</w:t>
      </w:r>
    </w:p>
    <w:p>
      <w:pPr>
        <w:numPr>
          <w:ilvl w:val="0"/>
          <w:numId w:val="1013"/>
        </w:numPr>
        <w:pStyle w:val="Compact"/>
      </w:pPr>
      <w:r>
        <w:t xml:space="preserve">How would you respond if insurance information cannot be verified?</w:t>
      </w:r>
    </w:p>
    <w:p>
      <w:pPr>
        <w:numPr>
          <w:ilvl w:val="0"/>
          <w:numId w:val="1013"/>
        </w:numPr>
        <w:pStyle w:val="Compact"/>
      </w:pPr>
      <w:r>
        <w:t xml:space="preserve">What would you do if a patient disputes a payment or copay amount?</w:t>
      </w:r>
    </w:p>
    <w:p>
      <w:pPr>
        <w:numPr>
          <w:ilvl w:val="0"/>
          <w:numId w:val="1013"/>
        </w:numPr>
        <w:pStyle w:val="Compact"/>
      </w:pPr>
      <w:r>
        <w:t xml:space="preserve">How would you support a patient requesting an accommodation or interpreter?</w:t>
      </w:r>
    </w:p>
    <w:p>
      <w:pPr>
        <w:numPr>
          <w:ilvl w:val="0"/>
          <w:numId w:val="1013"/>
        </w:numPr>
        <w:pStyle w:val="Compact"/>
      </w:pPr>
      <w:r>
        <w:t xml:space="preserve">How would you respond if a coworker asks you to look up a celebrity or relative out of curiosity?</w:t>
      </w:r>
    </w:p>
    <w:p>
      <w:pPr>
        <w:numPr>
          <w:ilvl w:val="0"/>
          <w:numId w:val="1013"/>
        </w:numPr>
        <w:pStyle w:val="Compact"/>
      </w:pPr>
      <w:r>
        <w:t xml:space="preserve">Where can AI help, and where must approved systems and qualified humans remain responsible?</w:t>
      </w:r>
    </w:p>
    <w:p>
      <w:pPr>
        <w:pStyle w:val="FirstParagraph"/>
      </w:pPr>
      <w:r>
        <w:t xml:space="preserve">Strong answers show identity verification, privacy, documentation, empathy, accurate routing, scope discipline, and escalation.</w:t>
      </w:r>
    </w:p>
    <w:bookmarkEnd w:id="42"/>
    <w:bookmarkStart w:id="49" w:name="a-practical-12-week-starter-plan"/>
    <w:p>
      <w:pPr>
        <w:pStyle w:val="Heading2"/>
      </w:pPr>
      <w:r>
        <w:t xml:space="preserve">17. A practical 12-week starter plan</w:t>
      </w:r>
    </w:p>
    <w:bookmarkStart w:id="43" w:name="weeks-12"/>
    <w:p>
      <w:pPr>
        <w:pStyle w:val="Heading3"/>
      </w:pPr>
      <w:r>
        <w:t xml:space="preserve">Weeks 1–2</w:t>
      </w:r>
    </w:p>
    <w:p>
      <w:pPr>
        <w:numPr>
          <w:ilvl w:val="0"/>
          <w:numId w:val="1014"/>
        </w:numPr>
        <w:pStyle w:val="Compact"/>
      </w:pPr>
      <w:r>
        <w:t xml:space="preserve">Review 20–30 current vacancies.</w:t>
      </w:r>
    </w:p>
    <w:p>
      <w:pPr>
        <w:numPr>
          <w:ilvl w:val="0"/>
          <w:numId w:val="1014"/>
        </w:numPr>
        <w:pStyle w:val="Compact"/>
      </w:pPr>
      <w:r>
        <w:t xml:space="preserve">Record titles, duties, systems, terminology, education, schedule, languages, and privacy requirements.</w:t>
      </w:r>
    </w:p>
    <w:bookmarkEnd w:id="43"/>
    <w:bookmarkStart w:id="44" w:name="weeks-34"/>
    <w:p>
      <w:pPr>
        <w:pStyle w:val="Heading3"/>
      </w:pPr>
      <w:r>
        <w:t xml:space="preserve">Weeks 3–4</w:t>
      </w:r>
    </w:p>
    <w:p>
      <w:pPr>
        <w:numPr>
          <w:ilvl w:val="0"/>
          <w:numId w:val="1015"/>
        </w:numPr>
        <w:pStyle w:val="Compact"/>
      </w:pPr>
      <w:r>
        <w:t xml:space="preserve">Strengthen business writing, telephone skills, data entry, spreadsheets, scheduling, and medical terminology.</w:t>
      </w:r>
    </w:p>
    <w:bookmarkEnd w:id="44"/>
    <w:bookmarkStart w:id="45" w:name="weeks-56"/>
    <w:p>
      <w:pPr>
        <w:pStyle w:val="Heading3"/>
      </w:pPr>
      <w:r>
        <w:t xml:space="preserve">Weeks 5–6</w:t>
      </w:r>
    </w:p>
    <w:p>
      <w:pPr>
        <w:numPr>
          <w:ilvl w:val="0"/>
          <w:numId w:val="1016"/>
        </w:numPr>
        <w:pStyle w:val="Compact"/>
      </w:pPr>
      <w:r>
        <w:t xml:space="preserve">Complete one free or low-cost healthcare-administration or privacy learning activity.</w:t>
      </w:r>
    </w:p>
    <w:p>
      <w:pPr>
        <w:numPr>
          <w:ilvl w:val="0"/>
          <w:numId w:val="1016"/>
        </w:numPr>
        <w:pStyle w:val="Compact"/>
      </w:pPr>
      <w:r>
        <w:t xml:space="preserve">Build fictional registration and scheduling exercises.</w:t>
      </w:r>
    </w:p>
    <w:bookmarkEnd w:id="45"/>
    <w:bookmarkStart w:id="46" w:name="weeks-78"/>
    <w:p>
      <w:pPr>
        <w:pStyle w:val="Heading3"/>
      </w:pPr>
      <w:r>
        <w:t xml:space="preserve">Weeks 7–8</w:t>
      </w:r>
    </w:p>
    <w:p>
      <w:pPr>
        <w:numPr>
          <w:ilvl w:val="0"/>
          <w:numId w:val="1017"/>
        </w:numPr>
        <w:pStyle w:val="Compact"/>
      </w:pPr>
      <w:r>
        <w:t xml:space="preserve">Practice patient communication, identity verification, referrals, and nonclinical escalation scenarios.</w:t>
      </w:r>
    </w:p>
    <w:p>
      <w:pPr>
        <w:numPr>
          <w:ilvl w:val="0"/>
          <w:numId w:val="1017"/>
        </w:numPr>
        <w:pStyle w:val="Compact"/>
      </w:pPr>
      <w:r>
        <w:t xml:space="preserve">Build one privacy-safe portfolio workflow.</w:t>
      </w:r>
    </w:p>
    <w:bookmarkEnd w:id="46"/>
    <w:bookmarkStart w:id="47" w:name="weeks-910"/>
    <w:p>
      <w:pPr>
        <w:pStyle w:val="Heading3"/>
      </w:pPr>
      <w:r>
        <w:t xml:space="preserve">Weeks 9–10</w:t>
      </w:r>
    </w:p>
    <w:p>
      <w:pPr>
        <w:numPr>
          <w:ilvl w:val="0"/>
          <w:numId w:val="1018"/>
        </w:numPr>
        <w:pStyle w:val="Compact"/>
      </w:pPr>
      <w:r>
        <w:t xml:space="preserve">Review cybersecurity, privacy, accessibility, emergency escalation, and responsible AI.</w:t>
      </w:r>
    </w:p>
    <w:p>
      <w:pPr>
        <w:numPr>
          <w:ilvl w:val="0"/>
          <w:numId w:val="1018"/>
        </w:numPr>
        <w:pStyle w:val="Compact"/>
      </w:pPr>
      <w:r>
        <w:t xml:space="preserve">Verify funding, employer support, and repayment conditions before paying for training.</w:t>
      </w:r>
    </w:p>
    <w:bookmarkEnd w:id="47"/>
    <w:bookmarkStart w:id="48" w:name="weeks-1112"/>
    <w:p>
      <w:pPr>
        <w:pStyle w:val="Heading3"/>
      </w:pPr>
      <w:r>
        <w:t xml:space="preserve">Weeks 11–12</w:t>
      </w:r>
    </w:p>
    <w:p>
      <w:pPr>
        <w:numPr>
          <w:ilvl w:val="0"/>
          <w:numId w:val="1019"/>
        </w:numPr>
        <w:pStyle w:val="Compact"/>
      </w:pPr>
      <w:r>
        <w:t xml:space="preserve">Tailor your résumé truthfully.</w:t>
      </w:r>
    </w:p>
    <w:p>
      <w:pPr>
        <w:numPr>
          <w:ilvl w:val="0"/>
          <w:numId w:val="1019"/>
        </w:numPr>
        <w:pStyle w:val="Compact"/>
      </w:pPr>
      <w:r>
        <w:t xml:space="preserve">Practice scenario interviews.</w:t>
      </w:r>
    </w:p>
    <w:p>
      <w:pPr>
        <w:numPr>
          <w:ilvl w:val="0"/>
          <w:numId w:val="1019"/>
        </w:numPr>
        <w:pStyle w:val="Compact"/>
      </w:pPr>
      <w:r>
        <w:t xml:space="preserve">Apply selectively and revise your learning plan using employer feedback.</w:t>
      </w:r>
    </w:p>
    <w:bookmarkEnd w:id="48"/>
    <w:bookmarkEnd w:id="49"/>
    <w:bookmarkStart w:id="50" w:name="career-progression"/>
    <w:p>
      <w:pPr>
        <w:pStyle w:val="Heading2"/>
      </w:pPr>
      <w:r>
        <w:t xml:space="preserve">18. Career progression</w:t>
      </w:r>
    </w:p>
    <w:p>
      <w:pPr>
        <w:pStyle w:val="FirstParagraph"/>
      </w:pPr>
      <w:r>
        <w:t xml:space="preserve">Possible paths include:</w:t>
      </w:r>
    </w:p>
    <w:p>
      <w:pPr>
        <w:numPr>
          <w:ilvl w:val="0"/>
          <w:numId w:val="1020"/>
        </w:numPr>
        <w:pStyle w:val="Compact"/>
      </w:pPr>
      <w:r>
        <w:t xml:space="preserve">Senior Patient Services Representative</w:t>
      </w:r>
    </w:p>
    <w:p>
      <w:pPr>
        <w:numPr>
          <w:ilvl w:val="0"/>
          <w:numId w:val="1020"/>
        </w:numPr>
        <w:pStyle w:val="Compact"/>
      </w:pPr>
      <w:r>
        <w:t xml:space="preserve">Senior Patient Access Representative</w:t>
      </w:r>
    </w:p>
    <w:p>
      <w:pPr>
        <w:numPr>
          <w:ilvl w:val="0"/>
          <w:numId w:val="1020"/>
        </w:numPr>
        <w:pStyle w:val="Compact"/>
      </w:pPr>
      <w:r>
        <w:t xml:space="preserve">Medical Office Coordinator</w:t>
      </w:r>
    </w:p>
    <w:p>
      <w:pPr>
        <w:numPr>
          <w:ilvl w:val="0"/>
          <w:numId w:val="1020"/>
        </w:numPr>
        <w:pStyle w:val="Compact"/>
      </w:pPr>
      <w:r>
        <w:t xml:space="preserve">Clinic Coordinator</w:t>
      </w:r>
    </w:p>
    <w:p>
      <w:pPr>
        <w:numPr>
          <w:ilvl w:val="0"/>
          <w:numId w:val="1020"/>
        </w:numPr>
        <w:pStyle w:val="Compact"/>
      </w:pPr>
      <w:r>
        <w:t xml:space="preserve">Referral Coordinator</w:t>
      </w:r>
    </w:p>
    <w:p>
      <w:pPr>
        <w:numPr>
          <w:ilvl w:val="0"/>
          <w:numId w:val="1020"/>
        </w:numPr>
        <w:pStyle w:val="Compact"/>
      </w:pPr>
      <w:r>
        <w:t xml:space="preserve">Scheduling Coordinator</w:t>
      </w:r>
    </w:p>
    <w:p>
      <w:pPr>
        <w:numPr>
          <w:ilvl w:val="0"/>
          <w:numId w:val="1020"/>
        </w:numPr>
        <w:pStyle w:val="Compact"/>
      </w:pPr>
      <w:r>
        <w:t xml:space="preserve">Patient Access Lead or Supervisor</w:t>
      </w:r>
    </w:p>
    <w:p>
      <w:pPr>
        <w:numPr>
          <w:ilvl w:val="0"/>
          <w:numId w:val="1020"/>
        </w:numPr>
        <w:pStyle w:val="Compact"/>
      </w:pPr>
      <w:r>
        <w:t xml:space="preserve">Medical Administrative Assistant</w:t>
      </w:r>
    </w:p>
    <w:p>
      <w:pPr>
        <w:numPr>
          <w:ilvl w:val="0"/>
          <w:numId w:val="1020"/>
        </w:numPr>
        <w:pStyle w:val="Compact"/>
      </w:pPr>
      <w:r>
        <w:t xml:space="preserve">Practice Operations Coordinator</w:t>
      </w:r>
    </w:p>
    <w:p>
      <w:pPr>
        <w:numPr>
          <w:ilvl w:val="0"/>
          <w:numId w:val="1020"/>
        </w:numPr>
        <w:pStyle w:val="Compact"/>
      </w:pPr>
      <w:r>
        <w:t xml:space="preserve">Healthcare Administration roles with additional education or experience</w:t>
      </w:r>
    </w:p>
    <w:p>
      <w:pPr>
        <w:pStyle w:val="FirstParagraph"/>
      </w:pPr>
      <w:r>
        <w:t xml:space="preserve">Progression is not automatic. Coding, billing, health information, nursing, medical assisting, care coordination, management, compliance, or clinical roles may require different education, certification, licensing, or experience.</w:t>
      </w:r>
    </w:p>
    <w:bookmarkEnd w:id="50"/>
    <w:bookmarkStart w:id="52" w:name="X6ea29691f82a597a6d141d1597c710863a33df2"/>
    <w:p>
      <w:pPr>
        <w:pStyle w:val="Heading2"/>
      </w:pPr>
      <w:r>
        <w:t xml:space="preserve">19. When to pause, delay, or choose another path — and current sources</w:t>
      </w:r>
    </w:p>
    <w:p>
      <w:pPr>
        <w:pStyle w:val="FirstParagraph"/>
      </w:pPr>
      <w:r>
        <w:t xml:space="preserve">Pause or reconsider when:</w:t>
      </w:r>
    </w:p>
    <w:p>
      <w:pPr>
        <w:numPr>
          <w:ilvl w:val="0"/>
          <w:numId w:val="1021"/>
        </w:numPr>
        <w:pStyle w:val="Compact"/>
      </w:pPr>
      <w:r>
        <w:t xml:space="preserve">the employer expects clinical judgment, diagnosis, medication advice, independent triage, coding authority, or records-release decisions beyond your qualifications;</w:t>
      </w:r>
    </w:p>
    <w:p>
      <w:pPr>
        <w:numPr>
          <w:ilvl w:val="0"/>
          <w:numId w:val="1021"/>
        </w:numPr>
        <w:pStyle w:val="Compact"/>
      </w:pPr>
      <w:r>
        <w:t xml:space="preserve">privacy or identity-verification procedures are unclear;</w:t>
      </w:r>
    </w:p>
    <w:p>
      <w:pPr>
        <w:numPr>
          <w:ilvl w:val="0"/>
          <w:numId w:val="1021"/>
        </w:numPr>
        <w:pStyle w:val="Compact"/>
      </w:pPr>
      <w:r>
        <w:t xml:space="preserve">a training provider promises guaranteed employment or salary;</w:t>
      </w:r>
    </w:p>
    <w:p>
      <w:pPr>
        <w:numPr>
          <w:ilvl w:val="0"/>
          <w:numId w:val="1021"/>
        </w:numPr>
        <w:pStyle w:val="Compact"/>
      </w:pPr>
      <w:r>
        <w:t xml:space="preserve">a costly credential is not actually requested in current target vacancies;</w:t>
      </w:r>
    </w:p>
    <w:p>
      <w:pPr>
        <w:numPr>
          <w:ilvl w:val="0"/>
          <w:numId w:val="1021"/>
        </w:numPr>
        <w:pStyle w:val="Compact"/>
      </w:pPr>
      <w:r>
        <w:t xml:space="preserve">employer tuition repayment or training-refund conditions are unclear;</w:t>
      </w:r>
    </w:p>
    <w:p>
      <w:pPr>
        <w:numPr>
          <w:ilvl w:val="0"/>
          <w:numId w:val="1021"/>
        </w:numPr>
        <w:pStyle w:val="Compact"/>
      </w:pPr>
      <w:r>
        <w:t xml:space="preserve">the schedule, healthcare-environment exposure, sensory demands, or physical requirements are not workable and no reasonable accommodation is available; or</w:t>
      </w:r>
    </w:p>
    <w:p>
      <w:pPr>
        <w:numPr>
          <w:ilvl w:val="0"/>
          <w:numId w:val="1021"/>
        </w:numPr>
        <w:pStyle w:val="Compact"/>
      </w:pPr>
      <w:r>
        <w:t xml:space="preserve">you are being pressured to alter records, bypass privacy controls, misrepresent insurance coverage, or ignore an escalation requirement.</w:t>
      </w:r>
    </w:p>
    <w:bookmarkStart w:id="51" w:name="current-source-list"/>
    <w:p>
      <w:pPr>
        <w:pStyle w:val="Heading3"/>
      </w:pPr>
      <w:r>
        <w:t xml:space="preserve">Current source list</w:t>
      </w:r>
    </w:p>
    <w:p>
      <w:pPr>
        <w:numPr>
          <w:ilvl w:val="0"/>
          <w:numId w:val="1022"/>
        </w:numPr>
        <w:pStyle w:val="Compact"/>
      </w:pPr>
      <w:r>
        <w:t xml:space="preserve">U.S. BLS May 2025 OEWS Table 1: https://www.bls.gov/news.release/ocwage.t01.htm</w:t>
      </w:r>
    </w:p>
    <w:p>
      <w:pPr>
        <w:numPr>
          <w:ilvl w:val="0"/>
          <w:numId w:val="1022"/>
        </w:numPr>
        <w:pStyle w:val="Compact"/>
      </w:pPr>
      <w:r>
        <w:t xml:space="preserve">U.S. BLS Occupational Outlook Handbook — Secretaries and Administrative Assistants: https://www.bls.gov/ooh/office-and-administrative-support/secretaries-and-administrative-assistants.htm</w:t>
      </w:r>
    </w:p>
    <w:p>
      <w:pPr>
        <w:numPr>
          <w:ilvl w:val="0"/>
          <w:numId w:val="1022"/>
        </w:numPr>
        <w:pStyle w:val="Compact"/>
      </w:pPr>
      <w:r>
        <w:t xml:space="preserve">ZipRecruiter — Patient Services Representative salary: https://www.ziprecruiter.com/Salaries/Patient-Services-Representative-Salary</w:t>
      </w:r>
    </w:p>
    <w:p>
      <w:pPr>
        <w:numPr>
          <w:ilvl w:val="0"/>
          <w:numId w:val="1022"/>
        </w:numPr>
        <w:pStyle w:val="Compact"/>
      </w:pPr>
      <w:r>
        <w:t xml:space="preserve">Government of Canada Job Bank — Medical administrative assistants: https://www.jobbank.gc.ca/wagereport/occupation/12598</w:t>
      </w:r>
    </w:p>
    <w:p>
      <w:pPr>
        <w:numPr>
          <w:ilvl w:val="0"/>
          <w:numId w:val="1022"/>
        </w:numPr>
        <w:pStyle w:val="Compact"/>
      </w:pPr>
      <w:r>
        <w:t xml:space="preserve">SENA Betowa — Apoyo Administrativo en Salud: https://betowa.sena.edu.co/oferta/apoyo-administrativo-en-salud?location=57011001&amp;modality=P&amp;offertype=open&amp;programId=212936</w:t>
      </w:r>
    </w:p>
    <w:p>
      <w:pPr>
        <w:numPr>
          <w:ilvl w:val="0"/>
          <w:numId w:val="1022"/>
        </w:numPr>
        <w:pStyle w:val="Compact"/>
      </w:pPr>
      <w:r>
        <w:t xml:space="preserve">SENA Betowa — program/company offering view: https://betowa.sena.edu.co/oferta/apoyo-administrativo-en-salud?level=2&amp;location=57025307&amp;modality=P&amp;offertype=company&amp;programId=212936</w:t>
      </w:r>
    </w:p>
    <w:p>
      <w:pPr>
        <w:numPr>
          <w:ilvl w:val="0"/>
          <w:numId w:val="1022"/>
        </w:numPr>
        <w:pStyle w:val="Compact"/>
      </w:pPr>
      <w:r>
        <w:t xml:space="preserve">HHS — HIPAA Security Rule: https://www.hhs.gov/hipaa/for-professionals/security/index.html</w:t>
      </w:r>
    </w:p>
    <w:p>
      <w:pPr>
        <w:numPr>
          <w:ilvl w:val="0"/>
          <w:numId w:val="1022"/>
        </w:numPr>
        <w:pStyle w:val="Compact"/>
      </w:pPr>
      <w:r>
        <w:t xml:space="preserve">HHS — Minimum Necessary Requirement: https://www.hhs.gov/hipaa/for-professionals/privacy/guidance/minimum-necessary-requirement/index.html</w:t>
      </w:r>
    </w:p>
    <w:p>
      <w:pPr>
        <w:numPr>
          <w:ilvl w:val="0"/>
          <w:numId w:val="1022"/>
        </w:numPr>
        <w:pStyle w:val="Compact"/>
      </w:pPr>
      <w:r>
        <w:t xml:space="preserve">Federal Student Aid: https://studentaid.gov/articles/fafsa-student-steps/</w:t>
      </w:r>
    </w:p>
    <w:p>
      <w:pPr>
        <w:numPr>
          <w:ilvl w:val="0"/>
          <w:numId w:val="1022"/>
        </w:numPr>
        <w:pStyle w:val="Compact"/>
      </w:pPr>
      <w:r>
        <w:t xml:space="preserve">U.S. Department of Labor — Adult training: https://www.dol.gov/general/topic/training/adulttraining</w:t>
      </w:r>
    </w:p>
    <w:p>
      <w:pPr>
        <w:numPr>
          <w:ilvl w:val="0"/>
          <w:numId w:val="1022"/>
        </w:numPr>
        <w:pStyle w:val="Compact"/>
      </w:pPr>
      <w:r>
        <w:t xml:space="preserve">Apprenticeship.gov: https://www.apprenticeship.gov/career-seekers</w:t>
      </w:r>
    </w:p>
    <w:p>
      <w:pPr>
        <w:numPr>
          <w:ilvl w:val="0"/>
          <w:numId w:val="1022"/>
        </w:numPr>
        <w:pStyle w:val="Compact"/>
      </w:pPr>
      <w:r>
        <w:t xml:space="preserve">IRS — Section 127 educational assistance: https://www.irs.gov/newsroom/irs-updates-frequently-asked-questions-about-section-127-educational-assistance-programs</w:t>
      </w:r>
    </w:p>
    <w:p>
      <w:pPr>
        <w:numPr>
          <w:ilvl w:val="0"/>
          <w:numId w:val="1022"/>
        </w:numPr>
        <w:pStyle w:val="Compact"/>
      </w:pPr>
      <w:r>
        <w:t xml:space="preserve">U.S. Department of Education — Accreditation: https://www.ed.gov/accreditation</w:t>
      </w:r>
    </w:p>
    <w:p>
      <w:pPr>
        <w:numPr>
          <w:ilvl w:val="0"/>
          <w:numId w:val="1022"/>
        </w:numPr>
        <w:pStyle w:val="Compact"/>
      </w:pPr>
      <w:r>
        <w:t xml:space="preserve">U.S. EEOC — Disability discrimination: https://www.eeoc.gov/disability-discrimination</w:t>
      </w:r>
    </w:p>
    <w:p>
      <w:pPr>
        <w:pStyle w:val="FirstParagraph"/>
      </w:pPr>
      <w:r>
        <w:rPr>
          <w:bCs/>
          <w:b/>
        </w:rPr>
        <w:t xml:space="preserve">Publication rule:</w:t>
      </w:r>
      <w:r>
        <w:t xml:space="preserve"> </w:t>
      </w:r>
      <w:r>
        <w:t xml:space="preserve">Reverify time-sensitive facts and links before release. This guide does not guarantee employment, compensation, admission, funding, certification, accreditation, licensing, insurance coverage, accommodation, clinical outcomes, or any other result.</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2026-08-09T00:08:17Z</dcterms:created>
  <dcterms:modified xsi:type="dcterms:W3CDTF">2026-08-09T00:08:17Z</dcterms:modified>
</cp:coreProperties>
</file>

<file path=docProps/custom.xml><?xml version="1.0" encoding="utf-8"?>
<Properties xmlns="http://schemas.openxmlformats.org/officeDocument/2006/custom-properties" xmlns:vt="http://schemas.openxmlformats.org/officeDocument/2006/docPropsVTypes"/>
</file>