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198f4a2f325696c157763c8aa62c1cddb246cf"/>
    <w:p>
      <w:pPr>
        <w:pStyle w:val="Heading1"/>
      </w:pPr>
      <w:r>
        <w:t xml:space="preserve">Guide 22 — Real Estate Sales Agent and Leasing Consultant</w:t>
      </w:r>
    </w:p>
    <w:p>
      <w:pPr>
        <w:pStyle w:val="FirstParagraph"/>
      </w:pPr>
      <w:r>
        <w:rPr>
          <w:bCs/>
          <w:b/>
        </w:rPr>
        <w:t xml:space="preserve">Edition:</w:t>
      </w:r>
      <w:r>
        <w:t xml:space="preserve"> </w:t>
      </w:r>
      <w:r>
        <w:t xml:space="preserve">English</w:t>
      </w:r>
      <w:r>
        <w:br/>
      </w:r>
      <w:r>
        <w:rPr>
          <w:bCs/>
          <w:b/>
        </w:rPr>
        <w:t xml:space="preserve">Version:</w:t>
      </w:r>
      <w:r>
        <w:t xml:space="preserve"> </w:t>
      </w:r>
      <w:r>
        <w:t xml:space="preserve">2.0 working master</w:t>
      </w:r>
      <w:r>
        <w:br/>
      </w:r>
      <w:r>
        <w:rPr>
          <w:bCs/>
          <w:b/>
        </w:rPr>
        <w:t xml:space="preserve">Controlled revision date:</w:t>
      </w:r>
      <w:r>
        <w:t xml:space="preserve"> </w:t>
      </w:r>
      <w:r>
        <w:t xml:space="preserve">2026-08-10</w:t>
      </w:r>
      <w:r>
        <w:br/>
      </w:r>
      <w:r>
        <w:rPr>
          <w:bCs/>
          <w:b/>
        </w:rPr>
        <w:t xml:space="preserve">Status:</w:t>
      </w:r>
      <w:r>
        <w:t xml:space="preserve"> </w:t>
      </w:r>
      <w:r>
        <w:t xml:space="preserve">English editorial candidate; not yet localization source</w:t>
      </w:r>
      <w:r>
        <w:br/>
      </w:r>
      <w:r>
        <w:rPr>
          <w:bCs/>
          <w:b/>
        </w:rPr>
        <w:t xml:space="preserve">License:</w:t>
      </w:r>
      <w:r>
        <w:t xml:space="preserve"> </w:t>
      </w:r>
      <w:r>
        <w:t xml:space="preserve">CC BY-NC-SA 4.0</w:t>
      </w:r>
    </w:p>
    <w:bookmarkStart w:id="20" w:name="purpose"/>
    <w:p>
      <w:pPr>
        <w:pStyle w:val="Heading2"/>
      </w:pPr>
      <w:r>
        <w:t xml:space="preserve">Purpose</w:t>
      </w:r>
    </w:p>
    <w:p>
      <w:pPr>
        <w:pStyle w:val="FirstParagraph"/>
      </w:pPr>
      <w:r>
        <w:t xml:space="preserve">Real-estate sales and leasing work can offer a practical route into housing, property operations, customer service, sales, and small-business careers. It can also expose workers to licensing rules, fair-housing duties, contracts, deposits, screening data, advertising restrictions, and large financial decisions. This guide helps learners separate entry-level skills from regulated activity so they can build experience without assuming authority they do not have.</w:t>
      </w:r>
    </w:p>
    <w:p>
      <w:pPr>
        <w:pStyle w:val="BodyText"/>
      </w:pPr>
      <w:r>
        <w:t xml:space="preserve">This guide is educational. It is not legal, brokerage, licensing, mortgage, tax, appraisal, investment, or fair-housing advice. Requirements vary by country, state, province, territory, municipality, employer, property type, and exact duties. Always verify the rules that apply where you intend to work before paying for training or performing regulated work.</w:t>
      </w:r>
    </w:p>
    <w:bookmarkEnd w:id="20"/>
    <w:bookmarkStart w:id="21" w:name="Xb23f4eeee88f50f1b01d816de888292806848c3"/>
    <w:p>
      <w:pPr>
        <w:pStyle w:val="Heading2"/>
      </w:pPr>
      <w:r>
        <w:t xml:space="preserve">1. What these jobs involve</w:t>
      </w:r>
    </w:p>
    <w:p>
      <w:pPr>
        <w:pStyle w:val="FirstParagraph"/>
      </w:pPr>
      <w:r>
        <w:t xml:space="preserve">A real-estate sales agent typically helps clients buy, sell, or rent property under the licensing and supervision rules of the jurisdiction. Work may include prospecting, explaining a transaction process, arranging showings, preparing or coordinating listing information, communicating with clients and other professionals, tracking deadlines, and supporting negotiations within the authority allowed by law and the supervising broker or firm.</w:t>
      </w:r>
    </w:p>
    <w:p>
      <w:pPr>
        <w:pStyle w:val="BodyText"/>
      </w:pPr>
      <w:r>
        <w:t xml:space="preserve">A leasing consultant often works for an apartment community, property manager, owner, developer, or housing operator. Typical work may include answering inquiries, scheduling tours, explaining property features, maintaining prospect records, following approved screening and application procedures, preparing administrative documents, coordinating move-in steps, and supporting resident communication.</w:t>
      </w:r>
    </w:p>
    <w:p>
      <w:pPr>
        <w:pStyle w:val="BodyText"/>
      </w:pPr>
      <w:r>
        <w:t xml:space="preserve">The titles overlap, but they are not interchangeable. A leasing role may be administrative or employer-supervised in one jurisdiction and may involve regulated brokerage activity in another. Job title alone never determines legal authority.</w:t>
      </w:r>
    </w:p>
    <w:bookmarkEnd w:id="21"/>
    <w:bookmarkStart w:id="22" w:name="X5dbd4b70b648c593e4cddc3c9d0aaf51644e3cb"/>
    <w:p>
      <w:pPr>
        <w:pStyle w:val="Heading2"/>
      </w:pPr>
      <w:r>
        <w:t xml:space="preserve">2. Core skills that transfer across employers</w:t>
      </w:r>
    </w:p>
    <w:p>
      <w:pPr>
        <w:pStyle w:val="FirstParagraph"/>
      </w:pPr>
      <w:r>
        <w:t xml:space="preserve">Strong workers in this field tend to combine service, accuracy, communication, sales discipline, and record handling. Useful skills include:</w:t>
      </w:r>
    </w:p>
    <w:p>
      <w:pPr>
        <w:numPr>
          <w:ilvl w:val="0"/>
          <w:numId w:val="1001"/>
        </w:numPr>
        <w:pStyle w:val="Compact"/>
      </w:pPr>
      <w:r>
        <w:t xml:space="preserve">clear spoken and written communication;</w:t>
      </w:r>
    </w:p>
    <w:p>
      <w:pPr>
        <w:numPr>
          <w:ilvl w:val="0"/>
          <w:numId w:val="1001"/>
        </w:numPr>
        <w:pStyle w:val="Compact"/>
      </w:pPr>
      <w:r>
        <w:t xml:space="preserve">active listening and needs discovery;</w:t>
      </w:r>
    </w:p>
    <w:p>
      <w:pPr>
        <w:numPr>
          <w:ilvl w:val="0"/>
          <w:numId w:val="1001"/>
        </w:numPr>
        <w:pStyle w:val="Compact"/>
      </w:pPr>
      <w:r>
        <w:t xml:space="preserve">appointment and calendar management;</w:t>
      </w:r>
    </w:p>
    <w:p>
      <w:pPr>
        <w:numPr>
          <w:ilvl w:val="0"/>
          <w:numId w:val="1001"/>
        </w:numPr>
        <w:pStyle w:val="Compact"/>
      </w:pPr>
      <w:r>
        <w:t xml:space="preserve">professional follow-up without harassment or pressure;</w:t>
      </w:r>
    </w:p>
    <w:p>
      <w:pPr>
        <w:numPr>
          <w:ilvl w:val="0"/>
          <w:numId w:val="1001"/>
        </w:numPr>
        <w:pStyle w:val="Compact"/>
      </w:pPr>
      <w:r>
        <w:t xml:space="preserve">customer relationship management (CRM) systems;</w:t>
      </w:r>
    </w:p>
    <w:p>
      <w:pPr>
        <w:numPr>
          <w:ilvl w:val="0"/>
          <w:numId w:val="1001"/>
        </w:numPr>
        <w:pStyle w:val="Compact"/>
      </w:pPr>
      <w:r>
        <w:t xml:space="preserve">accurate data entry and document control;</w:t>
      </w:r>
    </w:p>
    <w:p>
      <w:pPr>
        <w:numPr>
          <w:ilvl w:val="0"/>
          <w:numId w:val="1001"/>
        </w:numPr>
        <w:pStyle w:val="Compact"/>
      </w:pPr>
      <w:r>
        <w:t xml:space="preserve">basic spreadsheet and reporting skills;</w:t>
      </w:r>
    </w:p>
    <w:p>
      <w:pPr>
        <w:numPr>
          <w:ilvl w:val="0"/>
          <w:numId w:val="1001"/>
        </w:numPr>
        <w:pStyle w:val="Compact"/>
      </w:pPr>
      <w:r>
        <w:t xml:space="preserve">property-feature research and comparison;</w:t>
      </w:r>
    </w:p>
    <w:p>
      <w:pPr>
        <w:numPr>
          <w:ilvl w:val="0"/>
          <w:numId w:val="1001"/>
        </w:numPr>
        <w:pStyle w:val="Compact"/>
      </w:pPr>
      <w:r>
        <w:t xml:space="preserve">digital marketing within approved advertising rules;</w:t>
      </w:r>
    </w:p>
    <w:p>
      <w:pPr>
        <w:numPr>
          <w:ilvl w:val="0"/>
          <w:numId w:val="1001"/>
        </w:numPr>
        <w:pStyle w:val="Compact"/>
      </w:pPr>
      <w:r>
        <w:t xml:space="preserve">conflict de-escalation and complaint handling;</w:t>
      </w:r>
    </w:p>
    <w:p>
      <w:pPr>
        <w:numPr>
          <w:ilvl w:val="0"/>
          <w:numId w:val="1001"/>
        </w:numPr>
        <w:pStyle w:val="Compact"/>
      </w:pPr>
      <w:r>
        <w:t xml:space="preserve">basic arithmetic for rents, concessions, deposits, commissions, and fees;</w:t>
      </w:r>
    </w:p>
    <w:p>
      <w:pPr>
        <w:numPr>
          <w:ilvl w:val="0"/>
          <w:numId w:val="1001"/>
        </w:numPr>
        <w:pStyle w:val="Compact"/>
      </w:pPr>
      <w:r>
        <w:t xml:space="preserve">privacy-aware handling of identity, financial, screening, and contract information;</w:t>
      </w:r>
    </w:p>
    <w:p>
      <w:pPr>
        <w:numPr>
          <w:ilvl w:val="0"/>
          <w:numId w:val="1001"/>
        </w:numPr>
        <w:pStyle w:val="Compact"/>
      </w:pPr>
      <w:r>
        <w:t xml:space="preserve">accessible communication with people who have different language, mobility, sensory, or cognitive needs;</w:t>
      </w:r>
    </w:p>
    <w:p>
      <w:pPr>
        <w:numPr>
          <w:ilvl w:val="0"/>
          <w:numId w:val="1001"/>
        </w:numPr>
        <w:pStyle w:val="Compact"/>
      </w:pPr>
      <w:r>
        <w:t xml:space="preserve">fair, consistent application of approved procedures.</w:t>
      </w:r>
    </w:p>
    <w:p>
      <w:pPr>
        <w:pStyle w:val="FirstParagraph"/>
      </w:pPr>
      <w:r>
        <w:t xml:space="preserve">These skills also transfer to property administration, resident services, customer success, sales operations, transaction coordination, housing-program support, facilities administration, and other service roles.</w:t>
      </w:r>
    </w:p>
    <w:bookmarkEnd w:id="22"/>
    <w:bookmarkStart w:id="27" w:name="Xe218cfca71f65a9ad8d25423279d132dad2bb4a"/>
    <w:p>
      <w:pPr>
        <w:pStyle w:val="Heading2"/>
      </w:pPr>
      <w:r>
        <w:t xml:space="preserve">3. United States pathway</w:t>
      </w:r>
    </w:p>
    <w:bookmarkStart w:id="23" w:name="licensing-boundary"/>
    <w:p>
      <w:pPr>
        <w:pStyle w:val="Heading3"/>
      </w:pPr>
      <w:r>
        <w:t xml:space="preserve">Licensing boundary</w:t>
      </w:r>
    </w:p>
    <w:p>
      <w:pPr>
        <w:pStyle w:val="FirstParagraph"/>
      </w:pPr>
      <w:r>
        <w:t xml:space="preserve">The U.S. Bureau of Labor Statistics states that every state requires real-estate brokers and sales agents to be licensed. Sales agents generally work with or under a licensed broker, while brokers may meet additional requirements that allow them to operate or manage a real-estate business.</w:t>
      </w:r>
    </w:p>
    <w:p>
      <w:pPr>
        <w:pStyle w:val="BodyText"/>
      </w:pPr>
      <w:r>
        <w:t xml:space="preserve">That means there is no single national real-estate-sales license. Before enrolling in pre-licensing education, identify the real-estate commission, department, or licensing board for the state where you intend to work. Check current education hours, approved providers, exam rules, background or fingerprint requirements, application fees, sponsorship requirements, continuing education, renewal rules, and whether your intended leasing duties require a license.</w:t>
      </w:r>
    </w:p>
    <w:p>
      <w:pPr>
        <w:pStyle w:val="BodyText"/>
      </w:pPr>
      <w:r>
        <w:t xml:space="preserve">Do not assume that an online course advertised nationally qualifies for your state. Confirm approval directly with the regulator before paying.</w:t>
      </w:r>
    </w:p>
    <w:bookmarkEnd w:id="23"/>
    <w:bookmarkStart w:id="24" w:name="education-and-entry"/>
    <w:p>
      <w:pPr>
        <w:pStyle w:val="Heading3"/>
      </w:pPr>
      <w:r>
        <w:t xml:space="preserve">Education and entry</w:t>
      </w:r>
    </w:p>
    <w:p>
      <w:pPr>
        <w:pStyle w:val="FirstParagraph"/>
      </w:pPr>
      <w:r>
        <w:t xml:space="preserve">BLS lists a high school diploma or equivalent as the typical entry-level education for brokers and sales agents, but licensure and employer requirements still apply. Some employers value college coursework in business, communications, finance, real estate, marketing, or law, but a degree is not a universal national requirement for sales-agent entry.</w:t>
      </w:r>
    </w:p>
    <w:p>
      <w:pPr>
        <w:pStyle w:val="BodyText"/>
      </w:pPr>
      <w:r>
        <w:t xml:space="preserve">A lower-risk entry strategy is to begin with customer service, leasing administration, property-office support, lead coordination, marketing administration, or transaction support while learning the local regulatory framework. Whether a specific duty can be performed without a license must be checked locally.</w:t>
      </w:r>
    </w:p>
    <w:bookmarkEnd w:id="24"/>
    <w:bookmarkStart w:id="25" w:name="us-official-income-research"/>
    <w:p>
      <w:pPr>
        <w:pStyle w:val="Heading3"/>
      </w:pPr>
      <w:r>
        <w:t xml:space="preserve">U.S. official income research</w:t>
      </w:r>
    </w:p>
    <w:p>
      <w:pPr>
        <w:pStyle w:val="FirstParagraph"/>
      </w:pPr>
      <w:r>
        <w:t xml:space="preserve">BLS reported a May 2024 median annual wage of</w:t>
      </w:r>
      <w:r>
        <w:t xml:space="preserve"> </w:t>
      </w:r>
      <m:oMath>
        <m:r>
          <m:t>56</m:t>
        </m:r>
        <m:r>
          <m:rPr>
            <m:sty m:val="p"/>
          </m:rPr>
          <m:t>,</m:t>
        </m:r>
        <m:r>
          <m:t>320</m:t>
        </m:r>
        <m:r>
          <m:t>f</m:t>
        </m:r>
        <m:r>
          <m:t>o</m:t>
        </m:r>
        <m:r>
          <m:t>r</m:t>
        </m:r>
        <m:r>
          <m:t>r</m:t>
        </m:r>
        <m:r>
          <m:t>e</m:t>
        </m:r>
        <m:r>
          <m:t>a</m:t>
        </m:r>
        <m:r>
          <m:t>l</m:t>
        </m:r>
        <m:r>
          <m:rPr>
            <m:sty m:val="p"/>
          </m:rPr>
          <m:t>−</m:t>
        </m:r>
        <m:r>
          <m:t>e</m:t>
        </m:r>
        <m:r>
          <m:t>s</m:t>
        </m:r>
        <m:r>
          <m:t>t</m:t>
        </m:r>
        <m:r>
          <m:t>a</m:t>
        </m:r>
        <m:r>
          <m:t>t</m:t>
        </m:r>
        <m:r>
          <m:t>e</m:t>
        </m:r>
        <m:r>
          <m:t>s</m:t>
        </m:r>
        <m:r>
          <m:t>a</m:t>
        </m:r>
        <m:r>
          <m:t>l</m:t>
        </m:r>
        <m:r>
          <m:t>e</m:t>
        </m:r>
        <m:r>
          <m:t>s</m:t>
        </m:r>
        <m:r>
          <m:t>a</m:t>
        </m:r>
        <m:r>
          <m:t>g</m:t>
        </m:r>
        <m:r>
          <m:t>e</m:t>
        </m:r>
        <m:r>
          <m:t>n</m:t>
        </m:r>
        <m:r>
          <m:t>t</m:t>
        </m:r>
        <m:r>
          <m:t>s</m:t>
        </m:r>
        <m:r>
          <m:rPr>
            <m:sty m:val="p"/>
          </m:rPr>
          <m:t>*</m:t>
        </m:r>
        <m:r>
          <m:rPr>
            <m:sty m:val="p"/>
          </m:rPr>
          <m:t>*</m:t>
        </m:r>
        <m:r>
          <m:t>a</m:t>
        </m:r>
        <m:r>
          <m:t>n</m:t>
        </m:r>
        <m:r>
          <m:t>d</m:t>
        </m:r>
        <m:r>
          <m:rPr>
            <m:sty m:val="p"/>
          </m:rPr>
          <m:t>*</m:t>
        </m:r>
        <m:r>
          <m:rPr>
            <m:sty m:val="p"/>
          </m:rPr>
          <m:t>*</m:t>
        </m:r>
      </m:oMath>
      <w:r>
        <w:rPr>
          <w:bCs/>
          <w:b/>
        </w:rPr>
        <w:t xml:space="preserve">72,280 for real-estate brokers</w:t>
      </w:r>
      <w:r>
        <w:t xml:space="preserve">. BLS projected overall employment of brokers and sales agents to grow</w:t>
      </w:r>
      <w:r>
        <w:t xml:space="preserve"> </w:t>
      </w:r>
      <w:r>
        <w:rPr>
          <w:bCs/>
          <w:b/>
        </w:rPr>
        <w:t xml:space="preserve">3% from 2024 to 2034</w:t>
      </w:r>
      <w:r>
        <w:t xml:space="preserve">, with about</w:t>
      </w:r>
      <w:r>
        <w:t xml:space="preserve"> </w:t>
      </w:r>
      <w:r>
        <w:rPr>
          <w:bCs/>
          <w:b/>
        </w:rPr>
        <w:t xml:space="preserve">46,300 openings per year</w:t>
      </w:r>
      <w:r>
        <w:t xml:space="preserve"> </w:t>
      </w:r>
      <w:r>
        <w:t xml:space="preserve">on average over the decade.</w:t>
      </w:r>
    </w:p>
    <w:p>
      <w:pPr>
        <w:pStyle w:val="BodyText"/>
      </w:pPr>
      <w:r>
        <w:t xml:space="preserve">These figures are occupation-level estimates, not promised earnings. Many workers are self-employed or paid partly through commissions. Gross commissions can differ sharply from take-home income after brokerage splits, desk fees, association dues, licensing costs, marketing, transportation, insurance, taxes, lead-generation expenses, and unpaid prospecting time.</w:t>
      </w:r>
    </w:p>
    <w:bookmarkEnd w:id="25"/>
    <w:bookmarkStart w:id="26" w:name="us-current-non-government-estimates"/>
    <w:p>
      <w:pPr>
        <w:pStyle w:val="Heading3"/>
      </w:pPr>
      <w:r>
        <w:t xml:space="preserve">U.S. current non-government estimates</w:t>
      </w:r>
    </w:p>
    <w:p>
      <w:pPr>
        <w:pStyle w:val="FirstParagraph"/>
      </w:pPr>
      <w:r>
        <w:t xml:space="preserve">Private salary platforms provide a different view and should be treated only as supplementary market estimates.</w:t>
      </w:r>
    </w:p>
    <w:p>
      <w:pPr>
        <w:numPr>
          <w:ilvl w:val="0"/>
          <w:numId w:val="1002"/>
        </w:numPr>
        <w:pStyle w:val="Compact"/>
      </w:pPr>
      <w:r>
        <w:t xml:space="preserve">Indeed reported an average base salary of approximately</w:t>
      </w:r>
      <w:r>
        <w:t xml:space="preserve"> </w:t>
      </w:r>
      <w:r>
        <w:rPr>
          <w:bCs/>
          <w:b/>
        </w:rPr>
        <w:t xml:space="preserve">$100,988 per year for Real Estate Agent</w:t>
      </w:r>
      <w:r>
        <w:t xml:space="preserve">, based on about 99,100 observations or job-posting records over the prior 36 months, with the page updated</w:t>
      </w:r>
      <w:r>
        <w:t xml:space="preserve"> </w:t>
      </w:r>
      <w:r>
        <w:rPr>
          <w:bCs/>
          <w:b/>
        </w:rPr>
        <w:t xml:space="preserve">July 20, 2026</w:t>
      </w:r>
      <w:r>
        <w:t xml:space="preserve">.</w:t>
      </w:r>
    </w:p>
    <w:p>
      <w:pPr>
        <w:numPr>
          <w:ilvl w:val="0"/>
          <w:numId w:val="1002"/>
        </w:numPr>
        <w:pStyle w:val="Compact"/>
      </w:pPr>
      <w:r>
        <w:t xml:space="preserve">Indeed reported an average base salary of approximately</w:t>
      </w:r>
      <w:r>
        <w:t xml:space="preserve"> </w:t>
      </w:r>
      <w:r>
        <w:rPr>
          <w:bCs/>
          <w:b/>
        </w:rPr>
        <w:t xml:space="preserve">$19.71 per hour for Leasing Consultant</w:t>
      </w:r>
      <w:r>
        <w:t xml:space="preserve">, based on about 17,800 observations or job-posting records over the prior 36 months, with the page updated</w:t>
      </w:r>
      <w:r>
        <w:t xml:space="preserve"> </w:t>
      </w:r>
      <w:r>
        <w:rPr>
          <w:bCs/>
          <w:b/>
        </w:rPr>
        <w:t xml:space="preserve">July 20, 2026</w:t>
      </w:r>
      <w:r>
        <w:t xml:space="preserve">.</w:t>
      </w:r>
    </w:p>
    <w:p>
      <w:pPr>
        <w:pStyle w:val="FirstParagraph"/>
      </w:pPr>
      <w:r>
        <w:t xml:space="preserve">Do not average these private figures with BLS data. The methodologies, titles, geography, commission treatment, and samples differ. Use them as directional market signals only, and check local job postings and employer compensation plans before making a financial commitment.</w:t>
      </w:r>
    </w:p>
    <w:bookmarkEnd w:id="26"/>
    <w:bookmarkEnd w:id="27"/>
    <w:bookmarkStart w:id="28" w:name="Xe4c7498f599aa89843cf8298b7894f89653a2fb"/>
    <w:p>
      <w:pPr>
        <w:pStyle w:val="Heading2"/>
      </w:pPr>
      <w:r>
        <w:t xml:space="preserve">4. Fair housing and equal service in the United States</w:t>
      </w:r>
    </w:p>
    <w:p>
      <w:pPr>
        <w:pStyle w:val="FirstParagraph"/>
      </w:pPr>
      <w:r>
        <w:t xml:space="preserve">The federal Fair Housing Act prohibits housing discrimination because of race, color, national origin, religion, sex, familial status, or disability. State and local laws may protect additional groups.</w:t>
      </w:r>
    </w:p>
    <w:p>
      <w:pPr>
        <w:pStyle w:val="BodyText"/>
      </w:pPr>
      <w:r>
        <w:t xml:space="preserve">Practical implications include using consistent and approved procedures for advertising, inquiries, showings, availability statements, applications, screening, terms, and service. Do not steer people toward or away from neighborhoods, buildings, units, schools, or communities based on a protected characteristic. Do not invent availability, apply different standards to different prospects, or use coded advertising intended to exclude protected groups.</w:t>
      </w:r>
    </w:p>
    <w:p>
      <w:pPr>
        <w:pStyle w:val="BodyText"/>
      </w:pPr>
      <w:r>
        <w:t xml:space="preserve">Requests related to disability and accessibility require careful handling. Workers should follow applicable law and employer procedures, avoid assumptions about a person's needs, and escalate accommodation questions when they exceed their authority.</w:t>
      </w:r>
    </w:p>
    <w:p>
      <w:pPr>
        <w:pStyle w:val="BodyText"/>
      </w:pPr>
      <w:r>
        <w:t xml:space="preserve">Fair-housing compliance is not only a legal topic. It is an operational discipline: consistent scripts, documented criteria, approved marketing language, accurate availability records, trained staff, and escalation paths reduce both discrimination risk and customer harm.</w:t>
      </w:r>
    </w:p>
    <w:bookmarkEnd w:id="28"/>
    <w:bookmarkStart w:id="29" w:name="Xee009780b03593087896ab3b75c1e24b54509fa"/>
    <w:p>
      <w:pPr>
        <w:pStyle w:val="Heading2"/>
      </w:pPr>
      <w:r>
        <w:t xml:space="preserve">5. Funding, free and lower-cost learning in the United States</w:t>
      </w:r>
    </w:p>
    <w:p>
      <w:pPr>
        <w:pStyle w:val="FirstParagraph"/>
      </w:pPr>
      <w:r>
        <w:t xml:space="preserve">Before paying for a commercial real-estate school, compare lower-cost pathways and verify whether the course is regulator-approved for the credential you need.</w:t>
      </w:r>
    </w:p>
    <w:p>
      <w:pPr>
        <w:pStyle w:val="BodyText"/>
      </w:pPr>
      <w:r>
        <w:t xml:space="preserve">CareerOneStop, sponsored by the U.S. Department of Labor, can help learners identify local training and workforce services. Some programs on state eligible-training lists may qualify for Workforce Innovation and Opportunity Act (WIOA) support for eligible people. Eligibility is individual, and WIOA support for a general sales, customer-service, business, property-management, or real-estate course does not automatically satisfy state licensing rules.</w:t>
      </w:r>
    </w:p>
    <w:p>
      <w:pPr>
        <w:pStyle w:val="BodyText"/>
      </w:pPr>
      <w:r>
        <w:t xml:space="preserve">Useful cost-control steps include:</w:t>
      </w:r>
    </w:p>
    <w:p>
      <w:pPr>
        <w:numPr>
          <w:ilvl w:val="0"/>
          <w:numId w:val="1003"/>
        </w:numPr>
        <w:pStyle w:val="Compact"/>
      </w:pPr>
      <w:r>
        <w:t xml:space="preserve">Contact the state regulator and obtain the current list of approved pre-licensing providers.</w:t>
      </w:r>
    </w:p>
    <w:p>
      <w:pPr>
        <w:numPr>
          <w:ilvl w:val="0"/>
          <w:numId w:val="1003"/>
        </w:numPr>
        <w:pStyle w:val="Compact"/>
      </w:pPr>
      <w:r>
        <w:t xml:space="preserve">Ask an American Job Center whether you qualify for WIOA or other workforce funding.</w:t>
      </w:r>
    </w:p>
    <w:p>
      <w:pPr>
        <w:numPr>
          <w:ilvl w:val="0"/>
          <w:numId w:val="1003"/>
        </w:numPr>
        <w:pStyle w:val="Compact"/>
      </w:pPr>
      <w:r>
        <w:t xml:space="preserve">Ask brokerages and property-management employers whether they pay for or reimburse pre-licensing, exam preparation, onboarding, continuing education, CRM training, or leasing coursework.</w:t>
      </w:r>
    </w:p>
    <w:p>
      <w:pPr>
        <w:numPr>
          <w:ilvl w:val="0"/>
          <w:numId w:val="1003"/>
        </w:numPr>
        <w:pStyle w:val="Compact"/>
      </w:pPr>
      <w:r>
        <w:t xml:space="preserve">Search Apprenticeship.gov for current work-based-learning opportunities in real estate, property operations, sales, customer service, housing, or related fields. Availability varies, so do not assume a registered apprenticeship exists locally.</w:t>
      </w:r>
    </w:p>
    <w:p>
      <w:pPr>
        <w:numPr>
          <w:ilvl w:val="0"/>
          <w:numId w:val="1003"/>
        </w:numPr>
        <w:pStyle w:val="Compact"/>
      </w:pPr>
      <w:r>
        <w:t xml:space="preserve">Use free public-library resources, community-college continuing education, regulator handbooks, and employer training before purchasing expensive exam-prep bundles.</w:t>
      </w:r>
    </w:p>
    <w:p>
      <w:pPr>
        <w:numPr>
          <w:ilvl w:val="0"/>
          <w:numId w:val="1003"/>
        </w:numPr>
        <w:pStyle w:val="Compact"/>
      </w:pPr>
      <w:r>
        <w:t xml:space="preserve">Get reimbursement rules in writing before enrolling in employer-sponsored training, including repayment obligations if you leave the job.</w:t>
      </w:r>
    </w:p>
    <w:bookmarkEnd w:id="29"/>
    <w:bookmarkStart w:id="32" w:name="Xd2e339932172c6b0ca115d66b1e9653a3597247"/>
    <w:p>
      <w:pPr>
        <w:pStyle w:val="Heading2"/>
      </w:pPr>
      <w:r>
        <w:t xml:space="preserve">6. Canada pathway</w:t>
      </w:r>
    </w:p>
    <w:p>
      <w:pPr>
        <w:pStyle w:val="FirstParagraph"/>
      </w:pPr>
      <w:r>
        <w:t xml:space="preserve">Government of Canada Job Bank maps residential real-estate agents to</w:t>
      </w:r>
      <w:r>
        <w:t xml:space="preserve"> </w:t>
      </w:r>
      <w:r>
        <w:rPr>
          <w:bCs/>
          <w:b/>
        </w:rPr>
        <w:t xml:space="preserve">NOC 63101</w:t>
      </w:r>
      <w:r>
        <w:t xml:space="preserve">. Job Bank states that secondary school is generally required, completion of a real-estate training course is required, and</w:t>
      </w:r>
      <w:r>
        <w:t xml:space="preserve"> </w:t>
      </w:r>
      <w:r>
        <w:rPr>
          <w:bCs/>
          <w:b/>
        </w:rPr>
        <w:t xml:space="preserve">provincial or territorial licensure is required</w:t>
      </w:r>
      <w:r>
        <w:t xml:space="preserve">.</w:t>
      </w:r>
    </w:p>
    <w:p>
      <w:pPr>
        <w:pStyle w:val="BodyText"/>
      </w:pPr>
      <w:r>
        <w:t xml:space="preserve">Canada therefore does not have one national license that authorizes practice everywhere. Learners should identify the regulator for the province or territory where they intend to work and verify approved education, examinations, registration, insurance, brokerage affiliation, continuing education, language requirements, and permitted duties.</w:t>
      </w:r>
    </w:p>
    <w:p>
      <w:pPr>
        <w:pStyle w:val="BodyText"/>
      </w:pPr>
      <w:r>
        <w:t xml:space="preserve">Leasing roles can differ from licensed residential real-estate agent roles. A job title such as leasing consultant, rental agent, property administrator, or resident-services representative may fall under different rules depending on duties and location. Verify the role rather than relying on the title.</w:t>
      </w:r>
    </w:p>
    <w:bookmarkStart w:id="30" w:name="canadian-income-research"/>
    <w:p>
      <w:pPr>
        <w:pStyle w:val="Heading3"/>
      </w:pPr>
      <w:r>
        <w:t xml:space="preserve">Canadian income research</w:t>
      </w:r>
    </w:p>
    <w:p>
      <w:pPr>
        <w:pStyle w:val="FirstParagraph"/>
      </w:pPr>
      <w:r>
        <w:t xml:space="preserve">Job Bank currently displays national annual earnings for residential real-estate agents of approximately</w:t>
      </w:r>
      <w:r>
        <w:t xml:space="preserve"> </w:t>
      </w:r>
      <w:r>
        <w:rPr>
          <w:bCs/>
          <w:b/>
        </w:rPr>
        <w:t xml:space="preserve">CAD $32,867 low, CAD $58,400 median, and CAD $178,000 high</w:t>
      </w:r>
      <w:r>
        <w:t xml:space="preserve">, with the page updated November 19, 2025. Job Bank notes that many workers are self-employed and that these estimates are based on Census-derived information.</w:t>
      </w:r>
    </w:p>
    <w:p>
      <w:pPr>
        <w:pStyle w:val="BodyText"/>
      </w:pPr>
      <w:r>
        <w:t xml:space="preserve">Treat the range as occupational context, not a forecast of personal income. Commission structure, local market activity, business costs, brokerage fees, lead sources, and experience can make actual results much lower or higher.</w:t>
      </w:r>
    </w:p>
    <w:bookmarkEnd w:id="30"/>
    <w:bookmarkStart w:id="31" w:name="canada-cost-control-strategy"/>
    <w:p>
      <w:pPr>
        <w:pStyle w:val="Heading3"/>
      </w:pPr>
      <w:r>
        <w:t xml:space="preserve">Canada cost-control strategy</w:t>
      </w:r>
    </w:p>
    <w:p>
      <w:pPr>
        <w:pStyle w:val="FirstParagraph"/>
      </w:pPr>
      <w:r>
        <w:t xml:space="preserve">Check provincial employment services, public colleges, regulator-approved programs, employer sponsorship, scholarships, grants, and student-aid options before choosing a commercial provider. Verify that any paid course is accepted by the regulator for the pathway you intend to pursue. Do not pay for a generic private certificate because its title sounds official.</w:t>
      </w:r>
    </w:p>
    <w:bookmarkEnd w:id="31"/>
    <w:bookmarkEnd w:id="32"/>
    <w:bookmarkStart w:id="34" w:name="Xba0f5c7f5c0a18914787072acb78a05f1336785"/>
    <w:p>
      <w:pPr>
        <w:pStyle w:val="Heading2"/>
      </w:pPr>
      <w:r>
        <w:t xml:space="preserve">7. Colombia pathway</w:t>
      </w:r>
    </w:p>
    <w:p>
      <w:pPr>
        <w:pStyle w:val="FirstParagraph"/>
      </w:pPr>
      <w:r>
        <w:t xml:space="preserve">Colombia should not be described as using the same occupational licensing model as a U.S. real-estate salesperson or a Canadian provincial registrant.</w:t>
      </w:r>
    </w:p>
    <w:p>
      <w:pPr>
        <w:pStyle w:val="BodyText"/>
      </w:pPr>
      <w:r>
        <w:t xml:space="preserve">For urban residential leasing,</w:t>
      </w:r>
      <w:r>
        <w:t xml:space="preserve"> </w:t>
      </w:r>
      <w:r>
        <w:rPr>
          <w:bCs/>
          <w:b/>
        </w:rPr>
        <w:t xml:space="preserve">Ley 820 de 2003, Article 28</w:t>
      </w:r>
      <w:r>
        <w:t xml:space="preserve"> </w:t>
      </w:r>
      <w:r>
        <w:t xml:space="preserve">establishes a specific registration requirement for certain natural or legal persons whose principal activities include renting urban residential real estate owned by themselves or third parties, or commercial intermediation between landlords and tenants, in municipalities with more than 15,000 inhabitants. The provision also covers certain owners or sublessors with more than five rental contracts.</w:t>
      </w:r>
    </w:p>
    <w:p>
      <w:pPr>
        <w:pStyle w:val="BodyText"/>
      </w:pPr>
      <w:r>
        <w:t xml:space="preserve">Learners should verify the current competent authority and the exact requirements for their municipality and activity before offering regulated leasing or intermediation services. Do not treat a U.S. license, Canadian NOC classification, online certificate, franchise training, or private association membership as automatic authority in Colombia.</w:t>
      </w:r>
    </w:p>
    <w:p>
      <w:pPr>
        <w:pStyle w:val="BodyText"/>
      </w:pPr>
      <w:r>
        <w:t xml:space="preserve">Property transfers, public-registration acts, notarial functions, mortgage advice, tax advice, valuations, and legal opinions involve separate professional and governmental boundaries. A salesperson or leasing worker should not present themselves as a notary, registrar, attorney, appraiser, tax professional, or mortgage adviser unless separately qualified and authorized.</w:t>
      </w:r>
    </w:p>
    <w:bookmarkStart w:id="33" w:name="Xda8d259bb64109c4c914c5ef1af16842cdfad57"/>
    <w:p>
      <w:pPr>
        <w:pStyle w:val="Heading3"/>
      </w:pPr>
      <w:r>
        <w:t xml:space="preserve">Free and low-cost Colombia skills options</w:t>
      </w:r>
    </w:p>
    <w:p>
      <w:pPr>
        <w:pStyle w:val="FirstParagraph"/>
      </w:pPr>
      <w:r>
        <w:t xml:space="preserve">SENA is an important public training source. As of the controlled research date, SENA Betowa listed:</w:t>
      </w:r>
    </w:p>
    <w:p>
      <w:pPr>
        <w:numPr>
          <w:ilvl w:val="0"/>
          <w:numId w:val="1004"/>
        </w:numPr>
        <w:pStyle w:val="Compact"/>
      </w:pPr>
      <w:r>
        <w:rPr>
          <w:bCs/>
          <w:b/>
        </w:rPr>
        <w:t xml:space="preserve">Servicio al cliente</w:t>
      </w:r>
      <w:r>
        <w:t xml:space="preserve">, a 48-hour complementary customer-service course with a virtual offering; and</w:t>
      </w:r>
    </w:p>
    <w:p>
      <w:pPr>
        <w:numPr>
          <w:ilvl w:val="0"/>
          <w:numId w:val="1004"/>
        </w:numPr>
        <w:pStyle w:val="Compact"/>
      </w:pPr>
      <w:r>
        <w:rPr>
          <w:bCs/>
          <w:b/>
        </w:rPr>
        <w:t xml:space="preserve">Fortalecimiento en mercadeo y ventas</w:t>
      </w:r>
      <w:r>
        <w:t xml:space="preserve">, a 96-hour complementary marketing-and-sales course.</w:t>
      </w:r>
    </w:p>
    <w:p>
      <w:pPr>
        <w:pStyle w:val="FirstParagraph"/>
      </w:pPr>
      <w:r>
        <w:t xml:space="preserve">These courses can strengthen communication, customer service, and sales practice. They are not real-estate licenses, municipal registrations, legal credentials, brokerage authorizations, or substitutes for activity-specific requirements. Availability, modality, enrollment windows, and eligibility can change, so confirm current details directly with SENA before enrolling.</w:t>
      </w:r>
    </w:p>
    <w:p>
      <w:pPr>
        <w:pStyle w:val="BodyText"/>
      </w:pPr>
      <w:r>
        <w:t xml:space="preserve">Other useful Colombia learning areas include Excel, digital marketing, document management, customer experience, data protection, basic accounting, conflict resolution, and business communication. Public, employer-sponsored, and low-cost options should be checked before paying for expensive real-estate coaching programs.</w:t>
      </w:r>
    </w:p>
    <w:bookmarkEnd w:id="33"/>
    <w:bookmarkEnd w:id="34"/>
    <w:bookmarkStart w:id="35" w:name="Xf6f908a155c058a19b013751136dddbd11d021c"/>
    <w:p>
      <w:pPr>
        <w:pStyle w:val="Heading2"/>
      </w:pPr>
      <w:r>
        <w:t xml:space="preserve">8. Other Latin American pathways</w:t>
      </w:r>
    </w:p>
    <w:p>
      <w:pPr>
        <w:pStyle w:val="FirstParagraph"/>
      </w:pPr>
      <w:r>
        <w:t xml:space="preserve">Real-estate brokerage and leasing rules vary widely across Latin America. Some jurisdictions regulate brokers or agents through national, state, provincial, departmental, municipal, or professional bodies; others regulate particular activities rather than the job title itself. Notarial and land-registration systems also differ significantly.</w:t>
      </w:r>
    </w:p>
    <w:p>
      <w:pPr>
        <w:pStyle w:val="BodyText"/>
      </w:pPr>
      <w:r>
        <w:t xml:space="preserve">Before paying for training or advertising services in any country:</w:t>
      </w:r>
    </w:p>
    <w:p>
      <w:pPr>
        <w:numPr>
          <w:ilvl w:val="0"/>
          <w:numId w:val="1005"/>
        </w:numPr>
        <w:pStyle w:val="Compact"/>
      </w:pPr>
      <w:r>
        <w:t xml:space="preserve">Identify the government authority responsible for real-estate intermediation or commercial activity.</w:t>
      </w:r>
    </w:p>
    <w:p>
      <w:pPr>
        <w:numPr>
          <w:ilvl w:val="0"/>
          <w:numId w:val="1005"/>
        </w:numPr>
        <w:pStyle w:val="Compact"/>
      </w:pPr>
      <w:r>
        <w:t xml:space="preserve">Check consumer-protection and advertising rules.</w:t>
      </w:r>
    </w:p>
    <w:p>
      <w:pPr>
        <w:numPr>
          <w:ilvl w:val="0"/>
          <w:numId w:val="1005"/>
        </w:numPr>
        <w:pStyle w:val="Compact"/>
      </w:pPr>
      <w:r>
        <w:t xml:space="preserve">Check privacy and personal-data rules for prospect, tenant, buyer, seller, and screening information.</w:t>
      </w:r>
    </w:p>
    <w:p>
      <w:pPr>
        <w:numPr>
          <w:ilvl w:val="0"/>
          <w:numId w:val="1005"/>
        </w:numPr>
        <w:pStyle w:val="Compact"/>
      </w:pPr>
      <w:r>
        <w:t xml:space="preserve">Check notarial, property-registration, tax, and contract boundaries.</w:t>
      </w:r>
    </w:p>
    <w:p>
      <w:pPr>
        <w:numPr>
          <w:ilvl w:val="0"/>
          <w:numId w:val="1005"/>
        </w:numPr>
        <w:pStyle w:val="Compact"/>
      </w:pPr>
      <w:r>
        <w:t xml:space="preserve">Verify whether deposits, trust funds, rents, or client money require special handling.</w:t>
      </w:r>
    </w:p>
    <w:p>
      <w:pPr>
        <w:numPr>
          <w:ilvl w:val="0"/>
          <w:numId w:val="1005"/>
        </w:numPr>
        <w:pStyle w:val="Compact"/>
      </w:pPr>
      <w:r>
        <w:t xml:space="preserve">Confirm whether an employer or franchise credential has any legal standing outside that company.</w:t>
      </w:r>
    </w:p>
    <w:p>
      <w:pPr>
        <w:numPr>
          <w:ilvl w:val="0"/>
          <w:numId w:val="1005"/>
        </w:numPr>
        <w:pStyle w:val="Compact"/>
      </w:pPr>
      <w:r>
        <w:t xml:space="preserve">Prefer public vocational institutions, universities, technical institutes, employment services, official scholarship programs, and employer training before high-cost private courses.</w:t>
      </w:r>
    </w:p>
    <w:p>
      <w:pPr>
        <w:pStyle w:val="FirstParagraph"/>
      </w:pPr>
      <w:r>
        <w:t xml:space="preserve">Regional labels such as “Latin American real-estate certification” should be treated cautiously unless the provider identifies the exact legal authority and jurisdiction in which the credential is recognized.</w:t>
      </w:r>
    </w:p>
    <w:bookmarkEnd w:id="35"/>
    <w:bookmarkStart w:id="42" w:name="Xd30eb24b5cb403b52bea6c0a824a6b9e1a3b523"/>
    <w:p>
      <w:pPr>
        <w:pStyle w:val="Heading2"/>
      </w:pPr>
      <w:r>
        <w:t xml:space="preserve">9. A practical 12-week entry plan</w:t>
      </w:r>
    </w:p>
    <w:bookmarkStart w:id="36" w:name="weeks-12-map-the-legal-boundary"/>
    <w:p>
      <w:pPr>
        <w:pStyle w:val="Heading3"/>
      </w:pPr>
      <w:r>
        <w:t xml:space="preserve">Weeks 1–2: Map the legal boundary</w:t>
      </w:r>
    </w:p>
    <w:p>
      <w:pPr>
        <w:pStyle w:val="FirstParagraph"/>
      </w:pPr>
      <w:r>
        <w:t xml:space="preserve">Identify the country, state/province/territory, and municipality where you want to work. Determine whether the target role is regulated, which authority controls it, and which duties require supervision or licensure. Save the regulator's current requirements and approved-provider list.</w:t>
      </w:r>
    </w:p>
    <w:bookmarkEnd w:id="36"/>
    <w:bookmarkStart w:id="37" w:name="X4c52846523b233b4d46ef24c4c0888b9375708a"/>
    <w:p>
      <w:pPr>
        <w:pStyle w:val="Heading3"/>
      </w:pPr>
      <w:r>
        <w:t xml:space="preserve">Weeks 3–4: Build service and records skills</w:t>
      </w:r>
    </w:p>
    <w:p>
      <w:pPr>
        <w:pStyle w:val="FirstParagraph"/>
      </w:pPr>
      <w:r>
        <w:t xml:space="preserve">Practice professional email, phone, and chat communication. Learn a CRM or a simple spreadsheet lead tracker. Create a consistent follow-up process. Study privacy, accessibility, and fair-housing or anti-discrimination obligations relevant to your jurisdiction.</w:t>
      </w:r>
    </w:p>
    <w:bookmarkEnd w:id="37"/>
    <w:bookmarkStart w:id="38" w:name="Xe69d91bcaa8f5e4c0a8e883ed11f084db80a24f"/>
    <w:p>
      <w:pPr>
        <w:pStyle w:val="Heading3"/>
      </w:pPr>
      <w:r>
        <w:t xml:space="preserve">Weeks 5–6: Learn the transaction vocabulary</w:t>
      </w:r>
    </w:p>
    <w:p>
      <w:pPr>
        <w:pStyle w:val="FirstParagraph"/>
      </w:pPr>
      <w:r>
        <w:t xml:space="preserve">Learn the plain-language meaning of common concepts such as listing, lease, security deposit, concession, commission, disclosure, agency, showing, application, screening, closing, deed, title, mortgage, condominium or HOA rules, and property-management responsibilities. Do not confuse vocabulary knowledge with authority to provide legal or financial advice.</w:t>
      </w:r>
    </w:p>
    <w:bookmarkEnd w:id="38"/>
    <w:bookmarkStart w:id="39" w:name="weeks-78-build-a-small-portfolio"/>
    <w:p>
      <w:pPr>
        <w:pStyle w:val="Heading3"/>
      </w:pPr>
      <w:r>
        <w:t xml:space="preserve">Weeks 7–8: Build a small portfolio</w:t>
      </w:r>
    </w:p>
    <w:p>
      <w:pPr>
        <w:pStyle w:val="FirstParagraph"/>
      </w:pPr>
      <w:r>
        <w:t xml:space="preserve">Create fictional, privacy-safe samples such as:</w:t>
      </w:r>
    </w:p>
    <w:p>
      <w:pPr>
        <w:numPr>
          <w:ilvl w:val="0"/>
          <w:numId w:val="1006"/>
        </w:numPr>
        <w:pStyle w:val="Compact"/>
      </w:pPr>
      <w:r>
        <w:t xml:space="preserve">a prospect follow-up sequence;</w:t>
      </w:r>
    </w:p>
    <w:p>
      <w:pPr>
        <w:numPr>
          <w:ilvl w:val="0"/>
          <w:numId w:val="1006"/>
        </w:numPr>
        <w:pStyle w:val="Compact"/>
      </w:pPr>
      <w:r>
        <w:t xml:space="preserve">a property-comparison worksheet;</w:t>
      </w:r>
    </w:p>
    <w:p>
      <w:pPr>
        <w:numPr>
          <w:ilvl w:val="0"/>
          <w:numId w:val="1006"/>
        </w:numPr>
        <w:pStyle w:val="Compact"/>
      </w:pPr>
      <w:r>
        <w:t xml:space="preserve">a tour checklist;</w:t>
      </w:r>
    </w:p>
    <w:p>
      <w:pPr>
        <w:numPr>
          <w:ilvl w:val="0"/>
          <w:numId w:val="1006"/>
        </w:numPr>
        <w:pStyle w:val="Compact"/>
      </w:pPr>
      <w:r>
        <w:t xml:space="preserve">a CRM pipeline example;</w:t>
      </w:r>
    </w:p>
    <w:p>
      <w:pPr>
        <w:numPr>
          <w:ilvl w:val="0"/>
          <w:numId w:val="1006"/>
        </w:numPr>
        <w:pStyle w:val="Compact"/>
      </w:pPr>
      <w:r>
        <w:t xml:space="preserve">an accessibility-aware property-information template;</w:t>
      </w:r>
    </w:p>
    <w:p>
      <w:pPr>
        <w:numPr>
          <w:ilvl w:val="0"/>
          <w:numId w:val="1006"/>
        </w:numPr>
        <w:pStyle w:val="Compact"/>
      </w:pPr>
      <w:r>
        <w:t xml:space="preserve">a fair-housing-safe marketing review checklist;</w:t>
      </w:r>
    </w:p>
    <w:p>
      <w:pPr>
        <w:numPr>
          <w:ilvl w:val="0"/>
          <w:numId w:val="1006"/>
        </w:numPr>
        <w:pStyle w:val="Compact"/>
      </w:pPr>
      <w:r>
        <w:t xml:space="preserve">a move-in coordination checklist;</w:t>
      </w:r>
    </w:p>
    <w:p>
      <w:pPr>
        <w:numPr>
          <w:ilvl w:val="0"/>
          <w:numId w:val="1006"/>
        </w:numPr>
        <w:pStyle w:val="Compact"/>
      </w:pPr>
      <w:r>
        <w:t xml:space="preserve">a monthly leasing activity dashboard.</w:t>
      </w:r>
    </w:p>
    <w:p>
      <w:pPr>
        <w:pStyle w:val="FirstParagraph"/>
      </w:pPr>
      <w:r>
        <w:t xml:space="preserve">Label all samples as practice work and avoid using real customer data.</w:t>
      </w:r>
    </w:p>
    <w:bookmarkEnd w:id="39"/>
    <w:bookmarkStart w:id="40" w:name="X53447b200222412d2d2742f719e3274f8f5eba4"/>
    <w:p>
      <w:pPr>
        <w:pStyle w:val="Heading3"/>
      </w:pPr>
      <w:r>
        <w:t xml:space="preserve">Weeks 9–10: Verify funding and training before paying</w:t>
      </w:r>
    </w:p>
    <w:p>
      <w:pPr>
        <w:pStyle w:val="FirstParagraph"/>
      </w:pPr>
      <w:r>
        <w:t xml:space="preserve">Compare regulator-approved programs, public workforce funding, scholarships, employer reimbursement, apprenticeships or work-based learning, public-college options, SENA where relevant, and free official learning resources. Read refund and repayment terms before paying.</w:t>
      </w:r>
    </w:p>
    <w:bookmarkEnd w:id="40"/>
    <w:bookmarkStart w:id="41" w:name="weeks-1112-apply-to-bounded-entry-roles"/>
    <w:p>
      <w:pPr>
        <w:pStyle w:val="Heading3"/>
      </w:pPr>
      <w:r>
        <w:t xml:space="preserve">Weeks 11–12: Apply to bounded entry roles</w:t>
      </w:r>
    </w:p>
    <w:p>
      <w:pPr>
        <w:pStyle w:val="FirstParagraph"/>
      </w:pPr>
      <w:r>
        <w:t xml:space="preserve">Search for roles such as leasing consultant, leasing assistant, property administrator, resident-services representative, real-estate assistant, transaction coordinator, sales coordinator, property-office assistant, or licensed sales agent if you already meet the local licensing requirements.</w:t>
      </w:r>
    </w:p>
    <w:p>
      <w:pPr>
        <w:pStyle w:val="BodyText"/>
      </w:pPr>
      <w:r>
        <w:t xml:space="preserve">For every job posting, compare the duties to the local legal boundary. If the employer expects unlicensed staff to negotiate, provide legal opinions, handle regulated funds, perform licensed brokerage activity, or make discriminatory screening decisions, ask for clarification or decline the role.</w:t>
      </w:r>
    </w:p>
    <w:bookmarkEnd w:id="41"/>
    <w:bookmarkEnd w:id="42"/>
    <w:bookmarkStart w:id="43" w:name="X4f9efcdd8f0021e7eb6ed2f72d3730cf964ba22"/>
    <w:p>
      <w:pPr>
        <w:pStyle w:val="Heading2"/>
      </w:pPr>
      <w:r>
        <w:t xml:space="preserve">10. How to evaluate training providers</w:t>
      </w:r>
    </w:p>
    <w:p>
      <w:pPr>
        <w:pStyle w:val="FirstParagraph"/>
      </w:pPr>
      <w:r>
        <w:t xml:space="preserve">A useful provider should clearly state what the course teaches, who recognizes it, total price, refund terms, instructor qualifications, accessibility support, and whether completion satisfies any legal requirement.</w:t>
      </w:r>
    </w:p>
    <w:p>
      <w:pPr>
        <w:pStyle w:val="BodyText"/>
      </w:pPr>
      <w:r>
        <w:t xml:space="preserve">Warning signs include:</w:t>
      </w:r>
    </w:p>
    <w:p>
      <w:pPr>
        <w:numPr>
          <w:ilvl w:val="0"/>
          <w:numId w:val="1007"/>
        </w:numPr>
        <w:pStyle w:val="Compact"/>
      </w:pPr>
      <w:r>
        <w:t xml:space="preserve">guaranteed income or guaranteed clients;</w:t>
      </w:r>
    </w:p>
    <w:p>
      <w:pPr>
        <w:numPr>
          <w:ilvl w:val="0"/>
          <w:numId w:val="1007"/>
        </w:numPr>
        <w:pStyle w:val="Compact"/>
      </w:pPr>
      <w:r>
        <w:t xml:space="preserve">claims that licensing is unnecessary when the regulator says otherwise;</w:t>
      </w:r>
    </w:p>
    <w:p>
      <w:pPr>
        <w:numPr>
          <w:ilvl w:val="0"/>
          <w:numId w:val="1007"/>
        </w:numPr>
        <w:pStyle w:val="Compact"/>
      </w:pPr>
      <w:r>
        <w:t xml:space="preserve">pressure to pay immediately;</w:t>
      </w:r>
    </w:p>
    <w:p>
      <w:pPr>
        <w:numPr>
          <w:ilvl w:val="0"/>
          <w:numId w:val="1007"/>
        </w:numPr>
        <w:pStyle w:val="Compact"/>
      </w:pPr>
      <w:r>
        <w:t xml:space="preserve">vague statements such as “internationally accredited” without naming the accreditor;</w:t>
      </w:r>
    </w:p>
    <w:p>
      <w:pPr>
        <w:numPr>
          <w:ilvl w:val="0"/>
          <w:numId w:val="1007"/>
        </w:numPr>
        <w:pStyle w:val="Compact"/>
      </w:pPr>
      <w:r>
        <w:t xml:space="preserve">expensive lead packages sold as mandatory training;</w:t>
      </w:r>
    </w:p>
    <w:p>
      <w:pPr>
        <w:numPr>
          <w:ilvl w:val="0"/>
          <w:numId w:val="1007"/>
        </w:numPr>
        <w:pStyle w:val="Compact"/>
      </w:pPr>
      <w:r>
        <w:t xml:space="preserve">unclear recurring fees;</w:t>
      </w:r>
    </w:p>
    <w:p>
      <w:pPr>
        <w:numPr>
          <w:ilvl w:val="0"/>
          <w:numId w:val="1007"/>
        </w:numPr>
        <w:pStyle w:val="Compact"/>
      </w:pPr>
      <w:r>
        <w:t xml:space="preserve">recruitment models that focus more on recruiting other agents than serving clients;</w:t>
      </w:r>
    </w:p>
    <w:p>
      <w:pPr>
        <w:numPr>
          <w:ilvl w:val="0"/>
          <w:numId w:val="1007"/>
        </w:numPr>
        <w:pStyle w:val="Compact"/>
      </w:pPr>
      <w:r>
        <w:t xml:space="preserve">promises that a private certificate replaces a government license or registration;</w:t>
      </w:r>
    </w:p>
    <w:p>
      <w:pPr>
        <w:numPr>
          <w:ilvl w:val="0"/>
          <w:numId w:val="1007"/>
        </w:numPr>
        <w:pStyle w:val="Compact"/>
      </w:pPr>
      <w:r>
        <w:t xml:space="preserve">requests to falsify experience, addresses, income, or licensing information.</w:t>
      </w:r>
    </w:p>
    <w:p>
      <w:pPr>
        <w:pStyle w:val="FirstParagraph"/>
      </w:pPr>
      <w:r>
        <w:t xml:space="preserve">If a course is intended to satisfy a legal requirement, verify it with the regulator, not only with the school.</w:t>
      </w:r>
    </w:p>
    <w:bookmarkEnd w:id="43"/>
    <w:bookmarkStart w:id="44" w:name="X519f66e1b368ceda7ae2d6422a6a719fe26dd8b"/>
    <w:p>
      <w:pPr>
        <w:pStyle w:val="Heading2"/>
      </w:pPr>
      <w:r>
        <w:t xml:space="preserve">11. Privacy, screening data, and cybersecurity</w:t>
      </w:r>
    </w:p>
    <w:p>
      <w:pPr>
        <w:pStyle w:val="FirstParagraph"/>
      </w:pPr>
      <w:r>
        <w:t xml:space="preserve">Real-estate and leasing workflows can contain sensitive information: identity documents, phone numbers, email addresses, income, employment data, credit or background-screening information, bank details, payment information, family information, accommodation requests, contracts, signatures, and property-access information.</w:t>
      </w:r>
    </w:p>
    <w:p>
      <w:pPr>
        <w:pStyle w:val="BodyText"/>
      </w:pPr>
      <w:r>
        <w:t xml:space="preserve">Use the minimum information needed for the authorized task. Follow employer rules for storage, retention, access, deletion, sharing, and incident reporting. Avoid downloading applicant or customer files to personal devices unless explicitly authorized. Use approved systems, strong authentication, and secure document-sharing methods.</w:t>
      </w:r>
    </w:p>
    <w:p>
      <w:pPr>
        <w:pStyle w:val="BodyText"/>
      </w:pPr>
      <w:r>
        <w:t xml:space="preserve">A public social-media profile or public property record does not mean every detail can be copied, combined, republished, or used for screening. Follow applicable privacy, consumer-reporting, anti-discrimination, and contractual requirements.</w:t>
      </w:r>
    </w:p>
    <w:bookmarkEnd w:id="44"/>
    <w:bookmarkStart w:id="45" w:name="X17ec719f92c6949c0c0356c9f7f4db7e5938cc0"/>
    <w:p>
      <w:pPr>
        <w:pStyle w:val="Heading2"/>
      </w:pPr>
      <w:r>
        <w:t xml:space="preserve">12. Responsible use of AI</w:t>
      </w:r>
    </w:p>
    <w:p>
      <w:pPr>
        <w:pStyle w:val="FirstParagraph"/>
      </w:pPr>
      <w:r>
        <w:t xml:space="preserve">AI can be helpful for low-risk support tasks when policy allows, including:</w:t>
      </w:r>
    </w:p>
    <w:p>
      <w:pPr>
        <w:numPr>
          <w:ilvl w:val="0"/>
          <w:numId w:val="1008"/>
        </w:numPr>
        <w:pStyle w:val="Compact"/>
      </w:pPr>
      <w:r>
        <w:t xml:space="preserve">study plans and practice questions;</w:t>
      </w:r>
    </w:p>
    <w:p>
      <w:pPr>
        <w:numPr>
          <w:ilvl w:val="0"/>
          <w:numId w:val="1008"/>
        </w:numPr>
        <w:pStyle w:val="Compact"/>
      </w:pPr>
      <w:r>
        <w:t xml:space="preserve">generic marketing drafts that are subsequently reviewed;</w:t>
      </w:r>
    </w:p>
    <w:p>
      <w:pPr>
        <w:numPr>
          <w:ilvl w:val="0"/>
          <w:numId w:val="1008"/>
        </w:numPr>
        <w:pStyle w:val="Compact"/>
      </w:pPr>
      <w:r>
        <w:t xml:space="preserve">plain-language explanations of non-authoritative concepts;</w:t>
      </w:r>
    </w:p>
    <w:p>
      <w:pPr>
        <w:numPr>
          <w:ilvl w:val="0"/>
          <w:numId w:val="1008"/>
        </w:numPr>
        <w:pStyle w:val="Compact"/>
      </w:pPr>
      <w:r>
        <w:t xml:space="preserve">checklists and process templates;</w:t>
      </w:r>
    </w:p>
    <w:p>
      <w:pPr>
        <w:numPr>
          <w:ilvl w:val="0"/>
          <w:numId w:val="1008"/>
        </w:numPr>
        <w:pStyle w:val="Compact"/>
      </w:pPr>
      <w:r>
        <w:t xml:space="preserve">cleanup of fictional or de-identified CRM notes;</w:t>
      </w:r>
    </w:p>
    <w:p>
      <w:pPr>
        <w:numPr>
          <w:ilvl w:val="0"/>
          <w:numId w:val="1008"/>
        </w:numPr>
        <w:pStyle w:val="Compact"/>
      </w:pPr>
      <w:r>
        <w:t xml:space="preserve">brainstorming questions for a supervisor, regulator, or training provider.</w:t>
      </w:r>
    </w:p>
    <w:p>
      <w:pPr>
        <w:pStyle w:val="FirstParagraph"/>
      </w:pPr>
      <w:r>
        <w:t xml:space="preserve">AI should not be treated as the authoritative source for licensing rules, legal rights, protected-class screening, contract terms, required disclosures, property values, mortgage eligibility, title status, tax consequences, or final housing-availability decisions.</w:t>
      </w:r>
    </w:p>
    <w:p>
      <w:pPr>
        <w:pStyle w:val="BodyText"/>
      </w:pPr>
      <w:r>
        <w:t xml:space="preserve">Do not upload sensitive prospect, applicant, tenant, owner, buyer, seller, identity, financial, contract, screening, or accommodation information to an external AI system unless the organization has explicitly approved the tool and the use complies with privacy, security, confidentiality, retention, fair-housing, and contractual requirements.</w:t>
      </w:r>
    </w:p>
    <w:p>
      <w:pPr>
        <w:pStyle w:val="BodyText"/>
      </w:pPr>
      <w:r>
        <w:t xml:space="preserve">Any material fact that could affect a person's housing opportunity, money, legal rights, or transaction should be verified against an authoritative source and reviewed by the appropriately authorized person when required.</w:t>
      </w:r>
    </w:p>
    <w:bookmarkEnd w:id="45"/>
    <w:bookmarkStart w:id="46" w:name="X5fa63e4d4da03f3c49aee3d077d2aed18477aca"/>
    <w:p>
      <w:pPr>
        <w:pStyle w:val="Heading2"/>
      </w:pPr>
      <w:r>
        <w:t xml:space="preserve">13. Career progression</w:t>
      </w:r>
    </w:p>
    <w:p>
      <w:pPr>
        <w:pStyle w:val="FirstParagraph"/>
      </w:pPr>
      <w:r>
        <w:t xml:space="preserve">Possible next steps depend on licensing, jurisdiction, and experience. They may include senior leasing consultant, leasing manager, property administrator, assistant property manager, property manager, transaction coordinator, licensed real-estate sales agent, broker, brokerage operations, new-home sales, commercial leasing support, customer-experience leadership, housing-program administration, or real-estate operations.</w:t>
      </w:r>
    </w:p>
    <w:p>
      <w:pPr>
        <w:pStyle w:val="BodyText"/>
      </w:pPr>
      <w:r>
        <w:t xml:space="preserve">Do not assume that experience alone authorizes a regulated promotion. Verify the education, exam, experience, supervision, registration, insurance, and continuing-education requirements for each new level.</w:t>
      </w:r>
    </w:p>
    <w:bookmarkEnd w:id="46"/>
    <w:bookmarkStart w:id="58" w:name="X5383d249ddc66b007827b125d5a2e204583a9f1"/>
    <w:p>
      <w:pPr>
        <w:pStyle w:val="Heading2"/>
      </w:pPr>
      <w:r>
        <w:t xml:space="preserve">14. Sources checked for this controlled revision</w:t>
      </w:r>
    </w:p>
    <w:p>
      <w:pPr>
        <w:pStyle w:val="FirstParagraph"/>
      </w:pPr>
      <w:r>
        <w:t xml:space="preserve">Official and public sources used for the 2026 evidence gate include:</w:t>
      </w:r>
    </w:p>
    <w:p>
      <w:pPr>
        <w:numPr>
          <w:ilvl w:val="0"/>
          <w:numId w:val="1009"/>
        </w:numPr>
        <w:pStyle w:val="Compact"/>
      </w:pPr>
      <w:r>
        <w:t xml:space="preserve">U.S. Bureau of Labor Statistics, Occupational Outlook Handbook — Real Estate Brokers and Sales Agents:</w:t>
      </w:r>
      <w:r>
        <w:t xml:space="preserve"> </w:t>
      </w:r>
      <w:hyperlink r:id="rId47">
        <w:r>
          <w:rPr>
            <w:rStyle w:val="Hyperlink"/>
          </w:rPr>
          <w:t xml:space="preserve">https://www.bls.gov/ooh/sales/real-estate-brokers-and-sales-agents.htm</w:t>
        </w:r>
      </w:hyperlink>
    </w:p>
    <w:p>
      <w:pPr>
        <w:numPr>
          <w:ilvl w:val="0"/>
          <w:numId w:val="1009"/>
        </w:numPr>
        <w:pStyle w:val="Compact"/>
      </w:pPr>
      <w:r>
        <w:t xml:space="preserve">U.S. Department of Housing and Urban Development — Housing Discrimination Under the Fair Housing Act:</w:t>
      </w:r>
      <w:r>
        <w:t xml:space="preserve"> </w:t>
      </w:r>
      <w:hyperlink r:id="rId48">
        <w:r>
          <w:rPr>
            <w:rStyle w:val="Hyperlink"/>
          </w:rPr>
          <w:t xml:space="preserve">https://www.hud.gov/helping-americans/fair-housing-act-overview</w:t>
        </w:r>
      </w:hyperlink>
    </w:p>
    <w:p>
      <w:pPr>
        <w:numPr>
          <w:ilvl w:val="0"/>
          <w:numId w:val="1009"/>
        </w:numPr>
        <w:pStyle w:val="Compact"/>
      </w:pPr>
      <w:r>
        <w:t xml:space="preserve">CareerOneStop — local training and WIOA information:</w:t>
      </w:r>
      <w:r>
        <w:t xml:space="preserve"> </w:t>
      </w:r>
      <w:hyperlink r:id="rId49">
        <w:r>
          <w:rPr>
            <w:rStyle w:val="Hyperlink"/>
          </w:rPr>
          <w:t xml:space="preserve">https://www.careeronestop.org/Credentials/Toolkit/find-local-training-help.aspx</w:t>
        </w:r>
      </w:hyperlink>
    </w:p>
    <w:p>
      <w:pPr>
        <w:numPr>
          <w:ilvl w:val="0"/>
          <w:numId w:val="1009"/>
        </w:numPr>
        <w:pStyle w:val="Compact"/>
      </w:pPr>
      <w:r>
        <w:t xml:space="preserve">Apprenticeship.gov:</w:t>
      </w:r>
      <w:r>
        <w:t xml:space="preserve"> </w:t>
      </w:r>
      <w:hyperlink r:id="rId50">
        <w:r>
          <w:rPr>
            <w:rStyle w:val="Hyperlink"/>
          </w:rPr>
          <w:t xml:space="preserve">https://www.apprenticeship.gov/</w:t>
        </w:r>
      </w:hyperlink>
    </w:p>
    <w:p>
      <w:pPr>
        <w:numPr>
          <w:ilvl w:val="0"/>
          <w:numId w:val="1009"/>
        </w:numPr>
        <w:pStyle w:val="Compact"/>
      </w:pPr>
      <w:r>
        <w:t xml:space="preserve">Government of Canada Job Bank — NOC 63101 wages:</w:t>
      </w:r>
      <w:r>
        <w:t xml:space="preserve"> </w:t>
      </w:r>
      <w:hyperlink r:id="rId51">
        <w:r>
          <w:rPr>
            <w:rStyle w:val="Hyperlink"/>
          </w:rPr>
          <w:t xml:space="preserve">https://www.jobbank.gc.ca/marketreport/wages-occupation/6181/ca</w:t>
        </w:r>
      </w:hyperlink>
    </w:p>
    <w:p>
      <w:pPr>
        <w:numPr>
          <w:ilvl w:val="0"/>
          <w:numId w:val="1009"/>
        </w:numPr>
        <w:pStyle w:val="Compact"/>
      </w:pPr>
      <w:r>
        <w:t xml:space="preserve">Government of Canada Job Bank — NOC 63101 requirements:</w:t>
      </w:r>
      <w:r>
        <w:t xml:space="preserve"> </w:t>
      </w:r>
      <w:hyperlink r:id="rId52">
        <w:r>
          <w:rPr>
            <w:rStyle w:val="Hyperlink"/>
          </w:rPr>
          <w:t xml:space="preserve">https://www.jobbank.gc.ca/marketreport/requirements/6181/ca</w:t>
        </w:r>
      </w:hyperlink>
    </w:p>
    <w:p>
      <w:pPr>
        <w:numPr>
          <w:ilvl w:val="0"/>
          <w:numId w:val="1009"/>
        </w:numPr>
        <w:pStyle w:val="Compact"/>
      </w:pPr>
      <w:r>
        <w:t xml:space="preserve">Colombia, Ley 820 de 2003, Article 28, SUIN-Juriscol:</w:t>
      </w:r>
      <w:r>
        <w:t xml:space="preserve"> </w:t>
      </w:r>
      <w:hyperlink r:id="rId53">
        <w:r>
          <w:rPr>
            <w:rStyle w:val="Hyperlink"/>
          </w:rPr>
          <w:t xml:space="preserve">https://suin-juriscol.gov.co/clp/contenidos.dll/Leyes/1669010</w:t>
        </w:r>
      </w:hyperlink>
    </w:p>
    <w:p>
      <w:pPr>
        <w:numPr>
          <w:ilvl w:val="0"/>
          <w:numId w:val="1009"/>
        </w:numPr>
        <w:pStyle w:val="Compact"/>
      </w:pPr>
      <w:r>
        <w:t xml:space="preserve">SENA Betowa — Servicio al cliente:</w:t>
      </w:r>
      <w:r>
        <w:t xml:space="preserve"> </w:t>
      </w:r>
      <w:hyperlink r:id="rId54">
        <w:r>
          <w:rPr>
            <w:rStyle w:val="Hyperlink"/>
          </w:rPr>
          <w:t xml:space="preserve">https://betowa.sena.edu.co/oferta/servicio-al-cliente?modality=V</w:t>
        </w:r>
      </w:hyperlink>
    </w:p>
    <w:p>
      <w:pPr>
        <w:numPr>
          <w:ilvl w:val="0"/>
          <w:numId w:val="1009"/>
        </w:numPr>
        <w:pStyle w:val="Compact"/>
      </w:pPr>
      <w:r>
        <w:t xml:space="preserve">SENA Betowa — Fortalecimiento en mercadeo y ventas:</w:t>
      </w:r>
      <w:r>
        <w:t xml:space="preserve"> </w:t>
      </w:r>
      <w:hyperlink r:id="rId55">
        <w:r>
          <w:rPr>
            <w:rStyle w:val="Hyperlink"/>
          </w:rPr>
          <w:t xml:space="preserve">https://betowa.sena.edu.co/oferta/fortalecimiento-en-mercadeo-y-ventas?modality=P&amp;programId=122734</w:t>
        </w:r>
      </w:hyperlink>
    </w:p>
    <w:p>
      <w:pPr>
        <w:pStyle w:val="FirstParagraph"/>
      </w:pPr>
      <w:r>
        <w:t xml:space="preserve">Supplementary non-government income sources:</w:t>
      </w:r>
    </w:p>
    <w:p>
      <w:pPr>
        <w:numPr>
          <w:ilvl w:val="0"/>
          <w:numId w:val="1010"/>
        </w:numPr>
        <w:pStyle w:val="Compact"/>
      </w:pPr>
      <w:r>
        <w:t xml:space="preserve">Indeed — Real Estate Agent salaries:</w:t>
      </w:r>
      <w:r>
        <w:t xml:space="preserve"> </w:t>
      </w:r>
      <w:hyperlink r:id="rId56">
        <w:r>
          <w:rPr>
            <w:rStyle w:val="Hyperlink"/>
          </w:rPr>
          <w:t xml:space="preserve">https://www.indeed.com/career/real-estate-agent/salaries</w:t>
        </w:r>
      </w:hyperlink>
    </w:p>
    <w:p>
      <w:pPr>
        <w:numPr>
          <w:ilvl w:val="0"/>
          <w:numId w:val="1010"/>
        </w:numPr>
        <w:pStyle w:val="Compact"/>
      </w:pPr>
      <w:r>
        <w:t xml:space="preserve">Indeed — Leasing Consultant salaries:</w:t>
      </w:r>
      <w:r>
        <w:t xml:space="preserve"> </w:t>
      </w:r>
      <w:hyperlink r:id="rId57">
        <w:r>
          <w:rPr>
            <w:rStyle w:val="Hyperlink"/>
          </w:rPr>
          <w:t xml:space="preserve">https://www.indeed.com/career/leasing-consultant/salaries</w:t>
        </w:r>
      </w:hyperlink>
    </w:p>
    <w:p>
      <w:pPr>
        <w:pStyle w:val="FirstParagraph"/>
      </w:pPr>
      <w:r>
        <w:t xml:space="preserve">Sources and program availability can change. Recheck them when making a licensing, training, employment, or financial decision.</w:t>
      </w:r>
    </w:p>
    <w:bookmarkEnd w:id="58"/>
    <w:bookmarkStart w:id="59" w:name="Xab71a331595e286252b4e7a2a0e311367c37f7f"/>
    <w:p>
      <w:pPr>
        <w:pStyle w:val="Heading2"/>
      </w:pPr>
      <w:r>
        <w:t xml:space="preserve">15. Final boundary</w:t>
      </w:r>
    </w:p>
    <w:p>
      <w:pPr>
        <w:pStyle w:val="FirstParagraph"/>
      </w:pPr>
      <w:r>
        <w:t xml:space="preserve">This guide is designed to help learners enter the field carefully, reduce unnecessary training costs, and recognize when a task requires licensed or specialized authority. It does not certify competence, confer a license, approve a training provider, guarantee employment or earnings, or substitute for a regulator, broker, attorney, notary, appraiser, mortgage professional, tax professional, fair-housing specialist, privacy professional, or other authorized expert.</w:t>
      </w:r>
    </w:p>
    <w:p>
      <w:pPr>
        <w:pStyle w:val="BodyText"/>
      </w:pPr>
      <w:r>
        <w:t xml:space="preserve">No independent human certification, professional translation certification, accessibility certification, accreditation, or legal review is claimed for this controlled revision.</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betowa.sena.edu.co/oferta/fortalecimiento-en-mercadeo-y-ventas?modality=P&amp;programId=122734" TargetMode="External" /><Relationship Type="http://schemas.openxmlformats.org/officeDocument/2006/relationships/hyperlink" Id="rId54" Target="https://betowa.sena.edu.co/oferta/servicio-al-cliente?modality=V" TargetMode="External" /><Relationship Type="http://schemas.openxmlformats.org/officeDocument/2006/relationships/hyperlink" Id="rId53" Target="https://suin-juriscol.gov.co/clp/contenidos.dll/Leyes/1669010" TargetMode="External" /><Relationship Type="http://schemas.openxmlformats.org/officeDocument/2006/relationships/hyperlink" Id="rId50" Target="https://www.apprenticeship.gov/" TargetMode="External" /><Relationship Type="http://schemas.openxmlformats.org/officeDocument/2006/relationships/hyperlink" Id="rId47" Target="https://www.bls.gov/ooh/sales/real-estate-brokers-and-sales-agents.htm" TargetMode="External" /><Relationship Type="http://schemas.openxmlformats.org/officeDocument/2006/relationships/hyperlink" Id="rId49" Target="https://www.careeronestop.org/Credentials/Toolkit/find-local-training-help.aspx" TargetMode="External" /><Relationship Type="http://schemas.openxmlformats.org/officeDocument/2006/relationships/hyperlink" Id="rId48" Target="https://www.hud.gov/helping-americans/fair-housing-act-overview" TargetMode="External" /><Relationship Type="http://schemas.openxmlformats.org/officeDocument/2006/relationships/hyperlink" Id="rId57" Target="https://www.indeed.com/career/leasing-consultant/salaries" TargetMode="External" /><Relationship Type="http://schemas.openxmlformats.org/officeDocument/2006/relationships/hyperlink" Id="rId56" Target="https://www.indeed.com/career/real-estate-agent/salaries" TargetMode="External" /><Relationship Type="http://schemas.openxmlformats.org/officeDocument/2006/relationships/hyperlink" Id="rId52" Target="https://www.jobbank.gc.ca/marketreport/requirements/6181/ca" TargetMode="External" /><Relationship Type="http://schemas.openxmlformats.org/officeDocument/2006/relationships/hyperlink" Id="rId51" Target="https://www.jobbank.gc.ca/marketreport/wages-occupation/6181/ca" TargetMode="External" /></Relationships>
</file>

<file path=word/_rels/footnotes.xml.rels><?xml version="1.0" encoding="UTF-8"?><Relationships xmlns="http://schemas.openxmlformats.org/package/2006/relationships"><Relationship Type="http://schemas.openxmlformats.org/officeDocument/2006/relationships/hyperlink" Id="rId55" Target="https://betowa.sena.edu.co/oferta/fortalecimiento-en-mercadeo-y-ventas?modality=P&amp;programId=122734" TargetMode="External" /><Relationship Type="http://schemas.openxmlformats.org/officeDocument/2006/relationships/hyperlink" Id="rId54" Target="https://betowa.sena.edu.co/oferta/servicio-al-cliente?modality=V" TargetMode="External" /><Relationship Type="http://schemas.openxmlformats.org/officeDocument/2006/relationships/hyperlink" Id="rId53" Target="https://suin-juriscol.gov.co/clp/contenidos.dll/Leyes/1669010" TargetMode="External" /><Relationship Type="http://schemas.openxmlformats.org/officeDocument/2006/relationships/hyperlink" Id="rId50" Target="https://www.apprenticeship.gov/" TargetMode="External" /><Relationship Type="http://schemas.openxmlformats.org/officeDocument/2006/relationships/hyperlink" Id="rId47" Target="https://www.bls.gov/ooh/sales/real-estate-brokers-and-sales-agents.htm" TargetMode="External" /><Relationship Type="http://schemas.openxmlformats.org/officeDocument/2006/relationships/hyperlink" Id="rId49" Target="https://www.careeronestop.org/Credentials/Toolkit/find-local-training-help.aspx" TargetMode="External" /><Relationship Type="http://schemas.openxmlformats.org/officeDocument/2006/relationships/hyperlink" Id="rId48" Target="https://www.hud.gov/helping-americans/fair-housing-act-overview" TargetMode="External" /><Relationship Type="http://schemas.openxmlformats.org/officeDocument/2006/relationships/hyperlink" Id="rId57" Target="https://www.indeed.com/career/leasing-consultant/salaries" TargetMode="External" /><Relationship Type="http://schemas.openxmlformats.org/officeDocument/2006/relationships/hyperlink" Id="rId56" Target="https://www.indeed.com/career/real-estate-agent/salaries" TargetMode="External" /><Relationship Type="http://schemas.openxmlformats.org/officeDocument/2006/relationships/hyperlink" Id="rId52" Target="https://www.jobbank.gc.ca/marketreport/requirements/6181/ca" TargetMode="External" /><Relationship Type="http://schemas.openxmlformats.org/officeDocument/2006/relationships/hyperlink" Id="rId51" Target="https://www.jobbank.gc.ca/marketreport/wages-occupation/6181/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2026-08-10T07:09:24Z</dcterms:created>
  <dcterms:modified xsi:type="dcterms:W3CDTF">2026-08-10T07:09:24Z</dcterms:modified>
</cp:coreProperties>
</file>

<file path=docProps/custom.xml><?xml version="1.0" encoding="utf-8"?>
<Properties xmlns="http://schemas.openxmlformats.org/officeDocument/2006/custom-properties" xmlns:vt="http://schemas.openxmlformats.org/officeDocument/2006/docPropsVTypes"/>
</file>