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c89ee76082e8e90757a2849c59c935fab3e22e7"/>
    <w:p>
      <w:pPr>
        <w:pStyle w:val="Heading1"/>
      </w:pPr>
      <w:r>
        <w:t xml:space="preserve">Guía de Oportunidades para Toda la Vida 75 — Coordinador/a de marketing y asistente de marketing digital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2.0, maestro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ocupacional en EE. UU.:</w:t>
      </w:r>
      <w:r>
        <w:t xml:space="preserve"> </w:t>
      </w:r>
      <w:r>
        <w:t xml:space="preserve">O*NET-SOC 13-1161.00 — Analistas de investigación de mercados y especialistas en marketing</w:t>
      </w:r>
      <w:r>
        <w:br/>
      </w:r>
      <w:r>
        <w:rPr>
          <w:bCs/>
          <w:b/>
        </w:rPr>
        <w:t xml:space="preserve">Comparación en Canadá:</w:t>
      </w:r>
      <w:r>
        <w:t xml:space="preserve"> </w:t>
      </w:r>
      <w:r>
        <w:t xml:space="preserve">NOC 11202 — Ocupaciones profesionales en publicidad, marketing y relaciones públicas</w:t>
      </w:r>
      <w:r>
        <w:br/>
      </w:r>
      <w:r>
        <w:rPr>
          <w:bCs/>
          <w:b/>
        </w:rPr>
        <w:t xml:space="preserve">Comparaciones en Colombia:</w:t>
      </w:r>
      <w:r>
        <w:t xml:space="preserve"> </w:t>
      </w:r>
      <w:r>
        <w:t xml:space="preserve">OCUPACOL 24312 y 24311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2026-08-21</w:t>
      </w:r>
    </w:p>
    <w:bookmarkStart w:id="20" w:name="en-qué-consiste-esta-carrera"/>
    <w:p>
      <w:pPr>
        <w:pStyle w:val="Heading2"/>
      </w:pPr>
      <w:r>
        <w:t xml:space="preserve">En qué consiste esta carrera</w:t>
      </w:r>
    </w:p>
    <w:p>
      <w:pPr>
        <w:pStyle w:val="FirstParagraph"/>
      </w:pPr>
      <w:r>
        <w:t xml:space="preserve">Los coordinadores de marketing y asistentes de marketing digital ayudan a las organizaciones a planificar, preparar, publicar, medir y mejorar actividades de marketing. Según el empleador, el trabajo puede incluir calendarios de campaña, redes sociales, correo electrónico, contenido web, sistemas CRM, apoyo a comercio electrónico, publicidad digital, fundamentos de SEO, analítica, promoción de eventos, coordinación con proveedores y reportes.</w:t>
      </w:r>
    </w:p>
    <w:p>
      <w:pPr>
        <w:pStyle w:val="BodyText"/>
      </w:pPr>
      <w:r>
        <w:t xml:space="preserve">Los títulos varían ampliamente: asistente de marketing, asistente de marketing digital, coordinador/a de marketing, coordinador/a de campañas, coordinador/a de contenido, coordinador/a de redes sociales, asistente de marketing para comercio electrónico, coordinador/a CRM, asistente de comunicaciones, asistente de growth marketing o especialista de marketing. El título no define por sí solo la jerarquía ni la autoridad; hay que leer la descripción real del puesto.</w:t>
      </w:r>
    </w:p>
    <w:p>
      <w:pPr>
        <w:pStyle w:val="BodyText"/>
      </w:pPr>
      <w:r>
        <w:t xml:space="preserve">Esta guía usa</w:t>
      </w:r>
      <w:r>
        <w:t xml:space="preserve"> </w:t>
      </w:r>
      <w:r>
        <w:rPr>
          <w:bCs/>
          <w:b/>
        </w:rPr>
        <w:t xml:space="preserve">O*NET-SOC 13-1161.00 — Market Research Analysts and Marketing Specialists</w:t>
      </w:r>
      <w:r>
        <w:t xml:space="preserve"> </w:t>
      </w:r>
      <w:r>
        <w:t xml:space="preserve">como referencia amplia en Estados Unidos. Esa ocupación suele ser más analítica y profesional que algunos puestos junior. Por eso se separan claramente las responsabilidades de apoyo, coordinación, especialidad, análisis y gerencia.</w:t>
      </w:r>
    </w:p>
    <w:bookmarkEnd w:id="20"/>
    <w:bookmarkStart w:id="21" w:name="por-qué-puede-ser-una-oportunidad"/>
    <w:p>
      <w:pPr>
        <w:pStyle w:val="Heading2"/>
      </w:pPr>
      <w:r>
        <w:t xml:space="preserve">Por qué puede ser una oportunidad</w:t>
      </w:r>
    </w:p>
    <w:p>
      <w:pPr>
        <w:pStyle w:val="FirstParagraph"/>
      </w:pPr>
      <w:r>
        <w:t xml:space="preserve">El marketing combina escritura, organización, conocimiento del cliente, coordinación de diseño, interpretación de datos, tecnología, trabajo en equipo y comprensión del negocio. Pueden transferirse habilidades desde servicio al cliente, ventas, comercio minorista, hotelería, administración, ecommerce, organizaciones sin fines de lucro, redes sociales, comunicaciones, producción gráfica o apoyo a eventos.</w:t>
      </w:r>
    </w:p>
    <w:p>
      <w:pPr>
        <w:pStyle w:val="BodyText"/>
      </w:pPr>
      <w:r>
        <w:t xml:space="preserve">Puede ser apropiado para personas que disfrutan organizar campañas y fechas límite, redactar o editar mensajes claros, trabajar con hojas de cálculo y herramientas digitales, estudiar la respuesta de las audiencias, revisar detalles antes de publicar, coordinar con diseñadores y proveedores, medir resultados y equilibrar creatividad con evidencia y objetivos comerciales.</w:t>
      </w:r>
    </w:p>
    <w:p>
      <w:pPr>
        <w:pStyle w:val="BodyText"/>
      </w:pPr>
      <w:r>
        <w:t xml:space="preserve">El trabajo también puede tener presión por lanzamientos, promociones, cambios de plataforma, solicitudes ejecutivas, quejas o problemas técnicos. Un curso corto, proyecto supervisado, práctica, voluntariado o puesto junior puede dar una visión realista antes de pagar formación costosa.</w:t>
      </w:r>
    </w:p>
    <w:bookmarkEnd w:id="21"/>
    <w:bookmarkStart w:id="26" w:name="Xfd8ef475fec567f1578daf7154269d9417e381a"/>
    <w:p>
      <w:pPr>
        <w:pStyle w:val="Heading2"/>
      </w:pPr>
      <w:r>
        <w:t xml:space="preserve">Asistente, coordinador, especialista, analista y gerente no son el mismo nivel</w:t>
      </w:r>
    </w:p>
    <w:bookmarkStart w:id="22" w:name="X1e43f858f0ccc63637b10a1327065276556eefd"/>
    <w:p>
      <w:pPr>
        <w:pStyle w:val="Heading3"/>
      </w:pPr>
      <w:r>
        <w:t xml:space="preserve">Asistente de marketing o marketing digital</w:t>
      </w:r>
    </w:p>
    <w:p>
      <w:pPr>
        <w:pStyle w:val="FirstParagraph"/>
      </w:pPr>
      <w:r>
        <w:t xml:space="preserve">Puede actualizar calendarios, preparar borradores de publicaciones o correos, organizar activos aprobados, cargar datos de campaña, revisar enlaces y formato, mantener listas, programar contenido aprobado, recopilar métricas, preparar reportes iniciales, registrar acciones y escalar errores o dudas de aprobación.</w:t>
      </w:r>
    </w:p>
    <w:bookmarkEnd w:id="22"/>
    <w:bookmarkStart w:id="23" w:name="coordinadora-de-marketing"/>
    <w:p>
      <w:pPr>
        <w:pStyle w:val="Heading3"/>
      </w:pPr>
      <w:r>
        <w:t xml:space="preserve">Coordinador/a de marketing</w:t>
      </w:r>
    </w:p>
    <w:p>
      <w:pPr>
        <w:pStyle w:val="FirstParagraph"/>
      </w:pPr>
      <w:r>
        <w:t xml:space="preserve">Puede además coordinar cronogramas y responsables, administrar calendarios aprobados de contenido, trabajar con proveedores o agencias, coordinar email, social, web, eventos o ecommerce, hacer seguimiento de presupuesto autorizado, mantener flujos CRM o de automatización dentro de permisos asignados, coordinar revisiones, monitorear rendimiento y apoyar lanzamientos.</w:t>
      </w:r>
    </w:p>
    <w:bookmarkEnd w:id="23"/>
    <w:bookmarkStart w:id="24" w:name="especialista-o-analista"/>
    <w:p>
      <w:pPr>
        <w:pStyle w:val="Heading3"/>
      </w:pPr>
      <w:r>
        <w:t xml:space="preserve">Especialista o analista</w:t>
      </w:r>
    </w:p>
    <w:p>
      <w:pPr>
        <w:pStyle w:val="FirstParagraph"/>
      </w:pPr>
      <w:r>
        <w:t xml:space="preserve">Puede asumir mayor profundidad en análisis de audiencias o mercados, optimización de campañas, medios pagados, SEO/SEM, segmentación CRM, atribución, experimentación, automatización, investigación competitiva y pronóstico.</w:t>
      </w:r>
    </w:p>
    <w:bookmarkEnd w:id="24"/>
    <w:bookmarkStart w:id="25" w:name="gerente"/>
    <w:p>
      <w:pPr>
        <w:pStyle w:val="Heading3"/>
      </w:pPr>
      <w:r>
        <w:t xml:space="preserve">Gerente</w:t>
      </w:r>
    </w:p>
    <w:p>
      <w:pPr>
        <w:pStyle w:val="FirstParagraph"/>
      </w:pPr>
      <w:r>
        <w:t xml:space="preserve">Puede asumir estrategia, aprobación presupuestaria, personal, selección de agencias, contratos, gobierno de marca, coordinación de revisión de cumplimiento, aprobación de campañas, decisiones de precio/promoción, reportes ejecutivos y aceptación/escalamiento de riesgo.</w:t>
      </w:r>
    </w:p>
    <w:p>
      <w:pPr>
        <w:pStyle w:val="BodyText"/>
      </w:pPr>
      <w:r>
        <w:t xml:space="preserve">Estas fronteras son ejemplos. Las políticas del empleador, contratos, ley local, reglas de plataforma y autoridad delegada determinan lo permitido.</w:t>
      </w:r>
    </w:p>
    <w:bookmarkEnd w:id="25"/>
    <w:bookmarkEnd w:id="26"/>
    <w:bookmarkStart w:id="27" w:name="responsabilidades-típicas"/>
    <w:p>
      <w:pPr>
        <w:pStyle w:val="Heading2"/>
      </w:pPr>
      <w:r>
        <w:t xml:space="preserve">Responsabilidades típicas</w:t>
      </w:r>
    </w:p>
    <w:p>
      <w:pPr>
        <w:pStyle w:val="FirstParagraph"/>
      </w:pPr>
      <w:r>
        <w:t xml:space="preserve">Según el puesto, una persona coordinadora o asistente puede:</w:t>
      </w:r>
    </w:p>
    <w:p>
      <w:pPr>
        <w:numPr>
          <w:ilvl w:val="0"/>
          <w:numId w:val="1001"/>
        </w:numPr>
        <w:pStyle w:val="Compact"/>
      </w:pPr>
      <w:r>
        <w:t xml:space="preserve">mantener calendarios y hitos de campañas;</w:t>
      </w:r>
    </w:p>
    <w:p>
      <w:pPr>
        <w:numPr>
          <w:ilvl w:val="0"/>
          <w:numId w:val="1001"/>
        </w:numPr>
        <w:pStyle w:val="Compact"/>
      </w:pPr>
      <w:r>
        <w:t xml:space="preserve">recopilar requisitos de gerentes o clientes internos;</w:t>
      </w:r>
    </w:p>
    <w:p>
      <w:pPr>
        <w:numPr>
          <w:ilvl w:val="0"/>
          <w:numId w:val="1001"/>
        </w:numPr>
        <w:pStyle w:val="Compact"/>
      </w:pPr>
      <w:r>
        <w:t xml:space="preserve">redactar contenido rutinario para revisión;</w:t>
      </w:r>
    </w:p>
    <w:p>
      <w:pPr>
        <w:numPr>
          <w:ilvl w:val="0"/>
          <w:numId w:val="1001"/>
        </w:numPr>
        <w:pStyle w:val="Compact"/>
      </w:pPr>
      <w:r>
        <w:t xml:space="preserve">coordinar imágenes, video, texto, landing pages y correos aprobados;</w:t>
      </w:r>
    </w:p>
    <w:p>
      <w:pPr>
        <w:numPr>
          <w:ilvl w:val="0"/>
          <w:numId w:val="1001"/>
        </w:numPr>
        <w:pStyle w:val="Compact"/>
      </w:pPr>
      <w:r>
        <w:t xml:space="preserve">preparar calendarios de redes sociales;</w:t>
      </w:r>
    </w:p>
    <w:p>
      <w:pPr>
        <w:numPr>
          <w:ilvl w:val="0"/>
          <w:numId w:val="1001"/>
        </w:numPr>
        <w:pStyle w:val="Compact"/>
      </w:pPr>
      <w:r>
        <w:t xml:space="preserve">actualizar contenido web o ecommerce en sistemas aprobados;</w:t>
      </w:r>
    </w:p>
    <w:p>
      <w:pPr>
        <w:numPr>
          <w:ilvl w:val="0"/>
          <w:numId w:val="1001"/>
        </w:numPr>
        <w:pStyle w:val="Compact"/>
      </w:pPr>
      <w:r>
        <w:t xml:space="preserve">apoyar email marketing y flujos CRM;</w:t>
      </w:r>
    </w:p>
    <w:p>
      <w:pPr>
        <w:numPr>
          <w:ilvl w:val="0"/>
          <w:numId w:val="1001"/>
        </w:numPr>
        <w:pStyle w:val="Compact"/>
      </w:pPr>
      <w:r>
        <w:t xml:space="preserve">organizar listas de leads o segmentos bajo reglas aprobadas;</w:t>
      </w:r>
    </w:p>
    <w:p>
      <w:pPr>
        <w:numPr>
          <w:ilvl w:val="0"/>
          <w:numId w:val="1001"/>
        </w:numPr>
        <w:pStyle w:val="Compact"/>
      </w:pPr>
      <w:r>
        <w:t xml:space="preserve">coordinar webinars, eventos, lanzamientos o promociones;</w:t>
      </w:r>
    </w:p>
    <w:p>
      <w:pPr>
        <w:numPr>
          <w:ilvl w:val="0"/>
          <w:numId w:val="1001"/>
        </w:numPr>
        <w:pStyle w:val="Compact"/>
      </w:pPr>
      <w:r>
        <w:t xml:space="preserve">mantener convenciones UTM o de tracking cuando corresponda;</w:t>
      </w:r>
    </w:p>
    <w:p>
      <w:pPr>
        <w:numPr>
          <w:ilvl w:val="0"/>
          <w:numId w:val="1001"/>
        </w:numPr>
        <w:pStyle w:val="Compact"/>
      </w:pPr>
      <w:r>
        <w:t xml:space="preserve">apoyar SEO básico mediante metadatos, encabezados, enlaces internos y organización de contenido;</w:t>
      </w:r>
    </w:p>
    <w:p>
      <w:pPr>
        <w:numPr>
          <w:ilvl w:val="0"/>
          <w:numId w:val="1001"/>
        </w:numPr>
        <w:pStyle w:val="Compact"/>
      </w:pPr>
      <w:r>
        <w:t xml:space="preserve">recopilar analítica desde fuentes autorizadas;</w:t>
      </w:r>
    </w:p>
    <w:p>
      <w:pPr>
        <w:numPr>
          <w:ilvl w:val="0"/>
          <w:numId w:val="1001"/>
        </w:numPr>
        <w:pStyle w:val="Compact"/>
      </w:pPr>
      <w:r>
        <w:t xml:space="preserve">preparar reportes recurrentes;</w:t>
      </w:r>
    </w:p>
    <w:p>
      <w:pPr>
        <w:numPr>
          <w:ilvl w:val="0"/>
          <w:numId w:val="1001"/>
        </w:numPr>
        <w:pStyle w:val="Compact"/>
      </w:pPr>
      <w:r>
        <w:t xml:space="preserve">comparar resultados con objetivos;</w:t>
      </w:r>
    </w:p>
    <w:p>
      <w:pPr>
        <w:numPr>
          <w:ilvl w:val="0"/>
          <w:numId w:val="1001"/>
        </w:numPr>
        <w:pStyle w:val="Compact"/>
      </w:pPr>
      <w:r>
        <w:t xml:space="preserve">revisar enlaces, ortografía, fechas, precios, disclaimers y claims aprobados antes de publicar;</w:t>
      </w:r>
    </w:p>
    <w:p>
      <w:pPr>
        <w:numPr>
          <w:ilvl w:val="0"/>
          <w:numId w:val="1001"/>
        </w:numPr>
        <w:pStyle w:val="Compact"/>
      </w:pPr>
      <w:r>
        <w:t xml:space="preserve">coordinar facturas o solicitudes de compra dentro de autoridad delegada;</w:t>
      </w:r>
    </w:p>
    <w:p>
      <w:pPr>
        <w:numPr>
          <w:ilvl w:val="0"/>
          <w:numId w:val="1001"/>
        </w:numPr>
        <w:pStyle w:val="Compact"/>
      </w:pPr>
      <w:r>
        <w:t xml:space="preserve">organizar activos digitales e historial de versiones;</w:t>
      </w:r>
    </w:p>
    <w:p>
      <w:pPr>
        <w:numPr>
          <w:ilvl w:val="0"/>
          <w:numId w:val="1001"/>
        </w:numPr>
        <w:pStyle w:val="Compact"/>
      </w:pPr>
      <w:r>
        <w:t xml:space="preserve">documentar aprobaciones y cambios;</w:t>
      </w:r>
    </w:p>
    <w:p>
      <w:pPr>
        <w:numPr>
          <w:ilvl w:val="0"/>
          <w:numId w:val="1001"/>
        </w:numPr>
        <w:pStyle w:val="Compact"/>
      </w:pPr>
      <w:r>
        <w:t xml:space="preserve">apoyar revisiones de accesibilidad;</w:t>
      </w:r>
    </w:p>
    <w:p>
      <w:pPr>
        <w:numPr>
          <w:ilvl w:val="0"/>
          <w:numId w:val="1001"/>
        </w:numPr>
        <w:pStyle w:val="Compact"/>
      </w:pPr>
      <w:r>
        <w:t xml:space="preserve">seguir procesos de privacidad, consentimiento, supresión y preferencias;</w:t>
      </w:r>
    </w:p>
    <w:p>
      <w:pPr>
        <w:numPr>
          <w:ilvl w:val="0"/>
          <w:numId w:val="1001"/>
        </w:numPr>
        <w:pStyle w:val="Compact"/>
      </w:pPr>
      <w:r>
        <w:t xml:space="preserve">reportar phishing, compromiso de cuenta, fraude o exposición de datos;</w:t>
      </w:r>
    </w:p>
    <w:p>
      <w:pPr>
        <w:numPr>
          <w:ilvl w:val="0"/>
          <w:numId w:val="1001"/>
        </w:numPr>
        <w:pStyle w:val="Compact"/>
      </w:pPr>
      <w:r>
        <w:t xml:space="preserve">archivar registros conforme a política.</w:t>
      </w:r>
    </w:p>
    <w:bookmarkEnd w:id="27"/>
    <w:bookmarkStart w:id="28" w:name="límites-profesionales"/>
    <w:p>
      <w:pPr>
        <w:pStyle w:val="Heading2"/>
      </w:pPr>
      <w:r>
        <w:t xml:space="preserve">Límites profesionales</w:t>
      </w:r>
    </w:p>
    <w:p>
      <w:pPr>
        <w:pStyle w:val="FirstParagraph"/>
      </w:pPr>
      <w:r>
        <w:t xml:space="preserve">Un título de marketing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autoriza automáticamente a:</w:t>
      </w:r>
    </w:p>
    <w:p>
      <w:pPr>
        <w:numPr>
          <w:ilvl w:val="0"/>
          <w:numId w:val="1002"/>
        </w:numPr>
        <w:pStyle w:val="Compact"/>
      </w:pPr>
      <w:r>
        <w:t xml:space="preserve">hacer afirmaciones no sustentadas de salud, finanzas, asuntos legales, seguridad, medio ambiente o rendimiento de producto;</w:t>
      </w:r>
    </w:p>
    <w:p>
      <w:pPr>
        <w:numPr>
          <w:ilvl w:val="0"/>
          <w:numId w:val="1002"/>
        </w:numPr>
        <w:pStyle w:val="Compact"/>
      </w:pPr>
      <w:r>
        <w:t xml:space="preserve">prometer precios, descuentos, reembolsos, garantías, disponibilidad o condiciones no aprobadas;</w:t>
      </w:r>
    </w:p>
    <w:p>
      <w:pPr>
        <w:numPr>
          <w:ilvl w:val="0"/>
          <w:numId w:val="1002"/>
        </w:numPr>
        <w:pStyle w:val="Compact"/>
      </w:pPr>
      <w:r>
        <w:t xml:space="preserve">comprar publicidad o comprometer fondos sin autoridad;</w:t>
      </w:r>
    </w:p>
    <w:p>
      <w:pPr>
        <w:numPr>
          <w:ilvl w:val="0"/>
          <w:numId w:val="1002"/>
        </w:numPr>
        <w:pStyle w:val="Compact"/>
      </w:pPr>
      <w:r>
        <w:t xml:space="preserve">cambiar instrucciones de pago o bancarias de proveedores sin verificación independiente y aprobación;</w:t>
      </w:r>
    </w:p>
    <w:p>
      <w:pPr>
        <w:numPr>
          <w:ilvl w:val="0"/>
          <w:numId w:val="1002"/>
        </w:numPr>
        <w:pStyle w:val="Compact"/>
      </w:pPr>
      <w:r>
        <w:t xml:space="preserve">subir listas de clientes, credenciales, pagos, contratos o datos confidenciales a herramientas de IA o nube no aprobadas;</w:t>
      </w:r>
    </w:p>
    <w:p>
      <w:pPr>
        <w:numPr>
          <w:ilvl w:val="0"/>
          <w:numId w:val="1002"/>
        </w:numPr>
        <w:pStyle w:val="Compact"/>
      </w:pPr>
      <w:r>
        <w:t xml:space="preserve">omitir consentimiento, bajas, listas de supresión o preferencias;</w:t>
      </w:r>
    </w:p>
    <w:p>
      <w:pPr>
        <w:numPr>
          <w:ilvl w:val="0"/>
          <w:numId w:val="1002"/>
        </w:numPr>
        <w:pStyle w:val="Compact"/>
      </w:pPr>
      <w:r>
        <w:t xml:space="preserve">recolectar, comprar, combinar o reutilizar datos personales de formas no aprobadas;</w:t>
      </w:r>
    </w:p>
    <w:p>
      <w:pPr>
        <w:numPr>
          <w:ilvl w:val="0"/>
          <w:numId w:val="1002"/>
        </w:numPr>
        <w:pStyle w:val="Compact"/>
      </w:pPr>
      <w:r>
        <w:t xml:space="preserve">tergiversar reseñas, testimonios, endorsements, estadísticas o investigación;</w:t>
      </w:r>
    </w:p>
    <w:p>
      <w:pPr>
        <w:numPr>
          <w:ilvl w:val="0"/>
          <w:numId w:val="1002"/>
        </w:numPr>
        <w:pStyle w:val="Compact"/>
      </w:pPr>
      <w:r>
        <w:t xml:space="preserve">suplantar clientes, empleados, competidores, influencers o funcionarios;</w:t>
      </w:r>
    </w:p>
    <w:p>
      <w:pPr>
        <w:numPr>
          <w:ilvl w:val="0"/>
          <w:numId w:val="1002"/>
        </w:numPr>
        <w:pStyle w:val="Compact"/>
      </w:pPr>
      <w:r>
        <w:t xml:space="preserve">publicar planes confidenciales o información no anunciada;</w:t>
      </w:r>
    </w:p>
    <w:p>
      <w:pPr>
        <w:numPr>
          <w:ilvl w:val="0"/>
          <w:numId w:val="1002"/>
        </w:numPr>
        <w:pStyle w:val="Compact"/>
      </w:pPr>
      <w:r>
        <w:t xml:space="preserve">afirmar cumplimiento legal o certificación de accesibilidad sin revisión competente;</w:t>
      </w:r>
    </w:p>
    <w:p>
      <w:pPr>
        <w:numPr>
          <w:ilvl w:val="0"/>
          <w:numId w:val="1002"/>
        </w:numPr>
        <w:pStyle w:val="Compact"/>
      </w:pPr>
      <w:r>
        <w:t xml:space="preserve">tratar la IA como autoridad final para claims regulados, precios, estadísticas, traducciones, accesibilidad, privacidad, segmentación o obligaciones legales.</w:t>
      </w:r>
    </w:p>
    <w:p>
      <w:pPr>
        <w:pStyle w:val="FirstParagraph"/>
      </w:pPr>
      <w:r>
        <w:t xml:space="preserve">Cuando la autoridad no esté clara, detener la publicación o transacción y escalar al responsable apropiado de gerencia, legal/compliance, privacidad, ciberseguridad, finanzas, accesibilidad, marca o administración de plataforma.</w:t>
      </w:r>
    </w:p>
    <w:bookmarkEnd w:id="28"/>
    <w:bookmarkStart w:id="34" w:name="habilidades-centrales"/>
    <w:p>
      <w:pPr>
        <w:pStyle w:val="Heading2"/>
      </w:pPr>
      <w:r>
        <w:t xml:space="preserve">Habilidades centrales</w:t>
      </w:r>
    </w:p>
    <w:bookmarkStart w:id="29" w:name="organización-y-coordinación-de-proyectos"/>
    <w:p>
      <w:pPr>
        <w:pStyle w:val="Heading3"/>
      </w:pPr>
      <w:r>
        <w:t xml:space="preserve">Organización y coordinación de proyectos</w:t>
      </w:r>
    </w:p>
    <w:p>
      <w:pPr>
        <w:pStyle w:val="FirstParagraph"/>
      </w:pPr>
      <w:r>
        <w:t xml:space="preserve">Calendarios, fechas límite, dependencias, listas de control, control de versiones, seguimiento de aprobaciones, notas de reuniones, acciones, seguimiento de proveedores y registro preciso.</w:t>
      </w:r>
    </w:p>
    <w:bookmarkEnd w:id="29"/>
    <w:bookmarkStart w:id="30" w:name="escritura-y-comunicación"/>
    <w:p>
      <w:pPr>
        <w:pStyle w:val="Heading3"/>
      </w:pPr>
      <w:r>
        <w:t xml:space="preserve">Escritura y comunicación</w:t>
      </w:r>
    </w:p>
    <w:p>
      <w:pPr>
        <w:pStyle w:val="FirstParagraph"/>
      </w:pPr>
      <w:r>
        <w:t xml:space="preserve">Correo y copy social claros, corrección, tono adecuado, llamadas a la acción, titulares/asuntos, comunicación intercultural y adaptación de texto sin alterar hechos ni claims aprobados.</w:t>
      </w:r>
    </w:p>
    <w:bookmarkEnd w:id="30"/>
    <w:bookmarkStart w:id="31" w:name="datos-y-reportes"/>
    <w:p>
      <w:pPr>
        <w:pStyle w:val="Heading3"/>
      </w:pPr>
      <w:r>
        <w:t xml:space="preserve">Datos y reportes</w:t>
      </w:r>
    </w:p>
    <w:p>
      <w:pPr>
        <w:pStyle w:val="FirstParagraph"/>
      </w:pPr>
      <w:r>
        <w:t xml:space="preserve">Hojas de cálculo, porcentajes y tasas, ordenar/filtrar, tablas dinámicas, interpretación de gráficos, conversión, CTR, engagement, comparaciones y registro de fechas/definiciones de fuentes.</w:t>
      </w:r>
    </w:p>
    <w:bookmarkEnd w:id="31"/>
    <w:bookmarkStart w:id="32" w:name="contenido-digital"/>
    <w:p>
      <w:pPr>
        <w:pStyle w:val="Heading3"/>
      </w:pPr>
      <w:r>
        <w:t xml:space="preserve">Contenido digital</w:t>
      </w:r>
    </w:p>
    <w:p>
      <w:pPr>
        <w:pStyle w:val="FirstParagraph"/>
      </w:pPr>
      <w:r>
        <w:t xml:space="preserve">CMS, coordinación de imágenes y activos, landing pages, plantillas de email, herramientas sociales, apoyo de ecommerce, encabezados y enlaces descriptivos, y accesibilidad básica.</w:t>
      </w:r>
    </w:p>
    <w:bookmarkEnd w:id="32"/>
    <w:bookmarkStart w:id="33" w:name="operaciones-de-marketing"/>
    <w:p>
      <w:pPr>
        <w:pStyle w:val="Heading3"/>
      </w:pPr>
      <w:r>
        <w:t xml:space="preserve">Operaciones de marketing</w:t>
      </w:r>
    </w:p>
    <w:p>
      <w:pPr>
        <w:pStyle w:val="FirstParagraph"/>
      </w:pPr>
      <w:r>
        <w:t xml:space="preserve">Conceptos CRM, segmentación, automatización, supresión/preferencias, lead routing, tagging de campañas, parámetros UTM, pruebas de flujo y QA previo al lanzamiento.</w:t>
      </w:r>
    </w:p>
    <w:bookmarkEnd w:id="33"/>
    <w:bookmarkEnd w:id="34"/>
    <w:bookmarkStart w:id="35" w:name="tecnología"/>
    <w:p>
      <w:pPr>
        <w:pStyle w:val="Heading2"/>
      </w:pPr>
      <w:r>
        <w:t xml:space="preserve">Tecnología</w:t>
      </w:r>
    </w:p>
    <w:p>
      <w:pPr>
        <w:pStyle w:val="FirstParagraph"/>
      </w:pPr>
      <w:r>
        <w:t xml:space="preserve">Las herramientas dependen del empleador. Pueden incluir Microsoft 365 o Google Workspace, hojas de cálculo, presentaciones, CRM, automatización, email marketing, redes sociales, CMS, ecommerce, analítica, dashboards, gestión de proyectos, DAM, encuestas, investigación SEO/keywords, medios pagados y asistentes generativos aprobados.</w:t>
      </w:r>
    </w:p>
    <w:p>
      <w:pPr>
        <w:pStyle w:val="BodyText"/>
      </w:pPr>
      <w:r>
        <w:t xml:space="preserve">Una marca específica en una vacante es una preferencia del empleador, no una credencial universal. Conviene aprender conceptos transferibles: audiencias, permisos, campañas, flujos, tracking, reportes, pruebas, aprobación y protección de datos.</w:t>
      </w:r>
    </w:p>
    <w:bookmarkEnd w:id="35"/>
    <w:bookmarkStart w:id="41" w:name="flujo-práctico-de-campaña"/>
    <w:p>
      <w:pPr>
        <w:pStyle w:val="Heading2"/>
      </w:pPr>
      <w:r>
        <w:t xml:space="preserve">Flujo práctico de campaña</w:t>
      </w:r>
    </w:p>
    <w:bookmarkStart w:id="36" w:name="X11edf6b03d376fcfa70f948c5a81e8131e83636"/>
    <w:p>
      <w:pPr>
        <w:pStyle w:val="Heading3"/>
      </w:pPr>
      <w:r>
        <w:t xml:space="preserve">1. Definir</w:t>
      </w:r>
    </w:p>
    <w:p>
      <w:pPr>
        <w:pStyle w:val="FirstParagraph"/>
      </w:pPr>
      <w:r>
        <w:t xml:space="preserve">Aclarar objetivo, audiencia, oferta/mensaje aprobado, canales, autoridad presupuestaria, responsable, aprobaciones, métricas, requisitos de privacidad/accesibilidad, fecha de lanzamiento y dependencias.</w:t>
      </w:r>
    </w:p>
    <w:bookmarkEnd w:id="36"/>
    <w:bookmarkStart w:id="37" w:name="Xe6ccff64b57ee16eae495383f7fc23e92dca6bd"/>
    <w:p>
      <w:pPr>
        <w:pStyle w:val="Heading3"/>
      </w:pPr>
      <w:r>
        <w:t xml:space="preserve">2. Preparar</w:t>
      </w:r>
    </w:p>
    <w:p>
      <w:pPr>
        <w:pStyle w:val="FirstParagraph"/>
      </w:pPr>
      <w:r>
        <w:t xml:space="preserve">Coordinar copy, creativos, landing pages, calendarios de email/social, enlaces de tracking, reglas de audiencia/segmento, casos de prueba, checklist de revisión y contactos de escalamiento.</w:t>
      </w:r>
    </w:p>
    <w:bookmarkEnd w:id="37"/>
    <w:bookmarkStart w:id="38" w:name="X639e647a3ddcbe2edc22926713a14dcecf6c3fc"/>
    <w:p>
      <w:pPr>
        <w:pStyle w:val="Heading3"/>
      </w:pPr>
      <w:r>
        <w:t xml:space="preserve">3. Verificar</w:t>
      </w:r>
    </w:p>
    <w:p>
      <w:pPr>
        <w:pStyle w:val="FirstParagraph"/>
      </w:pPr>
      <w:r>
        <w:t xml:space="preserve">Antes del lanzamiento confirmar nombres, fechas, enlaces, precios, claims, reglas de audiencia/supresión, permisos, formato móvil/escritorio, texto alternativo u otros requisitos de accesibilidad, etiquetas de tracking, estado de aprobación, límites de gasto y disclaimers organizacionales.</w:t>
      </w:r>
    </w:p>
    <w:bookmarkEnd w:id="38"/>
    <w:bookmarkStart w:id="39" w:name="X31d9bd0bff53f6bd0bc75028b366b990b9b6ff4"/>
    <w:p>
      <w:pPr>
        <w:pStyle w:val="Heading3"/>
      </w:pPr>
      <w:r>
        <w:t xml:space="preserve">4. Publicar o lanzar</w:t>
      </w:r>
    </w:p>
    <w:p>
      <w:pPr>
        <w:pStyle w:val="FirstParagraph"/>
      </w:pPr>
      <w:r>
        <w:t xml:space="preserve">Usar solo sistemas aprobados y permisos delegados. Registrar cambios importantes. Si una cuenta, audiencia, plataforma o configuración de gasto parece incorrecta, detener y escalar en lugar de improvisar.</w:t>
      </w:r>
    </w:p>
    <w:bookmarkEnd w:id="39"/>
    <w:bookmarkStart w:id="40" w:name="Xe0a3042636035dcaac5d9a06cbd3392006b904a"/>
    <w:p>
      <w:pPr>
        <w:pStyle w:val="Heading3"/>
      </w:pPr>
      <w:r>
        <w:t xml:space="preserve">5. Monitorear y cerrar</w:t>
      </w:r>
    </w:p>
    <w:p>
      <w:pPr>
        <w:pStyle w:val="FirstParagraph"/>
      </w:pPr>
      <w:r>
        <w:t xml:space="preserve">Monitorear errores y quejas, capturar métricas de sistemas autorizados, comparar contra objetivos, documentar aprendizajes, conciliar tareas/facturas, archivar registros y retirar accesos innecesarios cuando sea responsabilidad del puesto.</w:t>
      </w:r>
    </w:p>
    <w:bookmarkEnd w:id="40"/>
    <w:bookmarkEnd w:id="41"/>
    <w:bookmarkStart w:id="42" w:name="X76026b3b44b770f8025a6bd03b9a2d1f0f7573c"/>
    <w:p>
      <w:pPr>
        <w:pStyle w:val="Heading2"/>
      </w:pPr>
      <w:r>
        <w:t xml:space="preserve">Privacidad, consentimiento y datos de clientes</w:t>
      </w:r>
    </w:p>
    <w:p>
      <w:pPr>
        <w:pStyle w:val="FirstParagraph"/>
      </w:pPr>
      <w:r>
        <w:t xml:space="preserve">Marketing puede involucrar nombres, emails, teléfonos, historial de compras, comportamiento de navegación, preferencias, ubicación, identificadores, segmentos y respuestas a campañas. Las reglas cambian por jurisdicción, empleador, plataforma y uso.</w:t>
      </w:r>
    </w:p>
    <w:p>
      <w:pPr>
        <w:pStyle w:val="BodyText"/>
      </w:pPr>
      <w:r>
        <w:t xml:space="preserve">Buenas prácticas: recopilar solo datos necesarios, usar sistemas aprobados, respetar consentimiento/bajas/supresión/preferencias, no exportar listas a dispositivos o email personales, limitar acceso, verificar destinatarios, proteger credenciales/API keys, seguir retención/eliminación y escalar usos nuevos de datos si la autorización no está clara. Que algo sea visible en internet no significa que pueda recolectarse o reutilizarse libremente.</w:t>
      </w:r>
    </w:p>
    <w:p>
      <w:pPr>
        <w:pStyle w:val="BodyText"/>
      </w:pPr>
      <w:r>
        <w:t xml:space="preserve">Esta guía ofrece conciencia operativa, no asesoría legal específica por jurisdicción.</w:t>
      </w:r>
    </w:p>
    <w:bookmarkEnd w:id="42"/>
    <w:bookmarkStart w:id="43" w:name="ciberseguridad-y-prevención-de-fraude"/>
    <w:p>
      <w:pPr>
        <w:pStyle w:val="Heading2"/>
      </w:pPr>
      <w:r>
        <w:t xml:space="preserve">Ciberseguridad y prevención de fraude</w:t>
      </w:r>
    </w:p>
    <w:p>
      <w:pPr>
        <w:pStyle w:val="FirstParagraph"/>
      </w:pPr>
      <w:r>
        <w:t xml:space="preserve">Los equipos de marketing pueden controlar sitios públicos, redes sociales, presupuestos publicitarios, listas, dominios y proveedores. Buenas prácticas incluyen MFA, contraseñas únicas y gestor aprobado, verificación independiente de cambios de propietarios/admins/dominios/pagos, confirmación de facturas o gasto inusual por canal independiente, reporte rápido de phishing, no compartir contraseñas, mínimo privilegio, eliminación de acceso cuando corresponda, protección de recovery codes y cuentas admin, y actualizaciones según política.</w:t>
      </w:r>
    </w:p>
    <w:bookmarkEnd w:id="43"/>
    <w:bookmarkStart w:id="44" w:name="X3978aacde0e4cef142e2113cf7bc6a3198dde53"/>
    <w:p>
      <w:pPr>
        <w:pStyle w:val="Heading2"/>
      </w:pPr>
      <w:r>
        <w:t xml:space="preserve">Accesibilidad y marketing digital inclusivo</w:t>
      </w:r>
    </w:p>
    <w:p>
      <w:pPr>
        <w:pStyle w:val="FirstParagraph"/>
      </w:pPr>
      <w:r>
        <w:t xml:space="preserve">Puede incluir texto alternativo significativo, captions/transcripts cuando corresponda, enlaces descriptivos, encabezados claros, tamaño legible, contraste suficiente, evitar depender solo del color, formularios y errores accesibles, navegación por teclado cuando aplique, lenguaje claro y estructura escaneable.</w:t>
      </w:r>
    </w:p>
    <w:p>
      <w:pPr>
        <w:pStyle w:val="BodyText"/>
      </w:pPr>
      <w:r>
        <w:t xml:space="preserve">Las obligaciones varían por jurisdicción y contexto. Un coordinador puede apoyar el proceso, pero no debe afirmar conformidad legal ni certificación de accesibilidad sin evidencia independiente.</w:t>
      </w:r>
    </w:p>
    <w:bookmarkEnd w:id="44"/>
    <w:bookmarkStart w:id="45" w:name="uso-responsable-de-ia-en-marketing"/>
    <w:p>
      <w:pPr>
        <w:pStyle w:val="Heading2"/>
      </w:pPr>
      <w:r>
        <w:t xml:space="preserve">Uso responsable de IA en marketing</w:t>
      </w:r>
    </w:p>
    <w:p>
      <w:pPr>
        <w:pStyle w:val="FirstParagraph"/>
      </w:pPr>
      <w:r>
        <w:t xml:space="preserve">La IA puede ayudar con brainstorming, primeros borradores, proofreading no sensible, resumen de información pública, organización de keywords, datos ficticios, checklists y alternativas de redacción cuando el empleador lo permita.</w:t>
      </w:r>
    </w:p>
    <w:p>
      <w:pPr>
        <w:pStyle w:val="BodyText"/>
      </w:pPr>
      <w:r>
        <w:t xml:space="preserve">La revisión humana sigue siendo necesaria. No se debe confiar solo en IA para claims finales, precios/disponibilidad, obligaciones legales, claims regulados, estadísticas no verificadas, traducciones públicas con consecuencias, decisiones de targeting con datos sensibles, certificación de accesibilidad, decisiones sobre datos de clientes ni aprobaciones finales de marca.</w:t>
      </w:r>
    </w:p>
    <w:p>
      <w:pPr>
        <w:pStyle w:val="BodyText"/>
      </w:pPr>
      <w:r>
        <w:t xml:space="preserve">No ingresar datos privados de clientes, contraseñas, información de pago, API keys, campañas no publicadas, contratos confidenciales ni información personal protegida en una herramienta de IA no aprobada.</w:t>
      </w:r>
    </w:p>
    <w:bookmarkEnd w:id="45"/>
    <w:bookmarkStart w:id="46" w:name="educación-y-entrada--estados-unidos"/>
    <w:p>
      <w:pPr>
        <w:pStyle w:val="Heading2"/>
      </w:pPr>
      <w:r>
        <w:t xml:space="preserve">Educación y entrada — Estados Unidos</w:t>
      </w:r>
    </w:p>
    <w:p>
      <w:pPr>
        <w:pStyle w:val="FirstParagraph"/>
      </w:pPr>
      <w:r>
        <w:t xml:space="preserve">BLS indica que la ocupación profesional de referencia suele requerir</w:t>
      </w:r>
      <w:r>
        <w:t xml:space="preserve"> </w:t>
      </w:r>
      <w:r>
        <w:rPr>
          <w:bCs/>
          <w:b/>
        </w:rPr>
        <w:t xml:space="preserve">licenciatura/bachelor’s degree</w:t>
      </w:r>
      <w:r>
        <w:t xml:space="preserve">. Sin embargo, los puestos junior de asistente y coordinador varían. Algunos empleadores pueden aceptar certificados, associate degree, prácticas, experiencia en servicio o ventas, administración, ecommerce, portfolio o habilidades demostradas de redacción, hojas de cálculo, social, contenido o analítica.</w:t>
      </w:r>
    </w:p>
    <w:p>
      <w:pPr>
        <w:pStyle w:val="BodyText"/>
      </w:pPr>
      <w:r>
        <w:t xml:space="preserve">Una secuencia de bajo costo puede ser: fortalecer hojas de cálculo, redacción, presentaciones y calendarios; aprender fundamentos y customer journey; crear campañas ficticias sin datos reales; aprender analítica; practicar email/social/web/ecommerce; crear un portfolio pequeño; buscar prácticas, proyectos supervisados o empleo junior; y aplicar mientras se desarrollan habilidades de especialista.</w:t>
      </w:r>
    </w:p>
    <w:bookmarkEnd w:id="46"/>
    <w:bookmarkStart w:id="48" w:name="Xf15c763f9423bcb4f53c1f0a35027a325db696a"/>
    <w:p>
      <w:pPr>
        <w:pStyle w:val="Heading2"/>
      </w:pPr>
      <w:r>
        <w:t xml:space="preserve">Financiamiento, formación económica y aprendizaje basado en trabajo — Estados Unidos</w:t>
      </w:r>
    </w:p>
    <w:p>
      <w:pPr>
        <w:pStyle w:val="FirstParagraph"/>
      </w:pPr>
      <w:r>
        <w:t xml:space="preserve">CareerOneStop ofrece directorios estatales de programas elegibles para WIOA:</w:t>
      </w:r>
    </w:p>
    <w:p>
      <w:pPr>
        <w:pStyle w:val="BodyText"/>
      </w:pPr>
      <w:hyperlink r:id="rId47">
        <w:hyperlink r:id="rId47">
          <w:r>
            <w:rPr>
              <w:rStyle w:val="Hyperlink"/>
            </w:rPr>
            <w:t xml:space="preserve">Source link</w:t>
          </w:r>
        </w:hyperlink>
      </w:hyperlink>
    </w:p>
    <w:p>
      <w:pPr>
        <w:pStyle w:val="BodyText"/>
      </w:pPr>
      <w:r>
        <w:t xml:space="preserve">La financiación no es automática. Elegibilidad, proveedores, servicios y prioridades locales varían. Un American Job Center puede explicar opciones actuales.</w:t>
      </w:r>
    </w:p>
    <w:p>
      <w:pPr>
        <w:pStyle w:val="BodyText"/>
      </w:pPr>
      <w:r>
        <w:t xml:space="preserve">Términos útiles: marketing, digital marketing, communications, ecommerce, analytics, web content, CRM, office/digital productivity.</w:t>
      </w:r>
    </w:p>
    <w:p>
      <w:pPr>
        <w:pStyle w:val="BodyText"/>
      </w:pPr>
      <w:r>
        <w:t xml:space="preserve">No se debe asumir que exista un Registered Apprenticeship específico. El aprendizaje práctico puede venir de internships, agencias, marketing universitario, puestos pagados de asistente, entrenamiento del empleador, campañas de nonprofit o proyectos supervisados.</w:t>
      </w:r>
    </w:p>
    <w:bookmarkEnd w:id="48"/>
    <w:bookmarkStart w:id="51" w:name="rutas-en-canadá"/>
    <w:p>
      <w:pPr>
        <w:pStyle w:val="Heading2"/>
      </w:pPr>
      <w:r>
        <w:t xml:space="preserve">Rutas en Canadá</w:t>
      </w:r>
    </w:p>
    <w:p>
      <w:pPr>
        <w:pStyle w:val="FirstParagraph"/>
      </w:pPr>
      <w:r>
        <w:t xml:space="preserve">Job Bank asigna marketing coordinator a</w:t>
      </w:r>
      <w:r>
        <w:t xml:space="preserve"> </w:t>
      </w:r>
      <w:r>
        <w:rPr>
          <w:bCs/>
          <w:b/>
        </w:rPr>
        <w:t xml:space="preserve">NOC 11202 — Professional occupations in advertising, marketing and public relations</w:t>
      </w:r>
      <w:r>
        <w:t xml:space="preserve">. Es una categoría más amplia y a menudo más profesional que un puesto junior.</w:t>
      </w:r>
    </w:p>
    <w:p>
      <w:pPr>
        <w:pStyle w:val="BodyText"/>
      </w:pPr>
      <w:r>
        <w:t xml:space="preserve">Capacitación y apoyo:</w:t>
      </w:r>
    </w:p>
    <w:p>
      <w:pPr>
        <w:pStyle w:val="BodyText"/>
      </w:pPr>
      <w:hyperlink r:id="rId49">
        <w:hyperlink r:id="rId49">
          <w:r>
            <w:rPr>
              <w:rStyle w:val="Hyperlink"/>
            </w:rPr>
            <w:t xml:space="preserve">Source link</w:t>
          </w:r>
        </w:hyperlink>
      </w:hyperlink>
    </w:p>
    <w:p>
      <w:pPr>
        <w:pStyle w:val="BodyText"/>
      </w:pPr>
      <w:r>
        <w:t xml:space="preserve">Skills for Success:</w:t>
      </w:r>
    </w:p>
    <w:p>
      <w:pPr>
        <w:pStyle w:val="BodyText"/>
      </w:pPr>
      <w:hyperlink r:id="rId50">
        <w:hyperlink r:id="rId50">
          <w:r>
            <w:rPr>
              <w:rStyle w:val="Hyperlink"/>
            </w:rPr>
            <w:t xml:space="preserve">Source link</w:t>
          </w:r>
        </w:hyperlink>
      </w:hyperlink>
    </w:p>
    <w:p>
      <w:pPr>
        <w:pStyle w:val="BodyText"/>
      </w:pPr>
      <w:r>
        <w:t xml:space="preserve">Elegibilidad, costo, admisión y disponibilidad varían. Verificar siempre la fuente provincial, territorial, educativa o del empleador.</w:t>
      </w:r>
    </w:p>
    <w:bookmarkEnd w:id="51"/>
    <w:bookmarkStart w:id="54" w:name="rutas-en-colombia"/>
    <w:p>
      <w:pPr>
        <w:pStyle w:val="Heading2"/>
      </w:pPr>
      <w:r>
        <w:t xml:space="preserve">Rutas en Colombia</w:t>
      </w:r>
    </w:p>
    <w:p>
      <w:pPr>
        <w:pStyle w:val="FirstParagraph"/>
      </w:pPr>
      <w:r>
        <w:t xml:space="preserve">OCUPACOL ofrece comparaciones útiles para contenido digital/redes sociales y profesiones de publicidad/comercialización. Títulos relevantes pueden incluir community manager, gestor de mercadeo digital y redes sociales, content manager, social media manager y otros puestos afines.</w:t>
      </w:r>
    </w:p>
    <w:p>
      <w:pPr>
        <w:pStyle w:val="BodyText"/>
      </w:pPr>
      <w:r>
        <w:t xml:space="preserve">SENA Betowa ofrece</w:t>
      </w:r>
      <w:r>
        <w:t xml:space="preserve"> </w:t>
      </w:r>
      <w:r>
        <w:rPr>
          <w:bCs/>
          <w:b/>
        </w:rPr>
        <w:t xml:space="preserve">Marketing Digital</w:t>
      </w:r>
      <w:r>
        <w:t xml:space="preserve"> </w:t>
      </w:r>
      <w:r>
        <w:t xml:space="preserve">como formación complementaria de</w:t>
      </w:r>
      <w:r>
        <w:t xml:space="preserve"> </w:t>
      </w:r>
      <w:r>
        <w:rPr>
          <w:bCs/>
          <w:b/>
        </w:rPr>
        <w:t xml:space="preserve">48 horas</w:t>
      </w:r>
      <w:r>
        <w:t xml:space="preserve">, virtual y presencial, sujeta a disponibilidad y selección:</w:t>
      </w:r>
    </w:p>
    <w:p>
      <w:pPr>
        <w:pStyle w:val="BodyText"/>
      </w:pPr>
      <w:hyperlink r:id="rId52">
        <w:hyperlink r:id="rId52">
          <w:r>
            <w:rPr>
              <w:rStyle w:val="Hyperlink"/>
            </w:rPr>
            <w:t xml:space="preserve">Source link</w:t>
          </w:r>
        </w:hyperlink>
      </w:hyperlink>
    </w:p>
    <w:p>
      <w:pPr>
        <w:pStyle w:val="BodyText"/>
      </w:pPr>
      <w:hyperlink r:id="rId53">
        <w:hyperlink r:id="rId53">
          <w:r>
            <w:rPr>
              <w:rStyle w:val="Hyperlink"/>
            </w:rPr>
            <w:t xml:space="preserve">Source link</w:t>
          </w:r>
        </w:hyperlink>
      </w:hyperlink>
    </w:p>
    <w:p>
      <w:pPr>
        <w:pStyle w:val="BodyText"/>
      </w:pPr>
      <w:r>
        <w:t xml:space="preserve">Cohortes, cupos, fechas, ciudades y modalidad cambian. Verificar la oferta Betowa en vivo.</w:t>
      </w:r>
    </w:p>
    <w:bookmarkEnd w:id="54"/>
    <w:bookmarkStart w:id="57" w:name="rutas-en-américa-latina-y-el-caribe"/>
    <w:p>
      <w:pPr>
        <w:pStyle w:val="Heading2"/>
      </w:pPr>
      <w:r>
        <w:t xml:space="preserve">Rutas en América Latina y el Caribe</w:t>
      </w:r>
    </w:p>
    <w:p>
      <w:pPr>
        <w:pStyle w:val="FirstParagraph"/>
      </w:pPr>
      <w:r>
        <w:t xml:space="preserve">OIT/Cinterfor puede ayudar a identificar instituciones nacionales de formación profesional: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https://www.oitcinterfor.org/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https://www.oitcinterfor.org/statsfp/paises</w:t>
        </w:r>
      </w:hyperlink>
    </w:p>
    <w:p>
      <w:pPr>
        <w:pStyle w:val="BodyText"/>
      </w:pPr>
      <w:r>
        <w:t xml:space="preserve">Es un localizador, no una garantía de curso, beca, apprenticeship o plaza financiada.</w:t>
      </w:r>
    </w:p>
    <w:bookmarkEnd w:id="57"/>
    <w:bookmarkStart w:id="62" w:name="X6ade762764acd28b6a512a1c8e1015e7f08053d"/>
    <w:p>
      <w:pPr>
        <w:pStyle w:val="Heading2"/>
      </w:pPr>
      <w:r>
        <w:t xml:space="preserve">Investigación de ingresos — separar estadísticas oficiales y estimaciones de mercado</w:t>
      </w:r>
    </w:p>
    <w:bookmarkStart w:id="58" w:name="estados-unidos--referencia-oficial"/>
    <w:p>
      <w:pPr>
        <w:pStyle w:val="Heading3"/>
      </w:pPr>
      <w:r>
        <w:t xml:space="preserve">Estados Unidos — referencia oficial</w:t>
      </w:r>
    </w:p>
    <w:p>
      <w:pPr>
        <w:pStyle w:val="FirstParagraph"/>
      </w:pPr>
      <w:r>
        <w:t xml:space="preserve">O*NET reporta para 2025</w:t>
      </w:r>
      <w:r>
        <w:t xml:space="preserve"> </w:t>
      </w:r>
      <w:r>
        <w:rPr>
          <w:bCs/>
          <w:b/>
        </w:rPr>
        <w:t xml:space="preserve">$37.87/hora y $78,760/año</w:t>
      </w:r>
      <w:r>
        <w:t xml:space="preserve"> </w:t>
      </w:r>
      <w:r>
        <w:t xml:space="preserve">de mediana para Market Research Analysts and Marketing Specialists. La distribución nacional aproximada es</w:t>
      </w:r>
      <w:r>
        <w:t xml:space="preserve"> </w:t>
      </w:r>
      <w:r>
        <w:rPr>
          <w:bCs/>
          <w:b/>
        </w:rPr>
        <w:t xml:space="preserve">$43,390 en percentil 10, $78,760 de mediana y $155,480 en percentil 90</w:t>
      </w:r>
      <w:r>
        <w:t xml:space="preserve">.</w:t>
      </w:r>
    </w:p>
    <w:p>
      <w:pPr>
        <w:pStyle w:val="BodyText"/>
      </w:pPr>
      <w:r>
        <w:t xml:space="preserve">BLS reporta</w:t>
      </w:r>
      <w:r>
        <w:t xml:space="preserve"> </w:t>
      </w:r>
      <w:r>
        <w:rPr>
          <w:bCs/>
          <w:b/>
        </w:rPr>
        <w:t xml:space="preserve">$76,950/año</w:t>
      </w:r>
      <w:r>
        <w:t xml:space="preserve"> </w:t>
      </w:r>
      <w:r>
        <w:t xml:space="preserve">de mediana en mayo de 2024 y proyecta</w:t>
      </w:r>
      <w:r>
        <w:t xml:space="preserve"> </w:t>
      </w:r>
      <w:r>
        <w:rPr>
          <w:bCs/>
          <w:b/>
        </w:rPr>
        <w:t xml:space="preserve">7% de crecimiento 2024–2034</w:t>
      </w:r>
      <w:r>
        <w:t xml:space="preserve">, con aproximadamente</w:t>
      </w:r>
      <w:r>
        <w:t xml:space="preserve"> </w:t>
      </w:r>
      <w:r>
        <w:rPr>
          <w:bCs/>
          <w:b/>
        </w:rPr>
        <w:t xml:space="preserve">87,200 vacantes por año</w:t>
      </w:r>
      <w:r>
        <w:t xml:space="preserve">.</w:t>
      </w:r>
    </w:p>
    <w:p>
      <w:pPr>
        <w:pStyle w:val="BodyText"/>
      </w:pPr>
      <w:r>
        <w:t xml:space="preserve">Estas son estadísticas de la ocupación profesional amplia, no salario garantizado para asistente o coordinador junior.</w:t>
      </w:r>
    </w:p>
    <w:bookmarkEnd w:id="58"/>
    <w:bookmarkStart w:id="59" w:name="Xe5644e458513c08a847ad1d0e7e85a29eb93269"/>
    <w:p>
      <w:pPr>
        <w:pStyle w:val="Heading3"/>
      </w:pPr>
      <w:r>
        <w:t xml:space="preserve">Estados Unidos — estimación actual no gubernamental</w:t>
      </w:r>
    </w:p>
    <w:p>
      <w:pPr>
        <w:pStyle w:val="FirstParagraph"/>
      </w:pPr>
      <w:r>
        <w:t xml:space="preserve">Indeed reportó aproximadamente</w:t>
      </w:r>
      <w:r>
        <w:t xml:space="preserve"> </w:t>
      </w:r>
      <w:r>
        <w:rPr>
          <w:bCs/>
          <w:b/>
        </w:rPr>
        <w:t xml:space="preserve">$57,136/año</w:t>
      </w:r>
      <w:r>
        <w:t xml:space="preserve"> </w:t>
      </w:r>
      <w:r>
        <w:t xml:space="preserve">de salario base promedio para Marketing Coordinators en EE. UU., basado en alrededor de</w:t>
      </w:r>
      <w:r>
        <w:t xml:space="preserve"> </w:t>
      </w:r>
      <w:r>
        <w:rPr>
          <w:bCs/>
          <w:b/>
        </w:rPr>
        <w:t xml:space="preserve">4.3 mil salarios</w:t>
      </w:r>
      <w:r>
        <w:t xml:space="preserve"> </w:t>
      </w:r>
      <w:r>
        <w:t xml:space="preserve">de anuncios de los 36 meses anteriores, actualizado</w:t>
      </w:r>
      <w:r>
        <w:t xml:space="preserve"> </w:t>
      </w:r>
      <w:r>
        <w:rPr>
          <w:bCs/>
          <w:b/>
        </w:rPr>
        <w:t xml:space="preserve">2 de agosto de 2026</w:t>
      </w:r>
      <w:r>
        <w:t xml:space="preserve">. El rango mostrado fue aproximadamente</w:t>
      </w:r>
      <w:r>
        <w:t xml:space="preserve"> </w:t>
      </w:r>
      <w:r>
        <w:rPr>
          <w:bCs/>
          <w:b/>
        </w:rPr>
        <w:t xml:space="preserve">$40,235–$81,136/año</w:t>
      </w:r>
      <w:r>
        <w:t xml:space="preserve">.</w:t>
      </w:r>
    </w:p>
    <w:p>
      <w:pPr>
        <w:pStyle w:val="BodyText"/>
      </w:pPr>
      <w:r>
        <w:t xml:space="preserve">No se debe promediar esta estimación con BLS/O*NET.</w:t>
      </w:r>
    </w:p>
    <w:bookmarkEnd w:id="59"/>
    <w:bookmarkStart w:id="60" w:name="canadá--referencia-oficial"/>
    <w:p>
      <w:pPr>
        <w:pStyle w:val="Heading3"/>
      </w:pPr>
      <w:r>
        <w:t xml:space="preserve">Canadá — referencia oficial</w:t>
      </w:r>
    </w:p>
    <w:p>
      <w:pPr>
        <w:pStyle w:val="FirstParagraph"/>
      </w:pPr>
      <w:r>
        <w:t xml:space="preserve">Job Bank reporta para marketing coordinator / NOC 11202, actualizado</w:t>
      </w:r>
      <w:r>
        <w:t xml:space="preserve"> </w:t>
      </w:r>
      <w:r>
        <w:rPr>
          <w:bCs/>
          <w:b/>
        </w:rPr>
        <w:t xml:space="preserve">19 de noviembre de 2025</w:t>
      </w:r>
      <w:r>
        <w:t xml:space="preserve">, aproximadamente</w:t>
      </w:r>
      <w:r>
        <w:t xml:space="preserve"> </w:t>
      </w:r>
      <w:r>
        <w:rPr>
          <w:bCs/>
          <w:b/>
        </w:rPr>
        <w:t xml:space="preserve">C$20.50 bajo, C$35.58 mediana y C$57.44 alto por hora</w:t>
      </w:r>
      <w:r>
        <w:t xml:space="preserve">. Periodo de referencia 2023–2024, Statistics Canada Labour Force Survey.</w:t>
      </w:r>
    </w:p>
    <w:bookmarkEnd w:id="60"/>
    <w:bookmarkStart w:id="61" w:name="Xee2a4292d17b8a0ae94cb5d25c2391eef9dd211"/>
    <w:p>
      <w:pPr>
        <w:pStyle w:val="Heading3"/>
      </w:pPr>
      <w:r>
        <w:t xml:space="preserve">Colombia — estimación actual no gubernamental</w:t>
      </w:r>
    </w:p>
    <w:p>
      <w:pPr>
        <w:pStyle w:val="FirstParagraph"/>
      </w:pPr>
      <w:r>
        <w:t xml:space="preserve">Indeed reportó aproximadamente</w:t>
      </w:r>
      <w:r>
        <w:t xml:space="preserve"> </w:t>
      </w:r>
      <w:r>
        <w:rPr>
          <w:bCs/>
          <w:b/>
        </w:rPr>
        <w:t xml:space="preserve">COP 3,042,755/mes</w:t>
      </w:r>
      <w:r>
        <w:t xml:space="preserve"> </w:t>
      </w:r>
      <w:r>
        <w:t xml:space="preserve">para Coordinador/a de mercadotecnia en Colombia, actualizado</w:t>
      </w:r>
      <w:r>
        <w:t xml:space="preserve"> </w:t>
      </w:r>
      <w:r>
        <w:rPr>
          <w:bCs/>
          <w:b/>
        </w:rPr>
        <w:t xml:space="preserve">25 de mayo de 2026</w:t>
      </w:r>
      <w:r>
        <w:t xml:space="preserve">, basado en solo</w:t>
      </w:r>
      <w:r>
        <w:t xml:space="preserve"> </w:t>
      </w:r>
      <w:r>
        <w:rPr>
          <w:bCs/>
          <w:b/>
        </w:rPr>
        <w:t xml:space="preserve">2 salarios reportados</w:t>
      </w:r>
      <w:r>
        <w:t xml:space="preserve">. Debe tratarse como una señal de muestra muy pequeña, no como salario nacional representativo.</w:t>
      </w:r>
    </w:p>
    <w:bookmarkEnd w:id="61"/>
    <w:bookmarkEnd w:id="62"/>
    <w:bookmarkStart w:id="63" w:name="ideas-de-portfolio"/>
    <w:p>
      <w:pPr>
        <w:pStyle w:val="Heading2"/>
      </w:pPr>
      <w:r>
        <w:t xml:space="preserve">Ideas de portfolio</w:t>
      </w:r>
    </w:p>
    <w:p>
      <w:pPr>
        <w:pStyle w:val="FirstParagraph"/>
      </w:pPr>
      <w:r>
        <w:t xml:space="preserve">Usar solo trabajo ficticio o sanitizado salvo autorización. Ejemplos: calendario ficticio mensual, email con asunto/cuerpo/CTA/checklist, plan social, wireframe o brief de landing page, dashboard con datos ficticios, checklist de accesibilidad, esquema UTM, flujo de aprobación y breve lessons-learned report.</w:t>
      </w:r>
    </w:p>
    <w:p>
      <w:pPr>
        <w:pStyle w:val="BodyText"/>
      </w:pPr>
      <w:r>
        <w:t xml:space="preserve">Para cada artefacto, explicar objetivo, proceso, controles y métricas.</w:t>
      </w:r>
    </w:p>
    <w:bookmarkEnd w:id="63"/>
    <w:bookmarkStart w:id="64" w:name="palabras-clave-para-búsqueda-de-empleo"/>
    <w:p>
      <w:pPr>
        <w:pStyle w:val="Heading2"/>
      </w:pPr>
      <w:r>
        <w:t xml:space="preserve">Palabras clave para búsqueda de empleo</w:t>
      </w:r>
    </w:p>
    <w:p>
      <w:pPr>
        <w:pStyle w:val="FirstParagraph"/>
      </w:pPr>
      <w:r>
        <w:t xml:space="preserve">Marketing Assistant, Digital Marketing Assistant, Marketing Coordinator, Digital Marketing Coordinator, Campaign Coordinator, Social Media Coordinator, Content Coordinator, CRM Coordinator, Ecommerce Marketing Assistant, Communications Assistant, Junior Marketing Specialist y Growth Marketing Assistant.</w:t>
      </w:r>
    </w:p>
    <w:p>
      <w:pPr>
        <w:pStyle w:val="BodyText"/>
      </w:pPr>
      <w:r>
        <w:t xml:space="preserve">Añadir términos de industria cuando ayude: SaaS, retail, hospitality, nonprofit, education, healthcare, B2B, ecommerce, manufacturing, tourism o professional services.</w:t>
      </w:r>
    </w:p>
    <w:bookmarkEnd w:id="64"/>
    <w:bookmarkStart w:id="65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Prepararse para explicar un proyecto de inicio a fin; cómo revisar copy, enlaces, fechas, precios y activos; cómo atender una baja o solicitud de privacidad; cómo usar hojas de cálculo/dashboards; cómo responder a cambios inesperados de pago a proveedores; cómo priorizar plazos; cómo proteger datos; cómo usar IA responsablemente; y cómo medir una campaña sencilla.</w:t>
      </w:r>
    </w:p>
    <w:p>
      <w:pPr>
        <w:pStyle w:val="BodyText"/>
      </w:pPr>
      <w:r>
        <w:t xml:space="preserve">Si no hay experiencia pagada, usar ejemplos de cursos, voluntariado, servicio al cliente, ecommerce o proyectos ficticios, dejando claro qué fue práctica y qué fue empleo.</w:t>
      </w:r>
    </w:p>
    <w:bookmarkEnd w:id="65"/>
    <w:bookmarkStart w:id="70" w:name="plan-inicial-de-30-días"/>
    <w:p>
      <w:pPr>
        <w:pStyle w:val="Heading2"/>
      </w:pPr>
      <w:r>
        <w:t xml:space="preserve">Plan inicial de 30 días</w:t>
      </w:r>
    </w:p>
    <w:bookmarkStart w:id="66" w:name="semana-1--fundamentos"/>
    <w:p>
      <w:pPr>
        <w:pStyle w:val="Heading3"/>
      </w:pPr>
      <w:r>
        <w:t xml:space="preserve">Semana 1 — fundamentos</w:t>
      </w:r>
    </w:p>
    <w:p>
      <w:pPr>
        <w:pStyle w:val="FirstParagraph"/>
      </w:pPr>
      <w:r>
        <w:t xml:space="preserve">Aprender funnel/customer journey, practicar hojas de cálculo, revisar vocabulario de email/social/web/campañas y estudiar privacidad/ciberseguridad.</w:t>
      </w:r>
    </w:p>
    <w:bookmarkEnd w:id="66"/>
    <w:bookmarkStart w:id="67" w:name="semana-2--construir"/>
    <w:p>
      <w:pPr>
        <w:pStyle w:val="Heading3"/>
      </w:pPr>
      <w:r>
        <w:t xml:space="preserve">Semana 2 — construir</w:t>
      </w:r>
    </w:p>
    <w:p>
      <w:pPr>
        <w:pStyle w:val="FirstParagraph"/>
      </w:pPr>
      <w:r>
        <w:t xml:space="preserve">Crear brief ficticio, calendario de campaña, contenido de muestra y plan básico de tracking.</w:t>
      </w:r>
    </w:p>
    <w:bookmarkEnd w:id="67"/>
    <w:bookmarkStart w:id="68" w:name="semana-3--medir"/>
    <w:p>
      <w:pPr>
        <w:pStyle w:val="Heading3"/>
      </w:pPr>
      <w:r>
        <w:t xml:space="preserve">Semana 3 — medir</w:t>
      </w:r>
    </w:p>
    <w:p>
      <w:pPr>
        <w:pStyle w:val="FirstParagraph"/>
      </w:pPr>
      <w:r>
        <w:t xml:space="preserve">Crear dataset ficticio, calcular tasas y tendencias, hacer dashboard de una página y escribir tres aprendizajes.</w:t>
      </w:r>
    </w:p>
    <w:bookmarkEnd w:id="68"/>
    <w:bookmarkStart w:id="69" w:name="semana-4--búsqueda-de-empleo"/>
    <w:p>
      <w:pPr>
        <w:pStyle w:val="Heading3"/>
      </w:pPr>
      <w:r>
        <w:t xml:space="preserve">Semana 4 — búsqueda de empleo</w:t>
      </w:r>
    </w:p>
    <w:p>
      <w:pPr>
        <w:pStyle w:val="FirstParagraph"/>
      </w:pPr>
      <w:r>
        <w:t xml:space="preserve">Revisar bullets de CV alrededor de coordinación, redacción, servicio, ventas, herramientas digitales y datos; organizar portfolio; buscar varias variantes de título; comparar requisitos reales antes de pagar más formación; y verificar ubicación, horario y autorización de trabajo antes de postularse.</w:t>
      </w:r>
    </w:p>
    <w:bookmarkEnd w:id="69"/>
    <w:bookmarkEnd w:id="70"/>
    <w:bookmarkStart w:id="79" w:name="lista-de-fuentes"/>
    <w:p>
      <w:pPr>
        <w:pStyle w:val="Heading2"/>
      </w:pPr>
      <w:r>
        <w:t xml:space="preserve">Lista de fuentes</w:t>
      </w:r>
    </w:p>
    <w:p>
      <w:pPr>
        <w:pStyle w:val="FirstParagraph"/>
      </w:pPr>
      <w:r>
        <w:t xml:space="preserve">Fuentes oficiales y gubernamentales:</w:t>
      </w:r>
    </w:p>
    <w:p>
      <w:pPr>
        <w:numPr>
          <w:ilvl w:val="0"/>
          <w:numId w:val="1003"/>
        </w:numPr>
        <w:pStyle w:val="Compact"/>
      </w:pPr>
      <w:r>
        <w:t xml:space="preserve">O*NET OnLine — Market Research Analysts and Marketing Specialists: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O*NET/BLS salarios locales: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U.S. Bureau of Labor Statistics — Market Research Analysts: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CareerOneStop WIOA Eligible Training Program Finder:</w:t>
      </w:r>
      <w:r>
        <w:t xml:space="preserve"> </w:t>
      </w:r>
      <w:hyperlink r:id="rId47">
        <w:hyperlink r:id="rId4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Canada Job Bank — Marketing coordinator wages: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Government of Canada — Jobs and training:</w:t>
      </w:r>
      <w:r>
        <w:t xml:space="preserve"> </w:t>
      </w:r>
      <w:hyperlink r:id="rId49">
        <w:hyperlink r:id="rId4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Government of Canada — Skills for Success:</w:t>
      </w:r>
      <w:r>
        <w:t xml:space="preserve"> </w:t>
      </w:r>
      <w:hyperlink r:id="rId50">
        <w:hyperlink r:id="rId5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Colombia OCUPACOL profile 24312: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Colombia OCUPACOL profile 24311: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SENA Betowa — Marketing Digital virtual:</w:t>
      </w:r>
      <w:r>
        <w:t xml:space="preserve"> </w:t>
      </w:r>
      <w:hyperlink r:id="rId52">
        <w:hyperlink r:id="rId5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SENA Betowa — Marketing Digital presencial:</w:t>
      </w:r>
      <w:r>
        <w:t xml:space="preserve"> </w:t>
      </w:r>
      <w:hyperlink r:id="rId53">
        <w:hyperlink r:id="rId5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3"/>
        </w:numPr>
        <w:pStyle w:val="Compact"/>
      </w:pPr>
      <w:r>
        <w:t xml:space="preserve">OIT/Cinterfor:</w:t>
      </w:r>
      <w:r>
        <w:t xml:space="preserve"> </w:t>
      </w:r>
      <w:hyperlink r:id="rId55">
        <w:r>
          <w:rPr>
            <w:rStyle w:val="Hyperlink"/>
          </w:rPr>
          <w:t xml:space="preserve">https://www.oitcinterfor.org/</w:t>
        </w:r>
      </w:hyperlink>
    </w:p>
    <w:p>
      <w:pPr>
        <w:numPr>
          <w:ilvl w:val="0"/>
          <w:numId w:val="1003"/>
        </w:numPr>
        <w:pStyle w:val="Compact"/>
      </w:pPr>
      <w:r>
        <w:t xml:space="preserve">OIT/Cinterfor recursos por país:</w:t>
      </w:r>
      <w:r>
        <w:t xml:space="preserve"> </w:t>
      </w:r>
      <w:hyperlink r:id="rId56">
        <w:r>
          <w:rPr>
            <w:rStyle w:val="Hyperlink"/>
          </w:rPr>
          <w:t xml:space="preserve">https://www.oitcinterfor.org/statsfp/paises</w:t>
        </w:r>
      </w:hyperlink>
    </w:p>
    <w:p>
      <w:pPr>
        <w:pStyle w:val="FirstParagraph"/>
      </w:pPr>
      <w:r>
        <w:t xml:space="preserve">Estimaciones actuales no gubernamentales:</w:t>
      </w:r>
    </w:p>
    <w:p>
      <w:pPr>
        <w:numPr>
          <w:ilvl w:val="0"/>
          <w:numId w:val="1004"/>
        </w:numPr>
        <w:pStyle w:val="Compact"/>
      </w:pPr>
      <w:r>
        <w:t xml:space="preserve">Indeed U.S. Marketing Coordinator salary estimate: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04"/>
        </w:numPr>
        <w:pStyle w:val="Compact"/>
      </w:pPr>
      <w:r>
        <w:t xml:space="preserve">Indeed Colombia Coordinador/a de mercadotecnia salary estimate: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bookmarkEnd w:id="79"/>
    <w:bookmarkStart w:id="80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Esta guía es material educativo de planificación profesional. No garantiza empleo, ingreso, financiación, admisión, certificación, colocación en apprenticeship, promoción ni cumplimiento legal. Compensación, educación, reglas de plataforma, privacidad, accesibilidad, publicidad y prácticas del empleador varían por jurisdicción y cambian con el tiempo. Verifique decisiones importantes con fuentes oficiales actuales y profesionales competentes cuando corresponda.</w:t>
      </w:r>
    </w:p>
    <w:p>
      <w:pPr>
        <w:pStyle w:val="BodyText"/>
      </w:pPr>
      <w:r>
        <w:t xml:space="preserve">Esta revisión controlada no afirma certificación humana independiente, certificación profesional de traducción, revisión legal, certificación de accesibilidad ni acreditación salvo documentación separada.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betowa.sena.edu.co/oferta/marketing-digital?modality=P&amp;offertype=open&amp;programId=142014" TargetMode="External" /><Relationship Type="http://schemas.openxmlformats.org/officeDocument/2006/relationships/hyperlink" Id="rId52" Target="https://betowa.sena.edu.co/oferta/marketing-digital?modality=V&amp;programId=155939" TargetMode="External" /><Relationship Type="http://schemas.openxmlformats.org/officeDocument/2006/relationships/hyperlink" Id="rId78" Target="https://co.indeed.com/career/coordinador-de-mercadotecnia/salaries" TargetMode="External" /><Relationship Type="http://schemas.openxmlformats.org/officeDocument/2006/relationships/hyperlink" Id="rId76" Target="https://ocupacol.mintrabajo.gov.co/Profile/OccupationalProfile/24311" TargetMode="External" /><Relationship Type="http://schemas.openxmlformats.org/officeDocument/2006/relationships/hyperlink" Id="rId75" Target="https://ocupacol.mintrabajo.gov.co/Profile/OccupationalProfile/24312" TargetMode="External" /><Relationship Type="http://schemas.openxmlformats.org/officeDocument/2006/relationships/hyperlink" Id="rId73" Target="https://www.bls.gov/ooh/business-and-financial/market-research-analysts.htm" TargetMode="External" /><Relationship Type="http://schemas.openxmlformats.org/officeDocument/2006/relationships/hyperlink" Id="rId49" Target="https://www.canada.ca/en/services/jobs/training.html" TargetMode="External" /><Relationship Type="http://schemas.openxmlformats.org/officeDocument/2006/relationships/hyperlink" Id="rId50" Target="https://www.canada.ca/en/services/jobs/training/initiatives/skills-success.html" TargetMode="External" /><Relationship Type="http://schemas.openxmlformats.org/officeDocument/2006/relationships/hyperlink" Id="rId47" Target="https://www.careeronestop.org/LocalHelp/EmploymentAndTraining/find-WIOA-training-programs.aspx" TargetMode="External" /><Relationship Type="http://schemas.openxmlformats.org/officeDocument/2006/relationships/hyperlink" Id="rId77" Target="https://www.indeed.com/career/marketing-coordinator/salaries" TargetMode="External" /><Relationship Type="http://schemas.openxmlformats.org/officeDocument/2006/relationships/hyperlink" Id="rId74" Target="https://www.jobbank.gc.ca/marketreport/wages-occupation/27114/ca" TargetMode="External" /><Relationship Type="http://schemas.openxmlformats.org/officeDocument/2006/relationships/hyperlink" Id="rId55" Target="https://www.oitcinterfor.org/" TargetMode="External" /><Relationship Type="http://schemas.openxmlformats.org/officeDocument/2006/relationships/hyperlink" Id="rId56" Target="https://www.oitcinterfor.org/statsfp/paises" TargetMode="External" /><Relationship Type="http://schemas.openxmlformats.org/officeDocument/2006/relationships/hyperlink" Id="rId71" Target="https://www.onetonline.org/link/details/13-1161.00" TargetMode="External" /><Relationship Type="http://schemas.openxmlformats.org/officeDocument/2006/relationships/hyperlink" Id="rId72" Target="https://www.onetonline.org/link/localwages/13-1161.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betowa.sena.edu.co/oferta/marketing-digital?modality=P&amp;offertype=open&amp;programId=142014" TargetMode="External" /><Relationship Type="http://schemas.openxmlformats.org/officeDocument/2006/relationships/hyperlink" Id="rId52" Target="https://betowa.sena.edu.co/oferta/marketing-digital?modality=V&amp;programId=155939" TargetMode="External" /><Relationship Type="http://schemas.openxmlformats.org/officeDocument/2006/relationships/hyperlink" Id="rId78" Target="https://co.indeed.com/career/coordinador-de-mercadotecnia/salaries" TargetMode="External" /><Relationship Type="http://schemas.openxmlformats.org/officeDocument/2006/relationships/hyperlink" Id="rId76" Target="https://ocupacol.mintrabajo.gov.co/Profile/OccupationalProfile/24311" TargetMode="External" /><Relationship Type="http://schemas.openxmlformats.org/officeDocument/2006/relationships/hyperlink" Id="rId75" Target="https://ocupacol.mintrabajo.gov.co/Profile/OccupationalProfile/24312" TargetMode="External" /><Relationship Type="http://schemas.openxmlformats.org/officeDocument/2006/relationships/hyperlink" Id="rId73" Target="https://www.bls.gov/ooh/business-and-financial/market-research-analysts.htm" TargetMode="External" /><Relationship Type="http://schemas.openxmlformats.org/officeDocument/2006/relationships/hyperlink" Id="rId49" Target="https://www.canada.ca/en/services/jobs/training.html" TargetMode="External" /><Relationship Type="http://schemas.openxmlformats.org/officeDocument/2006/relationships/hyperlink" Id="rId50" Target="https://www.canada.ca/en/services/jobs/training/initiatives/skills-success.html" TargetMode="External" /><Relationship Type="http://schemas.openxmlformats.org/officeDocument/2006/relationships/hyperlink" Id="rId47" Target="https://www.careeronestop.org/LocalHelp/EmploymentAndTraining/find-WIOA-training-programs.aspx" TargetMode="External" /><Relationship Type="http://schemas.openxmlformats.org/officeDocument/2006/relationships/hyperlink" Id="rId77" Target="https://www.indeed.com/career/marketing-coordinator/salaries" TargetMode="External" /><Relationship Type="http://schemas.openxmlformats.org/officeDocument/2006/relationships/hyperlink" Id="rId74" Target="https://www.jobbank.gc.ca/marketreport/wages-occupation/27114/ca" TargetMode="External" /><Relationship Type="http://schemas.openxmlformats.org/officeDocument/2006/relationships/hyperlink" Id="rId55" Target="https://www.oitcinterfor.org/" TargetMode="External" /><Relationship Type="http://schemas.openxmlformats.org/officeDocument/2006/relationships/hyperlink" Id="rId56" Target="https://www.oitcinterfor.org/statsfp/paises" TargetMode="External" /><Relationship Type="http://schemas.openxmlformats.org/officeDocument/2006/relationships/hyperlink" Id="rId71" Target="https://www.onetonline.org/link/details/13-1161.00" TargetMode="External" /><Relationship Type="http://schemas.openxmlformats.org/officeDocument/2006/relationships/hyperlink" Id="rId72" Target="https://www.onetonline.org/link/localwages/13-1161.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2026-08-21T18:57:01Z</dcterms:created>
  <dcterms:modified xsi:type="dcterms:W3CDTF">2026-08-21T18:57:01Z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