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708116fb886f884e0eda50c4a9f89f267a8f189"/>
    <w:p>
      <w:pPr>
        <w:pStyle w:val="Heading1"/>
      </w:pPr>
      <w:r>
        <w:t xml:space="preserve">Guide 20 — Court Clerk and Judicial Services Assistant</w:t>
      </w:r>
    </w:p>
    <w:p>
      <w:pPr>
        <w:pStyle w:val="FirstParagraph"/>
      </w:pPr>
      <w:r>
        <w:rPr>
          <w:bCs/>
          <w:b/>
        </w:rPr>
        <w:t xml:space="preserve">Controlled English working master, version 2</w:t>
      </w:r>
      <w:r>
        <w:br/>
      </w:r>
      <w:r>
        <w:rPr>
          <w:bCs/>
          <w:b/>
        </w:rPr>
        <w:t xml:space="preserve">Revision date:</w:t>
      </w:r>
      <w:r>
        <w:t xml:space="preserve"> </w:t>
      </w:r>
      <w:r>
        <w:t xml:space="preserve">2026-08-09</w:t>
      </w:r>
      <w:r>
        <w:br/>
      </w:r>
      <w:r>
        <w:rPr>
          <w:bCs/>
          <w:b/>
        </w:rPr>
        <w:t xml:space="preserve">Status:</w:t>
      </w:r>
      <w:r>
        <w:t xml:space="preserve"> </w:t>
      </w:r>
      <w:r>
        <w:t xml:space="preserve">ENGLISH WORKING MASTER — controlled editorial candidate</w:t>
      </w:r>
    </w:p>
    <w:p>
      <w:pPr>
        <w:pStyle w:val="BodyText"/>
      </w:pPr>
      <w:r>
        <w:t xml:space="preserve">This guide provides general career-exploration and education-planning information. It is not legal advice, court policy, judicial authorization, civil-service eligibility advice, or a substitute for the rules of a court, judiciary, government employer, regulator, educational institution, or other competent authority. Court structures, job titles, duties, hiring systems, security requirements, public-access rules, records rules, technology, wages, and training vary by jurisdiction and employer. Verify important decisions through current official sources and the exact vacancy or employing court.</w:t>
      </w:r>
    </w:p>
    <w:p>
      <w:pPr>
        <w:pStyle w:val="BodyText"/>
      </w:pPr>
      <w:r>
        <w:t xml:space="preserve">This edition is machine-assisted and internally reviewed. It does not claim independent human certification, professional translation certification, accessibility certification, legal review, court approval, accreditation review, licensing approval, appointment, or guaranteed employment.</w:t>
      </w:r>
    </w:p>
    <w:p>
      <w:r>
        <w:pict>
          <v:rect style="width:0;height:1.5pt" o:hralign="center" o:hrstd="t" o:hr="t"/>
        </w:pict>
      </w:r>
    </w:p>
    <w:bookmarkStart w:id="20" w:name="X4666c8db187a468bd7c4d1efd69e1ca31a62544"/>
    <w:p>
      <w:pPr>
        <w:pStyle w:val="Heading2"/>
      </w:pPr>
      <w:r>
        <w:t xml:space="preserve">1. Purpose and scope</w:t>
      </w:r>
    </w:p>
    <w:p>
      <w:pPr>
        <w:pStyle w:val="FirstParagraph"/>
      </w:pPr>
      <w:r>
        <w:t xml:space="preserve">Court clerks and judicial-services assistants help courts operate accurately, securely, and on schedule. Depending on the jurisdiction and position, they may receive and process filings, maintain dockets and records, prepare calendars, support courtroom proceedings, manage exhibits, process fees, issue notices or documents under assigned authority, answer procedural questions, coordinate with judges, lawyers, parties, interpreters, law enforcement, jurors, and the public, and maintain official information systems.</w:t>
      </w:r>
    </w:p>
    <w:p>
      <w:pPr>
        <w:pStyle w:val="BodyText"/>
      </w:pPr>
      <w:r>
        <w:t xml:space="preserve">The work is public-service work with unusually high consequences for accuracy, deadlines, confidentiality, neutrality, and records integrity.</w:t>
      </w:r>
    </w:p>
    <w:p>
      <w:pPr>
        <w:pStyle w:val="BodyText"/>
      </w:pPr>
      <w:r>
        <w:t xml:space="preserve">A clerk or judicial-services employee is</w:t>
      </w:r>
      <w:r>
        <w:t xml:space="preserve"> </w:t>
      </w:r>
      <w:r>
        <w:rPr>
          <w:bCs/>
          <w:b/>
        </w:rPr>
        <w:t xml:space="preserve">not automatically a judge, lawyer, adjudicator, or independent legal adviser</w:t>
      </w:r>
      <w:r>
        <w:t xml:space="preserve">. A job title does not create judicial discretion or legal authority beyond the powers assigned by law, court rule, order, policy, job classification, and supervision.</w:t>
      </w:r>
    </w:p>
    <w:p>
      <w:pPr>
        <w:pStyle w:val="BodyText"/>
      </w:pPr>
      <w:r>
        <w:t xml:space="preserve">The safest operating rule is:</w:t>
      </w:r>
    </w:p>
    <w:p>
      <w:pPr>
        <w:pStyle w:val="BodyText"/>
      </w:pPr>
      <w:r>
        <w:rPr>
          <w:bCs/>
          <w:b/>
        </w:rPr>
        <w:t xml:space="preserve">Perform only the court functions that are assigned to your position, follow the controlling rule and approved workflow, provide procedural information rather than individualized legal advice, and escalate uncertain authority before acting.</w:t>
      </w:r>
    </w:p>
    <w:p>
      <w:pPr>
        <w:pStyle w:val="BodyText"/>
      </w:pPr>
      <w:r>
        <w:t xml:space="preserve">This guide covers practical pathways in the United States and Canada, a Colombia-specific judicial-employment context, free-first learning, funding, accessibility, cybersecurity, privacy, responsible AI, labor-market research, interview preparation, and career progression.</w:t>
      </w:r>
    </w:p>
    <w:p>
      <w:r>
        <w:pict>
          <v:rect style="width:0;height:1.5pt" o:hralign="center" o:hrstd="t" o:hr="t"/>
        </w:pict>
      </w:r>
    </w:p>
    <w:bookmarkEnd w:id="20"/>
    <w:bookmarkStart w:id="24" w:name="Xebac425e9118e72e56e22a4e14f169c93aa7c07"/>
    <w:p>
      <w:pPr>
        <w:pStyle w:val="Heading2"/>
      </w:pPr>
      <w:r>
        <w:t xml:space="preserve">2. Occupational mapping and role boundary</w:t>
      </w:r>
    </w:p>
    <w:bookmarkStart w:id="21" w:name="united-states"/>
    <w:p>
      <w:pPr>
        <w:pStyle w:val="Heading3"/>
      </w:pPr>
      <w:r>
        <w:t xml:space="preserve">United States</w:t>
      </w:r>
    </w:p>
    <w:p>
      <w:pPr>
        <w:pStyle w:val="FirstParagraph"/>
      </w:pPr>
      <w:r>
        <w:t xml:space="preserve">The current O</w:t>
      </w:r>
      <w:r>
        <w:rPr>
          <w:iCs/>
          <w:i/>
        </w:rPr>
        <w:t xml:space="preserve">NET reference is</w:t>
      </w:r>
      <w:r>
        <w:rPr>
          <w:iCs/>
          <w:i/>
        </w:rPr>
        <w:t xml:space="preserve"> </w:t>
      </w:r>
      <w:r>
        <w:rPr>
          <w:bCs/>
          <w:b/>
          <w:iCs/>
          <w:i/>
        </w:rPr>
        <w:t xml:space="preserve">43-4031.00 — Court, Municipal, and License Clerks</w:t>
      </w:r>
      <w:r>
        <w:rPr>
          <w:iCs/>
          <w:i/>
        </w:rPr>
        <w:t xml:space="preserve">. The older O</w:t>
      </w:r>
      <w:r>
        <w:t xml:space="preserve">NET code 43-4031.01 for Court Clerks is no longer in use.</w:t>
      </w:r>
    </w:p>
    <w:p>
      <w:pPr>
        <w:pStyle w:val="BodyText"/>
      </w:pPr>
      <w:r>
        <w:t xml:space="preserve">O*NET 43-4031.00 is a</w:t>
      </w:r>
      <w:r>
        <w:t xml:space="preserve"> </w:t>
      </w:r>
      <w:r>
        <w:rPr>
          <w:bCs/>
          <w:b/>
        </w:rPr>
        <w:t xml:space="preserve">combined occupation</w:t>
      </w:r>
      <w:r>
        <w:t xml:space="preserve">. It includes court clerks as well as municipal and licensing clerks. Court-related duties in the profile include filing court documents, recording case dispositions and orders, examining documents for compliance with procedures, answering questions about judicial procedures, preparing records of proceeding outcomes, obtaining information for the court, and preparing dockets or calendars.</w:t>
      </w:r>
    </w:p>
    <w:p>
      <w:pPr>
        <w:pStyle w:val="BodyText"/>
      </w:pPr>
      <w:r>
        <w:t xml:space="preserve">Because the code is combined, its national wage and employment figures must not be described as court-clerk-only statistics.</w:t>
      </w:r>
    </w:p>
    <w:bookmarkEnd w:id="21"/>
    <w:bookmarkStart w:id="22" w:name="federal-judiciary-examples"/>
    <w:p>
      <w:pPr>
        <w:pStyle w:val="Heading3"/>
      </w:pPr>
      <w:r>
        <w:t xml:space="preserve">Federal Judiciary examples</w:t>
      </w:r>
    </w:p>
    <w:p>
      <w:pPr>
        <w:pStyle w:val="FirstParagraph"/>
      </w:pPr>
      <w:r>
        <w:t xml:space="preserve">U.S. federal Courtroom Deputies can manage courtroom and case-processing workflow, calendars and deadlines, minutes, orders, filings, electronic recording, exhibits, jury-related support, scheduling of reporters or interpreters, and communication with the public and court personnel.</w:t>
      </w:r>
    </w:p>
    <w:p>
      <w:pPr>
        <w:pStyle w:val="BodyText"/>
      </w:pPr>
      <w:r>
        <w:t xml:space="preserve">Those federal examples do not create authority for every state, county, municipal, tribal, territorial, or foreign court employee. Local rules and job classifications control.</w:t>
      </w:r>
    </w:p>
    <w:bookmarkEnd w:id="22"/>
    <w:bookmarkStart w:id="23" w:name="judicial-and-legal-authority-boundary"/>
    <w:p>
      <w:pPr>
        <w:pStyle w:val="Heading3"/>
      </w:pPr>
      <w:r>
        <w:t xml:space="preserve">Judicial and legal authority boundary</w:t>
      </w:r>
    </w:p>
    <w:p>
      <w:pPr>
        <w:pStyle w:val="FirstParagraph"/>
      </w:pPr>
      <w:r>
        <w:t xml:space="preserve">Unless the applicable law or court specifically gives the position such authority, a clerk or judicial-services assistant should not independently:</w:t>
      </w:r>
    </w:p>
    <w:p>
      <w:pPr>
        <w:numPr>
          <w:ilvl w:val="0"/>
          <w:numId w:val="1001"/>
        </w:numPr>
        <w:pStyle w:val="Compact"/>
      </w:pPr>
      <w:r>
        <w:t xml:space="preserve">decide the merits of a case;</w:t>
      </w:r>
    </w:p>
    <w:p>
      <w:pPr>
        <w:numPr>
          <w:ilvl w:val="0"/>
          <w:numId w:val="1001"/>
        </w:numPr>
        <w:pStyle w:val="Compact"/>
      </w:pPr>
      <w:r>
        <w:t xml:space="preserve">choose a judge’s ruling;</w:t>
      </w:r>
    </w:p>
    <w:p>
      <w:pPr>
        <w:numPr>
          <w:ilvl w:val="0"/>
          <w:numId w:val="1001"/>
        </w:numPr>
        <w:pStyle w:val="Compact"/>
      </w:pPr>
      <w:r>
        <w:t xml:space="preserve">give individualized legal advice;</w:t>
      </w:r>
    </w:p>
    <w:p>
      <w:pPr>
        <w:numPr>
          <w:ilvl w:val="0"/>
          <w:numId w:val="1001"/>
        </w:numPr>
        <w:pStyle w:val="Compact"/>
      </w:pPr>
      <w:r>
        <w:t xml:space="preserve">tell a party what legal strategy to use;</w:t>
      </w:r>
    </w:p>
    <w:p>
      <w:pPr>
        <w:numPr>
          <w:ilvl w:val="0"/>
          <w:numId w:val="1001"/>
        </w:numPr>
        <w:pStyle w:val="Compact"/>
      </w:pPr>
      <w:r>
        <w:t xml:space="preserve">alter a filing or court order outside authorized procedure;</w:t>
      </w:r>
    </w:p>
    <w:p>
      <w:pPr>
        <w:numPr>
          <w:ilvl w:val="0"/>
          <w:numId w:val="1001"/>
        </w:numPr>
        <w:pStyle w:val="Compact"/>
      </w:pPr>
      <w:r>
        <w:t xml:space="preserve">waive a deadline, fee, requirement, or court order without authority;</w:t>
      </w:r>
    </w:p>
    <w:p>
      <w:pPr>
        <w:numPr>
          <w:ilvl w:val="0"/>
          <w:numId w:val="1001"/>
        </w:numPr>
        <w:pStyle w:val="Compact"/>
      </w:pPr>
      <w:r>
        <w:t xml:space="preserve">disclose sealed, confidential, restricted, or nonpublic information;</w:t>
      </w:r>
    </w:p>
    <w:p>
      <w:pPr>
        <w:numPr>
          <w:ilvl w:val="0"/>
          <w:numId w:val="1001"/>
        </w:numPr>
        <w:pStyle w:val="Compact"/>
      </w:pPr>
      <w:r>
        <w:t xml:space="preserve">use court credentials or systems for unauthorized purposes;</w:t>
      </w:r>
    </w:p>
    <w:p>
      <w:pPr>
        <w:numPr>
          <w:ilvl w:val="0"/>
          <w:numId w:val="1001"/>
        </w:numPr>
        <w:pStyle w:val="Compact"/>
      </w:pPr>
      <w:r>
        <w:t xml:space="preserve">represent a party merely because the employee works for a court.</w:t>
      </w:r>
    </w:p>
    <w:p>
      <w:pPr>
        <w:pStyle w:val="FirstParagraph"/>
      </w:pPr>
      <w:r>
        <w:rPr>
          <w:bCs/>
          <w:b/>
        </w:rPr>
        <w:t xml:space="preserve">Escalation rule:</w:t>
      </w:r>
      <w:r>
        <w:t xml:space="preserve"> </w:t>
      </w:r>
      <w:r>
        <w:t xml:space="preserve">if a request requires legal judgment, judicial discretion, interpretation beyond approved procedural guidance, or action outside your assigned authority, stop and refer it through the court’s authorized escalation path.</w:t>
      </w:r>
    </w:p>
    <w:p>
      <w:r>
        <w:pict>
          <v:rect style="width:0;height:1.5pt" o:hralign="center" o:hrstd="t" o:hr="t"/>
        </w:pict>
      </w:r>
    </w:p>
    <w:bookmarkEnd w:id="23"/>
    <w:bookmarkEnd w:id="24"/>
    <w:bookmarkStart w:id="25" w:name="X55dc0fe0e018b31549fac757e27ec742d1afc4d"/>
    <w:p>
      <w:pPr>
        <w:pStyle w:val="Heading2"/>
      </w:pPr>
      <w:r>
        <w:t xml:space="preserve">3. Common titles and court settings</w:t>
      </w:r>
    </w:p>
    <w:p>
      <w:pPr>
        <w:pStyle w:val="FirstParagraph"/>
      </w:pPr>
      <w:r>
        <w:t xml:space="preserve">Possible titles include:</w:t>
      </w:r>
    </w:p>
    <w:p>
      <w:pPr>
        <w:numPr>
          <w:ilvl w:val="0"/>
          <w:numId w:val="1002"/>
        </w:numPr>
        <w:pStyle w:val="Compact"/>
      </w:pPr>
      <w:r>
        <w:t xml:space="preserve">Court Clerk</w:t>
      </w:r>
    </w:p>
    <w:p>
      <w:pPr>
        <w:numPr>
          <w:ilvl w:val="0"/>
          <w:numId w:val="1002"/>
        </w:numPr>
        <w:pStyle w:val="Compact"/>
      </w:pPr>
      <w:r>
        <w:t xml:space="preserve">Deputy Clerk</w:t>
      </w:r>
    </w:p>
    <w:p>
      <w:pPr>
        <w:numPr>
          <w:ilvl w:val="0"/>
          <w:numId w:val="1002"/>
        </w:numPr>
        <w:pStyle w:val="Compact"/>
      </w:pPr>
      <w:r>
        <w:t xml:space="preserve">Courtroom Deputy</w:t>
      </w:r>
    </w:p>
    <w:p>
      <w:pPr>
        <w:numPr>
          <w:ilvl w:val="0"/>
          <w:numId w:val="1002"/>
        </w:numPr>
        <w:pStyle w:val="Compact"/>
      </w:pPr>
      <w:r>
        <w:t xml:space="preserve">Docket Clerk</w:t>
      </w:r>
    </w:p>
    <w:p>
      <w:pPr>
        <w:numPr>
          <w:ilvl w:val="0"/>
          <w:numId w:val="1002"/>
        </w:numPr>
        <w:pStyle w:val="Compact"/>
      </w:pPr>
      <w:r>
        <w:t xml:space="preserve">Case Clerk</w:t>
      </w:r>
    </w:p>
    <w:p>
      <w:pPr>
        <w:numPr>
          <w:ilvl w:val="0"/>
          <w:numId w:val="1002"/>
        </w:numPr>
        <w:pStyle w:val="Compact"/>
      </w:pPr>
      <w:r>
        <w:t xml:space="preserve">Calendar Clerk</w:t>
      </w:r>
    </w:p>
    <w:p>
      <w:pPr>
        <w:numPr>
          <w:ilvl w:val="0"/>
          <w:numId w:val="1002"/>
        </w:numPr>
        <w:pStyle w:val="Compact"/>
      </w:pPr>
      <w:r>
        <w:t xml:space="preserve">Records Clerk</w:t>
      </w:r>
    </w:p>
    <w:p>
      <w:pPr>
        <w:numPr>
          <w:ilvl w:val="0"/>
          <w:numId w:val="1002"/>
        </w:numPr>
        <w:pStyle w:val="Compact"/>
      </w:pPr>
      <w:r>
        <w:t xml:space="preserve">Criminal or Civil Clerk</w:t>
      </w:r>
    </w:p>
    <w:p>
      <w:pPr>
        <w:numPr>
          <w:ilvl w:val="0"/>
          <w:numId w:val="1002"/>
        </w:numPr>
        <w:pStyle w:val="Compact"/>
      </w:pPr>
      <w:r>
        <w:t xml:space="preserve">Appellate Clerk</w:t>
      </w:r>
    </w:p>
    <w:p>
      <w:pPr>
        <w:numPr>
          <w:ilvl w:val="0"/>
          <w:numId w:val="1002"/>
        </w:numPr>
        <w:pStyle w:val="Compact"/>
      </w:pPr>
      <w:r>
        <w:t xml:space="preserve">Judicial Services Assistant</w:t>
      </w:r>
    </w:p>
    <w:p>
      <w:pPr>
        <w:numPr>
          <w:ilvl w:val="0"/>
          <w:numId w:val="1002"/>
        </w:numPr>
        <w:pStyle w:val="Compact"/>
      </w:pPr>
      <w:r>
        <w:t xml:space="preserve">Court Operations Clerk</w:t>
      </w:r>
    </w:p>
    <w:p>
      <w:pPr>
        <w:numPr>
          <w:ilvl w:val="0"/>
          <w:numId w:val="1002"/>
        </w:numPr>
        <w:pStyle w:val="Compact"/>
      </w:pPr>
      <w:r>
        <w:t xml:space="preserve">Court Services Officer</w:t>
      </w:r>
    </w:p>
    <w:p>
      <w:pPr>
        <w:numPr>
          <w:ilvl w:val="0"/>
          <w:numId w:val="1002"/>
        </w:numPr>
        <w:pStyle w:val="Compact"/>
      </w:pPr>
      <w:r>
        <w:t xml:space="preserve">Court Liaison Officer</w:t>
      </w:r>
    </w:p>
    <w:p>
      <w:pPr>
        <w:numPr>
          <w:ilvl w:val="0"/>
          <w:numId w:val="1002"/>
        </w:numPr>
        <w:pStyle w:val="Compact"/>
      </w:pPr>
      <w:r>
        <w:t xml:space="preserve">Judicial Assistant</w:t>
      </w:r>
    </w:p>
    <w:p>
      <w:pPr>
        <w:numPr>
          <w:ilvl w:val="0"/>
          <w:numId w:val="1002"/>
        </w:numPr>
        <w:pStyle w:val="Compact"/>
      </w:pPr>
      <w:r>
        <w:t xml:space="preserve">Registry or Filing Clerk</w:t>
      </w:r>
    </w:p>
    <w:p>
      <w:pPr>
        <w:pStyle w:val="FirstParagraph"/>
      </w:pPr>
      <w:r>
        <w:t xml:space="preserve">Titles are not interchangeable. In particular,</w:t>
      </w:r>
      <w:r>
        <w:t xml:space="preserve"> </w:t>
      </w:r>
      <w:r>
        <w:rPr>
          <w:bCs/>
          <w:b/>
        </w:rPr>
        <w:t xml:space="preserve">judicial law clerk</w:t>
      </w:r>
      <w:r>
        <w:t xml:space="preserve"> </w:t>
      </w:r>
      <w:r>
        <w:t xml:space="preserve">can describe a legally trained role that is materially different from an administrative court clerk. U.S. federal staff-attorney and law-clerk roles generally involve legal analysis and have separate law-degree requirements.</w:t>
      </w:r>
    </w:p>
    <w:p>
      <w:pPr>
        <w:pStyle w:val="BodyText"/>
      </w:pPr>
      <w:r>
        <w:t xml:space="preserve">Potential workplaces include:</w:t>
      </w:r>
    </w:p>
    <w:p>
      <w:pPr>
        <w:numPr>
          <w:ilvl w:val="0"/>
          <w:numId w:val="1003"/>
        </w:numPr>
        <w:pStyle w:val="Compact"/>
      </w:pPr>
      <w:r>
        <w:t xml:space="preserve">trial courts;</w:t>
      </w:r>
    </w:p>
    <w:p>
      <w:pPr>
        <w:numPr>
          <w:ilvl w:val="0"/>
          <w:numId w:val="1003"/>
        </w:numPr>
        <w:pStyle w:val="Compact"/>
      </w:pPr>
      <w:r>
        <w:t xml:space="preserve">appellate courts;</w:t>
      </w:r>
    </w:p>
    <w:p>
      <w:pPr>
        <w:numPr>
          <w:ilvl w:val="0"/>
          <w:numId w:val="1003"/>
        </w:numPr>
        <w:pStyle w:val="Compact"/>
      </w:pPr>
      <w:r>
        <w:t xml:space="preserve">bankruptcy courts;</w:t>
      </w:r>
    </w:p>
    <w:p>
      <w:pPr>
        <w:numPr>
          <w:ilvl w:val="0"/>
          <w:numId w:val="1003"/>
        </w:numPr>
        <w:pStyle w:val="Compact"/>
      </w:pPr>
      <w:r>
        <w:t xml:space="preserve">administrative or specialized courts;</w:t>
      </w:r>
    </w:p>
    <w:p>
      <w:pPr>
        <w:numPr>
          <w:ilvl w:val="0"/>
          <w:numId w:val="1003"/>
        </w:numPr>
        <w:pStyle w:val="Compact"/>
      </w:pPr>
      <w:r>
        <w:t xml:space="preserve">federal, national, state/provincial, territorial, county, municipal, or local courts;</w:t>
      </w:r>
    </w:p>
    <w:p>
      <w:pPr>
        <w:numPr>
          <w:ilvl w:val="0"/>
          <w:numId w:val="1003"/>
        </w:numPr>
        <w:pStyle w:val="Compact"/>
      </w:pPr>
      <w:r>
        <w:t xml:space="preserve">judicial administrative offices;</w:t>
      </w:r>
    </w:p>
    <w:p>
      <w:pPr>
        <w:numPr>
          <w:ilvl w:val="0"/>
          <w:numId w:val="1003"/>
        </w:numPr>
        <w:pStyle w:val="Compact"/>
      </w:pPr>
      <w:r>
        <w:t xml:space="preserve">court registries;</w:t>
      </w:r>
    </w:p>
    <w:p>
      <w:pPr>
        <w:numPr>
          <w:ilvl w:val="0"/>
          <w:numId w:val="1003"/>
        </w:numPr>
        <w:pStyle w:val="Compact"/>
      </w:pPr>
      <w:r>
        <w:t xml:space="preserve">police or justice organizations where related court-services roles are located;</w:t>
      </w:r>
    </w:p>
    <w:p>
      <w:pPr>
        <w:numPr>
          <w:ilvl w:val="0"/>
          <w:numId w:val="1003"/>
        </w:numPr>
        <w:pStyle w:val="Compact"/>
      </w:pPr>
      <w:r>
        <w:t xml:space="preserve">specialized filing, records, jury, finance, intake, or courtroom units.</w:t>
      </w:r>
    </w:p>
    <w:p>
      <w:pPr>
        <w:pStyle w:val="FirstParagraph"/>
      </w:pPr>
      <w:r>
        <w:t xml:space="preserve">Always use the exact vacancy description to determine scope.</w:t>
      </w:r>
    </w:p>
    <w:p>
      <w:r>
        <w:pict>
          <v:rect style="width:0;height:1.5pt" o:hralign="center" o:hrstd="t" o:hr="t"/>
        </w:pict>
      </w:r>
    </w:p>
    <w:bookmarkEnd w:id="25"/>
    <w:bookmarkStart w:id="30" w:name="Xb53830a0db4d5c79876209215ecf7735ddaa875"/>
    <w:p>
      <w:pPr>
        <w:pStyle w:val="Heading2"/>
      </w:pPr>
      <w:r>
        <w:t xml:space="preserve">4. Daily work and responsibilities</w:t>
      </w:r>
    </w:p>
    <w:bookmarkStart w:id="26" w:name="intake-and-filing"/>
    <w:p>
      <w:pPr>
        <w:pStyle w:val="Heading3"/>
      </w:pPr>
      <w:r>
        <w:t xml:space="preserve">Intake and filing</w:t>
      </w:r>
    </w:p>
    <w:p>
      <w:pPr>
        <w:pStyle w:val="FirstParagraph"/>
      </w:pPr>
      <w:r>
        <w:t xml:space="preserve">Work may include receiving documents, checking required fields or procedural completeness, scanning or imaging, entering filing information, routing documents, recording receipt, collecting approved fees, and applying authorized filing procedures.</w:t>
      </w:r>
    </w:p>
    <w:p>
      <w:pPr>
        <w:pStyle w:val="BodyText"/>
      </w:pPr>
      <w:r>
        <w:t xml:space="preserve">A clerk may be required to identify a procedural deficiency. That does not necessarily authorize the clerk to advise a party how to win a case or what legal argument to make.</w:t>
      </w:r>
    </w:p>
    <w:bookmarkEnd w:id="26"/>
    <w:bookmarkStart w:id="27" w:name="docket-and-case-records"/>
    <w:p>
      <w:pPr>
        <w:pStyle w:val="Heading3"/>
      </w:pPr>
      <w:r>
        <w:t xml:space="preserve">Docket and case records</w:t>
      </w:r>
    </w:p>
    <w:p>
      <w:pPr>
        <w:pStyle w:val="FirstParagraph"/>
      </w:pPr>
      <w:r>
        <w:t xml:space="preserve">Tasks may include opening and closing cases, entering docket events, recording dispositions and orders, maintaining indexes, updating case status, transmitting notices, managing case files, and producing authorized records.</w:t>
      </w:r>
    </w:p>
    <w:p>
      <w:pPr>
        <w:pStyle w:val="BodyText"/>
      </w:pPr>
      <w:r>
        <w:t xml:space="preserve">Docket accuracy matters because the docket can become an official record of what occurred and when.</w:t>
      </w:r>
    </w:p>
    <w:bookmarkEnd w:id="27"/>
    <w:bookmarkStart w:id="28" w:name="courtroom-support"/>
    <w:p>
      <w:pPr>
        <w:pStyle w:val="Heading3"/>
      </w:pPr>
      <w:r>
        <w:t xml:space="preserve">Courtroom support</w:t>
      </w:r>
    </w:p>
    <w:p>
      <w:pPr>
        <w:pStyle w:val="FirstParagraph"/>
      </w:pPr>
      <w:r>
        <w:t xml:space="preserve">Depending on role and court, work may include:</w:t>
      </w:r>
    </w:p>
    <w:p>
      <w:pPr>
        <w:numPr>
          <w:ilvl w:val="0"/>
          <w:numId w:val="1004"/>
        </w:numPr>
        <w:pStyle w:val="Compact"/>
      </w:pPr>
      <w:r>
        <w:t xml:space="preserve">preparing the courtroom;</w:t>
      </w:r>
    </w:p>
    <w:p>
      <w:pPr>
        <w:numPr>
          <w:ilvl w:val="0"/>
          <w:numId w:val="1004"/>
        </w:numPr>
        <w:pStyle w:val="Compact"/>
      </w:pPr>
      <w:r>
        <w:t xml:space="preserve">confirming required participants;</w:t>
      </w:r>
    </w:p>
    <w:p>
      <w:pPr>
        <w:numPr>
          <w:ilvl w:val="0"/>
          <w:numId w:val="1004"/>
        </w:numPr>
        <w:pStyle w:val="Compact"/>
      </w:pPr>
      <w:r>
        <w:t xml:space="preserve">calling court to order;</w:t>
      </w:r>
    </w:p>
    <w:p>
      <w:pPr>
        <w:numPr>
          <w:ilvl w:val="0"/>
          <w:numId w:val="1004"/>
        </w:numPr>
        <w:pStyle w:val="Compact"/>
      </w:pPr>
      <w:r>
        <w:t xml:space="preserve">maintaining minutes or logs;</w:t>
      </w:r>
    </w:p>
    <w:p>
      <w:pPr>
        <w:numPr>
          <w:ilvl w:val="0"/>
          <w:numId w:val="1004"/>
        </w:numPr>
        <w:pStyle w:val="Compact"/>
      </w:pPr>
      <w:r>
        <w:t xml:space="preserve">operating approved recording systems;</w:t>
      </w:r>
    </w:p>
    <w:p>
      <w:pPr>
        <w:numPr>
          <w:ilvl w:val="0"/>
          <w:numId w:val="1004"/>
        </w:numPr>
        <w:pStyle w:val="Compact"/>
      </w:pPr>
      <w:r>
        <w:t xml:space="preserve">administering oaths when authorized;</w:t>
      </w:r>
    </w:p>
    <w:p>
      <w:pPr>
        <w:numPr>
          <w:ilvl w:val="0"/>
          <w:numId w:val="1004"/>
        </w:numPr>
        <w:pStyle w:val="Compact"/>
      </w:pPr>
      <w:r>
        <w:t xml:space="preserve">managing exhibits;</w:t>
      </w:r>
    </w:p>
    <w:p>
      <w:pPr>
        <w:numPr>
          <w:ilvl w:val="0"/>
          <w:numId w:val="1004"/>
        </w:numPr>
        <w:pStyle w:val="Compact"/>
      </w:pPr>
      <w:r>
        <w:t xml:space="preserve">recording rulings or events in approved systems;</w:t>
      </w:r>
    </w:p>
    <w:p>
      <w:pPr>
        <w:numPr>
          <w:ilvl w:val="0"/>
          <w:numId w:val="1004"/>
        </w:numPr>
        <w:pStyle w:val="Compact"/>
      </w:pPr>
      <w:r>
        <w:t xml:space="preserve">supporting jury workflow;</w:t>
      </w:r>
    </w:p>
    <w:p>
      <w:pPr>
        <w:numPr>
          <w:ilvl w:val="0"/>
          <w:numId w:val="1004"/>
        </w:numPr>
        <w:pStyle w:val="Compact"/>
      </w:pPr>
      <w:r>
        <w:t xml:space="preserve">coordinating interpreters and court reporters;</w:t>
      </w:r>
    </w:p>
    <w:p>
      <w:pPr>
        <w:numPr>
          <w:ilvl w:val="0"/>
          <w:numId w:val="1004"/>
        </w:numPr>
        <w:pStyle w:val="Compact"/>
      </w:pPr>
      <w:r>
        <w:t xml:space="preserve">processing orders after judicial approval.</w:t>
      </w:r>
    </w:p>
    <w:bookmarkEnd w:id="28"/>
    <w:bookmarkStart w:id="29" w:name="public-service"/>
    <w:p>
      <w:pPr>
        <w:pStyle w:val="Heading3"/>
      </w:pPr>
      <w:r>
        <w:t xml:space="preserve">Public service</w:t>
      </w:r>
    </w:p>
    <w:p>
      <w:pPr>
        <w:pStyle w:val="FirstParagraph"/>
      </w:pPr>
      <w:r>
        <w:t xml:space="preserve">Court employees frequently explain procedures, locations, forms, schedules, filing methods, payment methods, public-record access, and case-status information that the court is authorized to disclose.</w:t>
      </w:r>
    </w:p>
    <w:p>
      <w:pPr>
        <w:pStyle w:val="BodyText"/>
      </w:pPr>
      <w:r>
        <w:t xml:space="preserve">Good service is neutral and accurate. When a question crosses into legal advice or merits analysis, refer the person to the court’s approved resources or other appropriate channel rather than improvising.</w:t>
      </w:r>
    </w:p>
    <w:p>
      <w:r>
        <w:pict>
          <v:rect style="width:0;height:1.5pt" o:hralign="center" o:hrstd="t" o:hr="t"/>
        </w:pict>
      </w:r>
    </w:p>
    <w:bookmarkEnd w:id="29"/>
    <w:bookmarkEnd w:id="30"/>
    <w:bookmarkStart w:id="31" w:name="Xe2ea9fdd6a50516498b5f90bac2068c95fad8c2"/>
    <w:p>
      <w:pPr>
        <w:pStyle w:val="Heading2"/>
      </w:pPr>
      <w:r>
        <w:t xml:space="preserve">5. Core skills and technology</w:t>
      </w:r>
    </w:p>
    <w:p>
      <w:pPr>
        <w:pStyle w:val="FirstParagraph"/>
      </w:pPr>
      <w:r>
        <w:t xml:space="preserve">Useful skills include:</w:t>
      </w:r>
    </w:p>
    <w:p>
      <w:pPr>
        <w:numPr>
          <w:ilvl w:val="0"/>
          <w:numId w:val="1005"/>
        </w:numPr>
        <w:pStyle w:val="Compact"/>
      </w:pPr>
      <w:r>
        <w:t xml:space="preserve">extreme attention to detail;</w:t>
      </w:r>
    </w:p>
    <w:p>
      <w:pPr>
        <w:numPr>
          <w:ilvl w:val="0"/>
          <w:numId w:val="1005"/>
        </w:numPr>
        <w:pStyle w:val="Compact"/>
      </w:pPr>
      <w:r>
        <w:t xml:space="preserve">accurate data entry;</w:t>
      </w:r>
    </w:p>
    <w:p>
      <w:pPr>
        <w:numPr>
          <w:ilvl w:val="0"/>
          <w:numId w:val="1005"/>
        </w:numPr>
        <w:pStyle w:val="Compact"/>
      </w:pPr>
      <w:r>
        <w:t xml:space="preserve">reading and applying procedures;</w:t>
      </w:r>
    </w:p>
    <w:p>
      <w:pPr>
        <w:numPr>
          <w:ilvl w:val="0"/>
          <w:numId w:val="1005"/>
        </w:numPr>
        <w:pStyle w:val="Compact"/>
      </w:pPr>
      <w:r>
        <w:t xml:space="preserve">document review and proofreading;</w:t>
      </w:r>
    </w:p>
    <w:p>
      <w:pPr>
        <w:numPr>
          <w:ilvl w:val="0"/>
          <w:numId w:val="1005"/>
        </w:numPr>
        <w:pStyle w:val="Compact"/>
      </w:pPr>
      <w:r>
        <w:t xml:space="preserve">calendar and deadline control;</w:t>
      </w:r>
    </w:p>
    <w:p>
      <w:pPr>
        <w:numPr>
          <w:ilvl w:val="0"/>
          <w:numId w:val="1005"/>
        </w:numPr>
        <w:pStyle w:val="Compact"/>
      </w:pPr>
      <w:r>
        <w:t xml:space="preserve">professional public communication;</w:t>
      </w:r>
    </w:p>
    <w:p>
      <w:pPr>
        <w:numPr>
          <w:ilvl w:val="0"/>
          <w:numId w:val="1005"/>
        </w:numPr>
        <w:pStyle w:val="Compact"/>
      </w:pPr>
      <w:r>
        <w:t xml:space="preserve">de-escalation and tact;</w:t>
      </w:r>
    </w:p>
    <w:p>
      <w:pPr>
        <w:numPr>
          <w:ilvl w:val="0"/>
          <w:numId w:val="1005"/>
        </w:numPr>
        <w:pStyle w:val="Compact"/>
      </w:pPr>
      <w:r>
        <w:t xml:space="preserve">records organization;</w:t>
      </w:r>
    </w:p>
    <w:p>
      <w:pPr>
        <w:numPr>
          <w:ilvl w:val="0"/>
          <w:numId w:val="1005"/>
        </w:numPr>
        <w:pStyle w:val="Compact"/>
      </w:pPr>
      <w:r>
        <w:t xml:space="preserve">financial and fee accuracy where applicable;</w:t>
      </w:r>
    </w:p>
    <w:p>
      <w:pPr>
        <w:numPr>
          <w:ilvl w:val="0"/>
          <w:numId w:val="1005"/>
        </w:numPr>
        <w:pStyle w:val="Compact"/>
      </w:pPr>
      <w:r>
        <w:t xml:space="preserve">confidentiality and ethical judgment;</w:t>
      </w:r>
    </w:p>
    <w:p>
      <w:pPr>
        <w:numPr>
          <w:ilvl w:val="0"/>
          <w:numId w:val="1005"/>
        </w:numPr>
        <w:pStyle w:val="Compact"/>
      </w:pPr>
      <w:r>
        <w:t xml:space="preserve">source and rule verification;</w:t>
      </w:r>
    </w:p>
    <w:p>
      <w:pPr>
        <w:numPr>
          <w:ilvl w:val="0"/>
          <w:numId w:val="1005"/>
        </w:numPr>
        <w:pStyle w:val="Compact"/>
      </w:pPr>
      <w:r>
        <w:t xml:space="preserve">teamwork with judges, chambers, operations, security, lawyers, parties, interpreters, and other agencies;</w:t>
      </w:r>
    </w:p>
    <w:p>
      <w:pPr>
        <w:numPr>
          <w:ilvl w:val="0"/>
          <w:numId w:val="1005"/>
        </w:numPr>
        <w:pStyle w:val="Compact"/>
      </w:pPr>
      <w:r>
        <w:t xml:space="preserve">ability to distinguish an approved procedure from legal advice;</w:t>
      </w:r>
    </w:p>
    <w:p>
      <w:pPr>
        <w:numPr>
          <w:ilvl w:val="0"/>
          <w:numId w:val="1005"/>
        </w:numPr>
        <w:pStyle w:val="Compact"/>
      </w:pPr>
      <w:r>
        <w:t xml:space="preserve">ability to recognize when escalation is required.</w:t>
      </w:r>
    </w:p>
    <w:p>
      <w:pPr>
        <w:pStyle w:val="FirstParagraph"/>
      </w:pPr>
      <w:r>
        <w:t xml:space="preserve">Technology may include:</w:t>
      </w:r>
    </w:p>
    <w:p>
      <w:pPr>
        <w:numPr>
          <w:ilvl w:val="0"/>
          <w:numId w:val="1006"/>
        </w:numPr>
        <w:pStyle w:val="Compact"/>
      </w:pPr>
      <w:r>
        <w:t xml:space="preserve">electronic filing systems;</w:t>
      </w:r>
    </w:p>
    <w:p>
      <w:pPr>
        <w:numPr>
          <w:ilvl w:val="0"/>
          <w:numId w:val="1006"/>
        </w:numPr>
        <w:pStyle w:val="Compact"/>
      </w:pPr>
      <w:r>
        <w:t xml:space="preserve">case-management and docketing systems;</w:t>
      </w:r>
    </w:p>
    <w:p>
      <w:pPr>
        <w:numPr>
          <w:ilvl w:val="0"/>
          <w:numId w:val="1006"/>
        </w:numPr>
        <w:pStyle w:val="Compact"/>
      </w:pPr>
      <w:r>
        <w:t xml:space="preserve">digital court-recording systems;</w:t>
      </w:r>
    </w:p>
    <w:p>
      <w:pPr>
        <w:numPr>
          <w:ilvl w:val="0"/>
          <w:numId w:val="1006"/>
        </w:numPr>
        <w:pStyle w:val="Compact"/>
      </w:pPr>
      <w:r>
        <w:t xml:space="preserve">document-management and imaging tools;</w:t>
      </w:r>
    </w:p>
    <w:p>
      <w:pPr>
        <w:numPr>
          <w:ilvl w:val="0"/>
          <w:numId w:val="1006"/>
        </w:numPr>
        <w:pStyle w:val="Compact"/>
      </w:pPr>
      <w:r>
        <w:t xml:space="preserve">PDF and redaction tools;</w:t>
      </w:r>
    </w:p>
    <w:p>
      <w:pPr>
        <w:numPr>
          <w:ilvl w:val="0"/>
          <w:numId w:val="1006"/>
        </w:numPr>
        <w:pStyle w:val="Compact"/>
      </w:pPr>
      <w:r>
        <w:t xml:space="preserve">word processing and spreadsheets;</w:t>
      </w:r>
    </w:p>
    <w:p>
      <w:pPr>
        <w:numPr>
          <w:ilvl w:val="0"/>
          <w:numId w:val="1006"/>
        </w:numPr>
        <w:pStyle w:val="Compact"/>
      </w:pPr>
      <w:r>
        <w:t xml:space="preserve">scheduling and calendar systems;</w:t>
      </w:r>
    </w:p>
    <w:p>
      <w:pPr>
        <w:numPr>
          <w:ilvl w:val="0"/>
          <w:numId w:val="1006"/>
        </w:numPr>
        <w:pStyle w:val="Compact"/>
      </w:pPr>
      <w:r>
        <w:t xml:space="preserve">payment and receipting systems;</w:t>
      </w:r>
    </w:p>
    <w:p>
      <w:pPr>
        <w:numPr>
          <w:ilvl w:val="0"/>
          <w:numId w:val="1006"/>
        </w:numPr>
        <w:pStyle w:val="Compact"/>
      </w:pPr>
      <w:r>
        <w:t xml:space="preserve">jury-management systems;</w:t>
      </w:r>
    </w:p>
    <w:p>
      <w:pPr>
        <w:numPr>
          <w:ilvl w:val="0"/>
          <w:numId w:val="1006"/>
        </w:numPr>
        <w:pStyle w:val="Compact"/>
      </w:pPr>
      <w:r>
        <w:t xml:space="preserve">public-access portals;</w:t>
      </w:r>
    </w:p>
    <w:p>
      <w:pPr>
        <w:numPr>
          <w:ilvl w:val="0"/>
          <w:numId w:val="1006"/>
        </w:numPr>
        <w:pStyle w:val="Compact"/>
      </w:pPr>
      <w:r>
        <w:t xml:space="preserve">secure email and collaboration tools;</w:t>
      </w:r>
    </w:p>
    <w:p>
      <w:pPr>
        <w:numPr>
          <w:ilvl w:val="0"/>
          <w:numId w:val="1006"/>
        </w:numPr>
        <w:pStyle w:val="Compact"/>
      </w:pPr>
      <w:r>
        <w:t xml:space="preserve">video-hearing platforms;</w:t>
      </w:r>
    </w:p>
    <w:p>
      <w:pPr>
        <w:numPr>
          <w:ilvl w:val="0"/>
          <w:numId w:val="1006"/>
        </w:numPr>
        <w:pStyle w:val="Compact"/>
      </w:pPr>
      <w:r>
        <w:t xml:space="preserve">approved search, automation, or AI tools.</w:t>
      </w:r>
    </w:p>
    <w:p>
      <w:pPr>
        <w:pStyle w:val="FirstParagraph"/>
      </w:pPr>
      <w:r>
        <w:t xml:space="preserve">Do not claim proficiency in a court system you have never used. Instead, demonstrate transferable accuracy, records, workflow, and technology-learning skills.</w:t>
      </w:r>
    </w:p>
    <w:p>
      <w:r>
        <w:pict>
          <v:rect style="width:0;height:1.5pt" o:hralign="center" o:hrstd="t" o:hr="t"/>
        </w:pict>
      </w:r>
    </w:p>
    <w:bookmarkEnd w:id="31"/>
    <w:bookmarkStart w:id="35" w:name="Xe88a3003021403f8737d58dd63583ed9b61294c"/>
    <w:p>
      <w:pPr>
        <w:pStyle w:val="Heading2"/>
      </w:pPr>
      <w:r>
        <w:t xml:space="preserve">6. Entry requirements and employment controls</w:t>
      </w:r>
    </w:p>
    <w:bookmarkStart w:id="32" w:name="united-states-occupational-baseline"/>
    <w:p>
      <w:pPr>
        <w:pStyle w:val="Heading3"/>
      </w:pPr>
      <w:r>
        <w:t xml:space="preserve">United States occupational baseline</w:t>
      </w:r>
    </w:p>
    <w:p>
      <w:pPr>
        <w:pStyle w:val="FirstParagraph"/>
      </w:pPr>
      <w:r>
        <w:t xml:space="preserve">O</w:t>
      </w:r>
      <w:r>
        <w:rPr>
          <w:iCs/>
          <w:i/>
        </w:rPr>
        <w:t xml:space="preserve">NET classifies 43-4031.00 in</w:t>
      </w:r>
      <w:r>
        <w:rPr>
          <w:iCs/>
          <w:i/>
        </w:rPr>
        <w:t xml:space="preserve"> </w:t>
      </w:r>
      <w:r>
        <w:rPr>
          <w:bCs/>
          <w:b/>
          <w:iCs/>
          <w:i/>
        </w:rPr>
        <w:t xml:space="preserve">Job Zone 1–2: Very Little to Some Preparation Needed</w:t>
      </w:r>
      <w:r>
        <w:rPr>
          <w:iCs/>
          <w:i/>
        </w:rPr>
        <w:t xml:space="preserve"> </w:t>
      </w:r>
      <w:r>
        <w:rPr>
          <w:iCs/>
          <w:i/>
        </w:rPr>
        <w:t xml:space="preserve">and states that the occupation usually requires a high-school diploma or GED, although requirements vary. O</w:t>
      </w:r>
      <w:r>
        <w:t xml:space="preserve">NET reports training ranging from a few days to one year of on-the-job training.</w:t>
      </w:r>
    </w:p>
    <w:p>
      <w:pPr>
        <w:pStyle w:val="BodyText"/>
      </w:pPr>
      <w:r>
        <w:t xml:space="preserve">Its current education-response distribution shows:</w:t>
      </w:r>
    </w:p>
    <w:p>
      <w:pPr>
        <w:numPr>
          <w:ilvl w:val="0"/>
          <w:numId w:val="1007"/>
        </w:numPr>
        <w:pStyle w:val="Compact"/>
      </w:pPr>
      <w:r>
        <w:t xml:space="preserve">50% high-school diploma or equivalent;</w:t>
      </w:r>
    </w:p>
    <w:p>
      <w:pPr>
        <w:numPr>
          <w:ilvl w:val="0"/>
          <w:numId w:val="1007"/>
        </w:numPr>
        <w:pStyle w:val="Compact"/>
      </w:pPr>
      <w:r>
        <w:t xml:space="preserve">18% some college, no degree;</w:t>
      </w:r>
    </w:p>
    <w:p>
      <w:pPr>
        <w:numPr>
          <w:ilvl w:val="0"/>
          <w:numId w:val="1007"/>
        </w:numPr>
        <w:pStyle w:val="Compact"/>
      </w:pPr>
      <w:r>
        <w:t xml:space="preserve">13% associate’s degree.</w:t>
      </w:r>
    </w:p>
    <w:p>
      <w:pPr>
        <w:pStyle w:val="FirstParagraph"/>
      </w:pPr>
      <w:r>
        <w:t xml:space="preserve">These values describe the combined O*NET occupation and are not a universal court hiring rule.</w:t>
      </w:r>
    </w:p>
    <w:bookmarkEnd w:id="32"/>
    <w:bookmarkStart w:id="33" w:name="federal-judiciary-examples-1"/>
    <w:p>
      <w:pPr>
        <w:pStyle w:val="Heading3"/>
      </w:pPr>
      <w:r>
        <w:t xml:space="preserve">Federal Judiciary examples</w:t>
      </w:r>
    </w:p>
    <w:p>
      <w:pPr>
        <w:pStyle w:val="FirstParagraph"/>
      </w:pPr>
      <w:r>
        <w:t xml:space="preserve">Current 2026 federal courtroom-deputy vacancies show how requirements can be more demanding than the broad O*NET baseline. Examples include high-school graduation plus progressively responsible clerical or administrative experience, experience applying rules and specialized terminology, proficiency with automated systems, and strong communication, deadline, and accuracy skills. Some positions require specific levels of court experience.</w:t>
      </w:r>
    </w:p>
    <w:p>
      <w:pPr>
        <w:pStyle w:val="BodyText"/>
      </w:pPr>
      <w:r>
        <w:t xml:space="preserve">Federal positions may also have citizenship or employment-eligibility requirements, background investigations, fingerprinting, suitability requirements, classification rules, and Code of Conduct obligations.</w:t>
      </w:r>
    </w:p>
    <w:bookmarkEnd w:id="33"/>
    <w:bookmarkStart w:id="34" w:name="state-and-local-courts"/>
    <w:p>
      <w:pPr>
        <w:pStyle w:val="Heading3"/>
      </w:pPr>
      <w:r>
        <w:t xml:space="preserve">State and local courts</w:t>
      </w:r>
    </w:p>
    <w:p>
      <w:pPr>
        <w:pStyle w:val="FirstParagraph"/>
      </w:pPr>
      <w:r>
        <w:t xml:space="preserve">State, territorial, county, municipal, tribal, and specialty courts may use civil-service examinations, merit lists, background checks, typing tests, education requirements, bilingual requirements, residency rules, court-specific training, or other criteria.</w:t>
      </w:r>
    </w:p>
    <w:p>
      <w:pPr>
        <w:pStyle w:val="BodyText"/>
      </w:pPr>
      <w:r>
        <w:t xml:space="preserve">Never assume a federal requirement applies to a state/local court or vice versa.</w:t>
      </w:r>
    </w:p>
    <w:p>
      <w:r>
        <w:pict>
          <v:rect style="width:0;height:1.5pt" o:hralign="center" o:hrstd="t" o:hr="t"/>
        </w:pict>
      </w:r>
    </w:p>
    <w:bookmarkEnd w:id="34"/>
    <w:bookmarkEnd w:id="35"/>
    <w:bookmarkStart w:id="41" w:name="X5cb4942683a0bf17cced67b1dd643b4a5e4577b"/>
    <w:p>
      <w:pPr>
        <w:pStyle w:val="Heading2"/>
      </w:pPr>
      <w:r>
        <w:t xml:space="preserve">7. United States pathway</w:t>
      </w:r>
    </w:p>
    <w:bookmarkStart w:id="36" w:name="step-1--identify-the-exact-court-system"/>
    <w:p>
      <w:pPr>
        <w:pStyle w:val="Heading3"/>
      </w:pPr>
      <w:r>
        <w:t xml:space="preserve">Step 1 — Identify the exact court system</w:t>
      </w:r>
    </w:p>
    <w:p>
      <w:pPr>
        <w:pStyle w:val="FirstParagraph"/>
      </w:pPr>
      <w:r>
        <w:t xml:space="preserve">Decide whether you are targeting federal, state, county, municipal, territorial, tribal, administrative, bankruptcy, appellate, or another court system.</w:t>
      </w:r>
    </w:p>
    <w:bookmarkEnd w:id="36"/>
    <w:bookmarkStart w:id="37" w:name="Xc5080347b2f3ebf5145e4abfdb814c8270b9eda"/>
    <w:p>
      <w:pPr>
        <w:pStyle w:val="Heading3"/>
      </w:pPr>
      <w:r>
        <w:t xml:space="preserve">Step 2 — Read the vacancy and classification</w:t>
      </w:r>
    </w:p>
    <w:p>
      <w:pPr>
        <w:pStyle w:val="FirstParagraph"/>
      </w:pPr>
      <w:r>
        <w:t xml:space="preserve">Track:</w:t>
      </w:r>
    </w:p>
    <w:p>
      <w:pPr>
        <w:numPr>
          <w:ilvl w:val="0"/>
          <w:numId w:val="1008"/>
        </w:numPr>
        <w:pStyle w:val="Compact"/>
      </w:pPr>
      <w:r>
        <w:t xml:space="preserve">minimum education;</w:t>
      </w:r>
    </w:p>
    <w:p>
      <w:pPr>
        <w:numPr>
          <w:ilvl w:val="0"/>
          <w:numId w:val="1008"/>
        </w:numPr>
        <w:pStyle w:val="Compact"/>
      </w:pPr>
      <w:r>
        <w:t xml:space="preserve">clerical/administrative experience;</w:t>
      </w:r>
    </w:p>
    <w:p>
      <w:pPr>
        <w:numPr>
          <w:ilvl w:val="0"/>
          <w:numId w:val="1008"/>
        </w:numPr>
        <w:pStyle w:val="Compact"/>
      </w:pPr>
      <w:r>
        <w:t xml:space="preserve">court or legal experience;</w:t>
      </w:r>
    </w:p>
    <w:p>
      <w:pPr>
        <w:numPr>
          <w:ilvl w:val="0"/>
          <w:numId w:val="1008"/>
        </w:numPr>
        <w:pStyle w:val="Compact"/>
      </w:pPr>
      <w:r>
        <w:t xml:space="preserve">typing/data-entry requirements;</w:t>
      </w:r>
    </w:p>
    <w:p>
      <w:pPr>
        <w:numPr>
          <w:ilvl w:val="0"/>
          <w:numId w:val="1008"/>
        </w:numPr>
        <w:pStyle w:val="Compact"/>
      </w:pPr>
      <w:r>
        <w:t xml:space="preserve">software expectations;</w:t>
      </w:r>
    </w:p>
    <w:p>
      <w:pPr>
        <w:numPr>
          <w:ilvl w:val="0"/>
          <w:numId w:val="1008"/>
        </w:numPr>
        <w:pStyle w:val="Compact"/>
      </w:pPr>
      <w:r>
        <w:t xml:space="preserve">civil-service or merit-system procedures;</w:t>
      </w:r>
    </w:p>
    <w:p>
      <w:pPr>
        <w:numPr>
          <w:ilvl w:val="0"/>
          <w:numId w:val="1008"/>
        </w:numPr>
        <w:pStyle w:val="Compact"/>
      </w:pPr>
      <w:r>
        <w:t xml:space="preserve">background/suitability requirements;</w:t>
      </w:r>
    </w:p>
    <w:p>
      <w:pPr>
        <w:numPr>
          <w:ilvl w:val="0"/>
          <w:numId w:val="1008"/>
        </w:numPr>
        <w:pStyle w:val="Compact"/>
      </w:pPr>
      <w:r>
        <w:t xml:space="preserve">citizenship/work-authorization conditions;</w:t>
      </w:r>
    </w:p>
    <w:p>
      <w:pPr>
        <w:numPr>
          <w:ilvl w:val="0"/>
          <w:numId w:val="1008"/>
        </w:numPr>
        <w:pStyle w:val="Compact"/>
      </w:pPr>
      <w:r>
        <w:t xml:space="preserve">schedule and overtime;</w:t>
      </w:r>
    </w:p>
    <w:p>
      <w:pPr>
        <w:numPr>
          <w:ilvl w:val="0"/>
          <w:numId w:val="1008"/>
        </w:numPr>
        <w:pStyle w:val="Compact"/>
      </w:pPr>
      <w:r>
        <w:t xml:space="preserve">public-contact expectations;</w:t>
      </w:r>
    </w:p>
    <w:p>
      <w:pPr>
        <w:numPr>
          <w:ilvl w:val="0"/>
          <w:numId w:val="1008"/>
        </w:numPr>
        <w:pStyle w:val="Compact"/>
      </w:pPr>
      <w:r>
        <w:t xml:space="preserve">language requirements;</w:t>
      </w:r>
    </w:p>
    <w:p>
      <w:pPr>
        <w:numPr>
          <w:ilvl w:val="0"/>
          <w:numId w:val="1008"/>
        </w:numPr>
        <w:pStyle w:val="Compact"/>
      </w:pPr>
      <w:r>
        <w:t xml:space="preserve">application forms and deadlines.</w:t>
      </w:r>
    </w:p>
    <w:bookmarkEnd w:id="37"/>
    <w:bookmarkStart w:id="38" w:name="X2a9c17dd402209cda2d9c5f8387c5493c2a2be6"/>
    <w:p>
      <w:pPr>
        <w:pStyle w:val="Heading3"/>
      </w:pPr>
      <w:r>
        <w:t xml:space="preserve">Step 3 — Build transferable court-ready skills</w:t>
      </w:r>
    </w:p>
    <w:p>
      <w:pPr>
        <w:pStyle w:val="FirstParagraph"/>
      </w:pPr>
      <w:r>
        <w:t xml:space="preserve">Practice with public or fictional information:</w:t>
      </w:r>
    </w:p>
    <w:p>
      <w:pPr>
        <w:numPr>
          <w:ilvl w:val="0"/>
          <w:numId w:val="1009"/>
        </w:numPr>
        <w:pStyle w:val="Compact"/>
      </w:pPr>
      <w:r>
        <w:t xml:space="preserve">procedural checklists;</w:t>
      </w:r>
    </w:p>
    <w:p>
      <w:pPr>
        <w:numPr>
          <w:ilvl w:val="0"/>
          <w:numId w:val="1009"/>
        </w:numPr>
        <w:pStyle w:val="Compact"/>
      </w:pPr>
      <w:r>
        <w:t xml:space="preserve">docket-style data entry;</w:t>
      </w:r>
    </w:p>
    <w:p>
      <w:pPr>
        <w:numPr>
          <w:ilvl w:val="0"/>
          <w:numId w:val="1009"/>
        </w:numPr>
        <w:pStyle w:val="Compact"/>
      </w:pPr>
      <w:r>
        <w:t xml:space="preserve">calendar control;</w:t>
      </w:r>
    </w:p>
    <w:p>
      <w:pPr>
        <w:numPr>
          <w:ilvl w:val="0"/>
          <w:numId w:val="1009"/>
        </w:numPr>
        <w:pStyle w:val="Compact"/>
      </w:pPr>
      <w:r>
        <w:t xml:space="preserve">document naming and indexing;</w:t>
      </w:r>
    </w:p>
    <w:p>
      <w:pPr>
        <w:numPr>
          <w:ilvl w:val="0"/>
          <w:numId w:val="1009"/>
        </w:numPr>
        <w:pStyle w:val="Compact"/>
      </w:pPr>
      <w:r>
        <w:t xml:space="preserve">PDF comparison;</w:t>
      </w:r>
    </w:p>
    <w:p>
      <w:pPr>
        <w:numPr>
          <w:ilvl w:val="0"/>
          <w:numId w:val="1009"/>
        </w:numPr>
        <w:pStyle w:val="Compact"/>
      </w:pPr>
      <w:r>
        <w:t xml:space="preserve">redaction exercises using fictitious data;</w:t>
      </w:r>
    </w:p>
    <w:p>
      <w:pPr>
        <w:numPr>
          <w:ilvl w:val="0"/>
          <w:numId w:val="1009"/>
        </w:numPr>
        <w:pStyle w:val="Compact"/>
      </w:pPr>
      <w:r>
        <w:t xml:space="preserve">fee reconciliation exercises;</w:t>
      </w:r>
    </w:p>
    <w:p>
      <w:pPr>
        <w:numPr>
          <w:ilvl w:val="0"/>
          <w:numId w:val="1009"/>
        </w:numPr>
        <w:pStyle w:val="Compact"/>
      </w:pPr>
      <w:r>
        <w:t xml:space="preserve">customer-service scenarios;</w:t>
      </w:r>
    </w:p>
    <w:p>
      <w:pPr>
        <w:numPr>
          <w:ilvl w:val="0"/>
          <w:numId w:val="1009"/>
        </w:numPr>
        <w:pStyle w:val="Compact"/>
      </w:pPr>
      <w:r>
        <w:t xml:space="preserve">escalation decisions;</w:t>
      </w:r>
    </w:p>
    <w:p>
      <w:pPr>
        <w:numPr>
          <w:ilvl w:val="0"/>
          <w:numId w:val="1009"/>
        </w:numPr>
        <w:pStyle w:val="Compact"/>
      </w:pPr>
      <w:r>
        <w:t xml:space="preserve">secure records handling.</w:t>
      </w:r>
    </w:p>
    <w:bookmarkEnd w:id="38"/>
    <w:bookmarkStart w:id="39" w:name="step-4--learn-the-local-court"/>
    <w:p>
      <w:pPr>
        <w:pStyle w:val="Heading3"/>
      </w:pPr>
      <w:r>
        <w:t xml:space="preserve">Step 4 — Learn the local court</w:t>
      </w:r>
    </w:p>
    <w:p>
      <w:pPr>
        <w:pStyle w:val="FirstParagraph"/>
      </w:pPr>
      <w:r>
        <w:t xml:space="preserve">Before an interview, review the court’s official website, jurisdiction, divisions, public-access resources, electronic-filing information, local rules, accessibility process, and current job announcement.</w:t>
      </w:r>
    </w:p>
    <w:bookmarkEnd w:id="39"/>
    <w:bookmarkStart w:id="40" w:name="step-5--apply-precisely"/>
    <w:p>
      <w:pPr>
        <w:pStyle w:val="Heading3"/>
      </w:pPr>
      <w:r>
        <w:t xml:space="preserve">Step 5 — Apply precisely</w:t>
      </w:r>
    </w:p>
    <w:p>
      <w:pPr>
        <w:pStyle w:val="FirstParagraph"/>
      </w:pPr>
      <w:r>
        <w:t xml:space="preserve">Judiciary applications can be strict. Submit every requested form and attachment, follow file-format instructions, and meet the stated deadline.</w:t>
      </w:r>
    </w:p>
    <w:p>
      <w:r>
        <w:pict>
          <v:rect style="width:0;height:1.5pt" o:hralign="center" o:hrstd="t" o:hr="t"/>
        </w:pict>
      </w:r>
    </w:p>
    <w:bookmarkEnd w:id="40"/>
    <w:bookmarkEnd w:id="41"/>
    <w:bookmarkStart w:id="42" w:name="Xe53efcf2267810efabef293def0a3aa349b6cf5"/>
    <w:p>
      <w:pPr>
        <w:pStyle w:val="Heading2"/>
      </w:pPr>
      <w:r>
        <w:t xml:space="preserve">8. Canada pathway</w:t>
      </w:r>
    </w:p>
    <w:p>
      <w:pPr>
        <w:pStyle w:val="FirstParagraph"/>
      </w:pPr>
      <w:r>
        <w:t xml:space="preserve">Government of Canada Job Bank maps</w:t>
      </w:r>
      <w:r>
        <w:t xml:space="preserve"> </w:t>
      </w:r>
      <w:r>
        <w:rPr>
          <w:bCs/>
          <w:b/>
        </w:rPr>
        <w:t xml:space="preserve">Court clerks and related court services occupations to NOC 14103</w:t>
      </w:r>
      <w:r>
        <w:t xml:space="preserve">.</w:t>
      </w:r>
    </w:p>
    <w:p>
      <w:pPr>
        <w:pStyle w:val="BodyText"/>
      </w:pPr>
      <w:r>
        <w:t xml:space="preserve">Job Bank describes work such as scheduling trials, processing service fees, calling court to order, preparing dockets, maintaining exhibits, recording proceedings, maintaining court records, supporting security and public safety, liaising with law enforcement, and supporting the judiciary.</w:t>
      </w:r>
    </w:p>
    <w:p>
      <w:pPr>
        <w:pStyle w:val="BodyText"/>
      </w:pPr>
      <w:r>
        <w:t xml:space="preserve">The current national Job Bank summary reports a</w:t>
      </w:r>
      <w:r>
        <w:t xml:space="preserve"> </w:t>
      </w:r>
      <w:r>
        <w:rPr>
          <w:bCs/>
          <w:b/>
        </w:rPr>
        <w:t xml:space="preserve">C$29.81/hour median wage</w:t>
      </w:r>
      <w:r>
        <w:t xml:space="preserve">. This is a national reference value, not a guaranteed offer.</w:t>
      </w:r>
    </w:p>
    <w:p>
      <w:pPr>
        <w:pStyle w:val="BodyText"/>
      </w:pPr>
      <w:r>
        <w:t xml:space="preserve">Job Bank currently indicates:</w:t>
      </w:r>
    </w:p>
    <w:p>
      <w:pPr>
        <w:numPr>
          <w:ilvl w:val="0"/>
          <w:numId w:val="1010"/>
        </w:numPr>
        <w:pStyle w:val="Compact"/>
      </w:pPr>
      <w:r>
        <w:t xml:space="preserve">completion of secondary school is required;</w:t>
      </w:r>
    </w:p>
    <w:p>
      <w:pPr>
        <w:numPr>
          <w:ilvl w:val="0"/>
          <w:numId w:val="1010"/>
        </w:numPr>
        <w:pStyle w:val="Compact"/>
      </w:pPr>
      <w:r>
        <w:t xml:space="preserve">on-the-job training is provided for court officers, court clerks, and court liaison officers;</w:t>
      </w:r>
    </w:p>
    <w:p>
      <w:pPr>
        <w:numPr>
          <w:ilvl w:val="0"/>
          <w:numId w:val="1010"/>
        </w:numPr>
        <w:pStyle w:val="Compact"/>
      </w:pPr>
      <w:r>
        <w:t xml:space="preserve">some court-clerk or court-officer roles may require a 1–2 year post-secondary diploma in office administration or equivalent;</w:t>
      </w:r>
    </w:p>
    <w:p>
      <w:pPr>
        <w:numPr>
          <w:ilvl w:val="0"/>
          <w:numId w:val="1010"/>
        </w:numPr>
        <w:pStyle w:val="Compact"/>
      </w:pPr>
      <w:r>
        <w:t xml:space="preserve">Special Constable Certification may be required for court officers and court liaison officers;</w:t>
      </w:r>
    </w:p>
    <w:p>
      <w:pPr>
        <w:numPr>
          <w:ilvl w:val="0"/>
          <w:numId w:val="1010"/>
        </w:numPr>
        <w:pStyle w:val="Compact"/>
      </w:pPr>
      <w:r>
        <w:t xml:space="preserve">the NOC occupation is not listed by Job Bank as a nationally regulated occupation.</w:t>
      </w:r>
    </w:p>
    <w:p>
      <w:pPr>
        <w:pStyle w:val="FirstParagraph"/>
      </w:pPr>
      <w:r>
        <w:t xml:space="preserve">“Not regulated” does not mean every Canadian court has identical hiring rules. Verify the exact federal, provincial, territorial, municipal, police, or court employer requirements.</w:t>
      </w:r>
    </w:p>
    <w:p>
      <w:r>
        <w:pict>
          <v:rect style="width:0;height:1.5pt" o:hralign="center" o:hrstd="t" o:hr="t"/>
        </w:pict>
      </w:r>
    </w:p>
    <w:bookmarkEnd w:id="42"/>
    <w:bookmarkStart w:id="45" w:name="Xbece8180e848bf7af0291ff2680052198e2c75d"/>
    <w:p>
      <w:pPr>
        <w:pStyle w:val="Heading2"/>
      </w:pPr>
      <w:r>
        <w:t xml:space="preserve">9. Colombia and Latin America pathway</w:t>
      </w:r>
    </w:p>
    <w:p>
      <w:pPr>
        <w:pStyle w:val="FirstParagraph"/>
      </w:pPr>
      <w:r>
        <w:t xml:space="preserve">Court systems and employment classifications vary substantially across Latin America. Do not translate a U.S. “court clerk” title into a local title and assume the same authority.</w:t>
      </w:r>
    </w:p>
    <w:bookmarkStart w:id="43" w:name="colombia"/>
    <w:p>
      <w:pPr>
        <w:pStyle w:val="Heading3"/>
      </w:pPr>
      <w:r>
        <w:t xml:space="preserve">Colombia</w:t>
      </w:r>
    </w:p>
    <w:p>
      <w:pPr>
        <w:pStyle w:val="FirstParagraph"/>
      </w:pPr>
      <w:r>
        <w:t xml:space="preserve">Colombia’s Rama Judicial includes courts and tribunals across different jurisdictions as well as judicial-administration bodies.</w:t>
      </w:r>
    </w:p>
    <w:p>
      <w:pPr>
        <w:pStyle w:val="BodyText"/>
      </w:pPr>
      <w:r>
        <w:t xml:space="preserve">The current statutory framework distinguishes certain judicial</w:t>
      </w:r>
      <w:r>
        <w:t xml:space="preserve"> </w:t>
      </w:r>
      <w:r>
        <w:rPr>
          <w:bCs/>
          <w:b/>
        </w:rPr>
        <w:t xml:space="preserve">funcionarios</w:t>
      </w:r>
      <w:r>
        <w:t xml:space="preserve">, such as magistrates and judges, from other</w:t>
      </w:r>
      <w:r>
        <w:t xml:space="preserve"> </w:t>
      </w:r>
      <w:r>
        <w:rPr>
          <w:bCs/>
          <w:b/>
        </w:rPr>
        <w:t xml:space="preserve">empleados</w:t>
      </w:r>
      <w:r>
        <w:t xml:space="preserve"> </w:t>
      </w:r>
      <w:r>
        <w:t xml:space="preserve">working in judicial corporations, chambers, and administrative judicial entities.</w:t>
      </w:r>
    </w:p>
    <w:p>
      <w:pPr>
        <w:pStyle w:val="BodyText"/>
      </w:pPr>
      <w:r>
        <w:t xml:space="preserve">That distinction matters: working in a judicial office does not make an employee a judge or grant the employee independent adjudicative authority.</w:t>
      </w:r>
    </w:p>
    <w:p>
      <w:pPr>
        <w:pStyle w:val="BodyText"/>
      </w:pPr>
      <w:r>
        <w:t xml:space="preserve">An official Colombian example for</w:t>
      </w:r>
      <w:r>
        <w:t xml:space="preserve"> </w:t>
      </w:r>
      <w:r>
        <w:rPr>
          <w:bCs/>
          <w:b/>
        </w:rPr>
        <w:t xml:space="preserve">Auxiliar Judicial (Grado 4)</w:t>
      </w:r>
      <w:r>
        <w:t xml:space="preserve"> </w:t>
      </w:r>
      <w:r>
        <w:t xml:space="preserve">describes support functions within a Secretaría Judicial such as:</w:t>
      </w:r>
    </w:p>
    <w:p>
      <w:pPr>
        <w:numPr>
          <w:ilvl w:val="0"/>
          <w:numId w:val="1011"/>
        </w:numPr>
        <w:pStyle w:val="Compact"/>
      </w:pPr>
      <w:r>
        <w:t xml:space="preserve">reviewing documents or memorials and applying the legally appropriate processing within the role;</w:t>
      </w:r>
    </w:p>
    <w:p>
      <w:pPr>
        <w:numPr>
          <w:ilvl w:val="0"/>
          <w:numId w:val="1011"/>
        </w:numPr>
        <w:pStyle w:val="Compact"/>
      </w:pPr>
      <w:r>
        <w:t xml:space="preserve">organizing and updating records and management files;</w:t>
      </w:r>
    </w:p>
    <w:p>
      <w:pPr>
        <w:numPr>
          <w:ilvl w:val="0"/>
          <w:numId w:val="1011"/>
        </w:numPr>
        <w:pStyle w:val="Compact"/>
      </w:pPr>
      <w:r>
        <w:t xml:space="preserve">carrying out orders contained in judicial decisions;</w:t>
      </w:r>
    </w:p>
    <w:p>
      <w:pPr>
        <w:numPr>
          <w:ilvl w:val="0"/>
          <w:numId w:val="1011"/>
        </w:numPr>
        <w:pStyle w:val="Compact"/>
      </w:pPr>
      <w:r>
        <w:t xml:space="preserve">registering procedural actions in authorized information systems;</w:t>
      </w:r>
    </w:p>
    <w:p>
      <w:pPr>
        <w:numPr>
          <w:ilvl w:val="0"/>
          <w:numId w:val="1011"/>
        </w:numPr>
        <w:pStyle w:val="Compact"/>
      </w:pPr>
      <w:r>
        <w:t xml:space="preserve">performing notifications according to the applicable legal framework.</w:t>
      </w:r>
    </w:p>
    <w:p>
      <w:pPr>
        <w:pStyle w:val="FirstParagraph"/>
      </w:pPr>
      <w:r>
        <w:t xml:space="preserve">This is a specific institutional role example, not a universal description for every Colombian</w:t>
      </w:r>
      <w:r>
        <w:t xml:space="preserve"> </w:t>
      </w:r>
      <w:r>
        <w:rPr>
          <w:rStyle w:val="VerbatimChar"/>
        </w:rPr>
        <w:t xml:space="preserve">auxiliar judicial</w:t>
      </w:r>
      <w:r>
        <w:t xml:space="preserve">,</w:t>
      </w:r>
      <w:r>
        <w:t xml:space="preserve"> </w:t>
      </w:r>
      <w:r>
        <w:rPr>
          <w:rStyle w:val="VerbatimChar"/>
        </w:rPr>
        <w:t xml:space="preserve">secretario</w:t>
      </w:r>
      <w:r>
        <w:t xml:space="preserve">,</w:t>
      </w:r>
      <w:r>
        <w:t xml:space="preserve"> </w:t>
      </w:r>
      <w:r>
        <w:rPr>
          <w:rStyle w:val="VerbatimChar"/>
        </w:rPr>
        <w:t xml:space="preserve">dependiente</w:t>
      </w:r>
      <w:r>
        <w:t xml:space="preserve">, or other justice-sector title.</w:t>
      </w:r>
    </w:p>
    <w:bookmarkEnd w:id="43"/>
    <w:bookmarkStart w:id="44" w:name="practical-verification-in-latin-america"/>
    <w:p>
      <w:pPr>
        <w:pStyle w:val="Heading3"/>
      </w:pPr>
      <w:r>
        <w:t xml:space="preserve">Practical verification in Latin America</w:t>
      </w:r>
    </w:p>
    <w:p>
      <w:pPr>
        <w:pStyle w:val="FirstParagraph"/>
      </w:pPr>
      <w:r>
        <w:t xml:space="preserve">Before training or applying:</w:t>
      </w:r>
    </w:p>
    <w:p>
      <w:pPr>
        <w:numPr>
          <w:ilvl w:val="0"/>
          <w:numId w:val="1012"/>
        </w:numPr>
        <w:pStyle w:val="Compact"/>
      </w:pPr>
      <w:r>
        <w:t xml:space="preserve">identify the official judiciary or court authority;</w:t>
      </w:r>
    </w:p>
    <w:p>
      <w:pPr>
        <w:numPr>
          <w:ilvl w:val="0"/>
          <w:numId w:val="1012"/>
        </w:numPr>
        <w:pStyle w:val="Compact"/>
      </w:pPr>
      <w:r>
        <w:t xml:space="preserve">identify the formal employment classification;</w:t>
      </w:r>
    </w:p>
    <w:p>
      <w:pPr>
        <w:numPr>
          <w:ilvl w:val="0"/>
          <w:numId w:val="1012"/>
        </w:numPr>
        <w:pStyle w:val="Compact"/>
      </w:pPr>
      <w:r>
        <w:t xml:space="preserve">verify eligibility, examination, education, appointment, and background rules;</w:t>
      </w:r>
    </w:p>
    <w:p>
      <w:pPr>
        <w:numPr>
          <w:ilvl w:val="0"/>
          <w:numId w:val="1012"/>
        </w:numPr>
        <w:pStyle w:val="Compact"/>
      </w:pPr>
      <w:r>
        <w:t xml:space="preserve">distinguish employee duties from judge, lawyer, prosecutor, notary, or other regulated-professional authority;</w:t>
      </w:r>
    </w:p>
    <w:p>
      <w:pPr>
        <w:numPr>
          <w:ilvl w:val="0"/>
          <w:numId w:val="1012"/>
        </w:numPr>
        <w:pStyle w:val="Compact"/>
      </w:pPr>
      <w:r>
        <w:t xml:space="preserve">verify salary and benefits through current official vacancy or payroll sources;</w:t>
      </w:r>
    </w:p>
    <w:p>
      <w:pPr>
        <w:numPr>
          <w:ilvl w:val="0"/>
          <w:numId w:val="1012"/>
        </w:numPr>
        <w:pStyle w:val="Compact"/>
      </w:pPr>
      <w:r>
        <w:t xml:space="preserve">verify education programs through the country’s official education-recognition system.</w:t>
      </w:r>
    </w:p>
    <w:p>
      <w:r>
        <w:pict>
          <v:rect style="width:0;height:1.5pt" o:hralign="center" o:hrstd="t" o:hr="t"/>
        </w:pict>
      </w:r>
    </w:p>
    <w:bookmarkEnd w:id="44"/>
    <w:bookmarkEnd w:id="45"/>
    <w:bookmarkStart w:id="46" w:name="X5d7512170821a6811f6810777861061fcad820e"/>
    <w:p>
      <w:pPr>
        <w:pStyle w:val="Heading2"/>
      </w:pPr>
      <w:r>
        <w:t xml:space="preserve">10. Free and low-cost learning strategy</w:t>
      </w:r>
    </w:p>
    <w:p>
      <w:pPr>
        <w:pStyle w:val="FirstParagraph"/>
      </w:pPr>
      <w:r>
        <w:t xml:space="preserve">Start with resources that do not require paying a private provider:</w:t>
      </w:r>
    </w:p>
    <w:p>
      <w:pPr>
        <w:numPr>
          <w:ilvl w:val="0"/>
          <w:numId w:val="1013"/>
        </w:numPr>
        <w:pStyle w:val="Compact"/>
      </w:pPr>
      <w:r>
        <w:t xml:space="preserve">official court and judiciary websites;</w:t>
      </w:r>
    </w:p>
    <w:p>
      <w:pPr>
        <w:numPr>
          <w:ilvl w:val="0"/>
          <w:numId w:val="1013"/>
        </w:numPr>
        <w:pStyle w:val="Compact"/>
      </w:pPr>
      <w:r>
        <w:t xml:space="preserve">O*NET and government labor-market resources;</w:t>
      </w:r>
    </w:p>
    <w:p>
      <w:pPr>
        <w:numPr>
          <w:ilvl w:val="0"/>
          <w:numId w:val="1013"/>
        </w:numPr>
        <w:pStyle w:val="Compact"/>
      </w:pPr>
      <w:r>
        <w:t xml:space="preserve">public libraries;</w:t>
      </w:r>
    </w:p>
    <w:p>
      <w:pPr>
        <w:numPr>
          <w:ilvl w:val="0"/>
          <w:numId w:val="1013"/>
        </w:numPr>
        <w:pStyle w:val="Compact"/>
      </w:pPr>
      <w:r>
        <w:t xml:space="preserve">public court forms and procedural guides;</w:t>
      </w:r>
    </w:p>
    <w:p>
      <w:pPr>
        <w:numPr>
          <w:ilvl w:val="0"/>
          <w:numId w:val="1013"/>
        </w:numPr>
        <w:pStyle w:val="Compact"/>
      </w:pPr>
      <w:r>
        <w:t xml:space="preserve">public workforce centers;</w:t>
      </w:r>
    </w:p>
    <w:p>
      <w:pPr>
        <w:numPr>
          <w:ilvl w:val="0"/>
          <w:numId w:val="1013"/>
        </w:numPr>
        <w:pStyle w:val="Compact"/>
      </w:pPr>
      <w:r>
        <w:t xml:space="preserve">employer onboarding and supervised training;</w:t>
      </w:r>
    </w:p>
    <w:p>
      <w:pPr>
        <w:numPr>
          <w:ilvl w:val="0"/>
          <w:numId w:val="1013"/>
        </w:numPr>
        <w:pStyle w:val="Compact"/>
      </w:pPr>
      <w:r>
        <w:t xml:space="preserve">recognized community-college, technical, or public training only when job evidence shows it is useful;</w:t>
      </w:r>
    </w:p>
    <w:p>
      <w:pPr>
        <w:numPr>
          <w:ilvl w:val="0"/>
          <w:numId w:val="1013"/>
        </w:numPr>
        <w:pStyle w:val="Compact"/>
      </w:pPr>
      <w:r>
        <w:t xml:space="preserve">paid private programs only after verifying employer demand and total cost.</w:t>
      </w:r>
    </w:p>
    <w:p>
      <w:pPr>
        <w:pStyle w:val="FirstParagraph"/>
      </w:pPr>
      <w:r>
        <w:t xml:space="preserve">Safe practice exercises include:</w:t>
      </w:r>
    </w:p>
    <w:p>
      <w:pPr>
        <w:numPr>
          <w:ilvl w:val="0"/>
          <w:numId w:val="1014"/>
        </w:numPr>
        <w:pStyle w:val="Compact"/>
      </w:pPr>
      <w:r>
        <w:t xml:space="preserve">organizing fictional case files;</w:t>
      </w:r>
    </w:p>
    <w:p>
      <w:pPr>
        <w:numPr>
          <w:ilvl w:val="0"/>
          <w:numId w:val="1014"/>
        </w:numPr>
        <w:pStyle w:val="Compact"/>
      </w:pPr>
      <w:r>
        <w:t xml:space="preserve">building a deadline calendar from a fictional rule set;</w:t>
      </w:r>
    </w:p>
    <w:p>
      <w:pPr>
        <w:numPr>
          <w:ilvl w:val="0"/>
          <w:numId w:val="1014"/>
        </w:numPr>
        <w:pStyle w:val="Compact"/>
      </w:pPr>
      <w:r>
        <w:t xml:space="preserve">checking a fictional filing for required fields;</w:t>
      </w:r>
    </w:p>
    <w:p>
      <w:pPr>
        <w:numPr>
          <w:ilvl w:val="0"/>
          <w:numId w:val="1014"/>
        </w:numPr>
        <w:pStyle w:val="Compact"/>
      </w:pPr>
      <w:r>
        <w:t xml:space="preserve">creating a public-information versus legal-advice decision tree;</w:t>
      </w:r>
    </w:p>
    <w:p>
      <w:pPr>
        <w:numPr>
          <w:ilvl w:val="0"/>
          <w:numId w:val="1014"/>
        </w:numPr>
        <w:pStyle w:val="Compact"/>
      </w:pPr>
      <w:r>
        <w:t xml:space="preserve">practicing fee reconciliation with invented transactions;</w:t>
      </w:r>
    </w:p>
    <w:p>
      <w:pPr>
        <w:numPr>
          <w:ilvl w:val="0"/>
          <w:numId w:val="1014"/>
        </w:numPr>
        <w:pStyle w:val="Compact"/>
      </w:pPr>
      <w:r>
        <w:t xml:space="preserve">comparing two public PDF documents;</w:t>
      </w:r>
    </w:p>
    <w:p>
      <w:pPr>
        <w:numPr>
          <w:ilvl w:val="0"/>
          <w:numId w:val="1014"/>
        </w:numPr>
        <w:pStyle w:val="Compact"/>
      </w:pPr>
      <w:r>
        <w:t xml:space="preserve">redacting fictional identifiers;</w:t>
      </w:r>
    </w:p>
    <w:p>
      <w:pPr>
        <w:numPr>
          <w:ilvl w:val="0"/>
          <w:numId w:val="1014"/>
        </w:numPr>
        <w:pStyle w:val="Compact"/>
      </w:pPr>
      <w:r>
        <w:t xml:space="preserve">practicing courteous responses to difficult public-service situations;</w:t>
      </w:r>
    </w:p>
    <w:p>
      <w:pPr>
        <w:numPr>
          <w:ilvl w:val="0"/>
          <w:numId w:val="1014"/>
        </w:numPr>
        <w:pStyle w:val="Compact"/>
      </w:pPr>
      <w:r>
        <w:t xml:space="preserve">spotting phishing or fake court-payment requests.</w:t>
      </w:r>
    </w:p>
    <w:p>
      <w:pPr>
        <w:pStyle w:val="FirstParagraph"/>
      </w:pPr>
      <w:r>
        <w:t xml:space="preserve">Do not use real sealed, restricted, confidential, personally identifying, juvenile, jury, witness, criminal-justice, or nonpublic court data in personal learning tools.</w:t>
      </w:r>
    </w:p>
    <w:p>
      <w:r>
        <w:pict>
          <v:rect style="width:0;height:1.5pt" o:hralign="center" o:hrstd="t" o:hr="t"/>
        </w:pict>
      </w:r>
    </w:p>
    <w:bookmarkEnd w:id="46"/>
    <w:bookmarkStart w:id="50" w:name="X39f3cf3d38f585ee5902845cb216c9f06c9f952"/>
    <w:p>
      <w:pPr>
        <w:pStyle w:val="Heading2"/>
      </w:pPr>
      <w:r>
        <w:t xml:space="preserve">11. Funding, education support, and cost control</w:t>
      </w:r>
    </w:p>
    <w:p>
      <w:pPr>
        <w:pStyle w:val="FirstParagraph"/>
      </w:pPr>
      <w:r>
        <w:t xml:space="preserve">Before paying for training:</w:t>
      </w:r>
    </w:p>
    <w:p>
      <w:pPr>
        <w:numPr>
          <w:ilvl w:val="0"/>
          <w:numId w:val="1015"/>
        </w:numPr>
        <w:pStyle w:val="Compact"/>
      </w:pPr>
      <w:r>
        <w:t xml:space="preserve">identify whether the target court requires or merely prefers the credential;</w:t>
      </w:r>
    </w:p>
    <w:p>
      <w:pPr>
        <w:numPr>
          <w:ilvl w:val="0"/>
          <w:numId w:val="1015"/>
        </w:numPr>
        <w:pStyle w:val="Compact"/>
      </w:pPr>
      <w:r>
        <w:t xml:space="preserve">compare public and community-college options;</w:t>
      </w:r>
    </w:p>
    <w:p>
      <w:pPr>
        <w:numPr>
          <w:ilvl w:val="0"/>
          <w:numId w:val="1015"/>
        </w:numPr>
        <w:pStyle w:val="Compact"/>
      </w:pPr>
      <w:r>
        <w:t xml:space="preserve">investigate public workforce funding;</w:t>
      </w:r>
    </w:p>
    <w:p>
      <w:pPr>
        <w:numPr>
          <w:ilvl w:val="0"/>
          <w:numId w:val="1015"/>
        </w:numPr>
        <w:pStyle w:val="Compact"/>
      </w:pPr>
      <w:r>
        <w:t xml:space="preserve">check institutional scholarships and grants;</w:t>
      </w:r>
    </w:p>
    <w:p>
      <w:pPr>
        <w:numPr>
          <w:ilvl w:val="0"/>
          <w:numId w:val="1015"/>
        </w:numPr>
        <w:pStyle w:val="Compact"/>
      </w:pPr>
      <w:r>
        <w:t xml:space="preserve">ask employers about tuition assistance;</w:t>
      </w:r>
    </w:p>
    <w:p>
      <w:pPr>
        <w:numPr>
          <w:ilvl w:val="0"/>
          <w:numId w:val="1015"/>
        </w:numPr>
        <w:pStyle w:val="Compact"/>
      </w:pPr>
      <w:r>
        <w:t xml:space="preserve">verify refund and withdrawal rules;</w:t>
      </w:r>
    </w:p>
    <w:p>
      <w:pPr>
        <w:numPr>
          <w:ilvl w:val="0"/>
          <w:numId w:val="1015"/>
        </w:numPr>
        <w:pStyle w:val="Compact"/>
      </w:pPr>
      <w:r>
        <w:t xml:space="preserve">avoid programs that imply guaranteed court appointment or guaranteed salary.</w:t>
      </w:r>
    </w:p>
    <w:bookmarkStart w:id="47" w:name="united-states-student-aid"/>
    <w:p>
      <w:pPr>
        <w:pStyle w:val="Heading3"/>
      </w:pPr>
      <w:r>
        <w:t xml:space="preserve">United States student aid</w:t>
      </w:r>
    </w:p>
    <w:p>
      <w:pPr>
        <w:pStyle w:val="FirstParagraph"/>
      </w:pPr>
      <w:r>
        <w:t xml:space="preserve">The FAFSA is free to submit. Eligibility for federal student aid depends on the student, institution, and program. Never assume a short private court-clerk certificate qualifies.</w:t>
      </w:r>
    </w:p>
    <w:bookmarkEnd w:id="47"/>
    <w:bookmarkStart w:id="48" w:name="american-job-centers"/>
    <w:p>
      <w:pPr>
        <w:pStyle w:val="Heading3"/>
      </w:pPr>
      <w:r>
        <w:t xml:space="preserve">American Job Centers</w:t>
      </w:r>
    </w:p>
    <w:p>
      <w:pPr>
        <w:pStyle w:val="FirstParagraph"/>
      </w:pPr>
      <w:r>
        <w:t xml:space="preserve">American Job Centers can provide employment and training assistance, but funding and provider eligibility vary. Confirm the exact program before enrolling.</w:t>
      </w:r>
    </w:p>
    <w:bookmarkEnd w:id="48"/>
    <w:bookmarkStart w:id="49" w:name="employer-educational-assistance"/>
    <w:p>
      <w:pPr>
        <w:pStyle w:val="Heading3"/>
      </w:pPr>
      <w:r>
        <w:t xml:space="preserve">Employer educational assistance</w:t>
      </w:r>
    </w:p>
    <w:p>
      <w:pPr>
        <w:pStyle w:val="FirstParagraph"/>
      </w:pPr>
      <w:r>
        <w:t xml:space="preserve">Where an employer offers a qualifying Section 127 educational-assistance program, current IRS guidance allows up to</w:t>
      </w:r>
      <w:r>
        <w:t xml:space="preserve"> </w:t>
      </w:r>
      <w:r>
        <w:rPr>
          <w:bCs/>
          <w:b/>
        </w:rPr>
        <w:t xml:space="preserve">USD 5,250</w:t>
      </w:r>
      <w:r>
        <w:t xml:space="preserve"> </w:t>
      </w:r>
      <w:r>
        <w:t xml:space="preserve">in qualifying benefits to be excluded from gross income for calendar years 2025 and 2026, subject to the employer plan and applicable rules.</w:t>
      </w:r>
    </w:p>
    <w:p>
      <w:pPr>
        <w:pStyle w:val="BodyText"/>
      </w:pPr>
      <w:r>
        <w:t xml:space="preserve">That amount is not a guaranteed benefit. Obtain written employer terms first.</w:t>
      </w:r>
    </w:p>
    <w:p>
      <w:r>
        <w:pict>
          <v:rect style="width:0;height:1.5pt" o:hralign="center" o:hrstd="t" o:hr="t"/>
        </w:pict>
      </w:r>
    </w:p>
    <w:bookmarkEnd w:id="49"/>
    <w:bookmarkEnd w:id="50"/>
    <w:bookmarkStart w:id="51" w:name="X338e0e4dd590e366c627de8b7cd25d14d9cd685"/>
    <w:p>
      <w:pPr>
        <w:pStyle w:val="Heading2"/>
      </w:pPr>
      <w:r>
        <w:t xml:space="preserve">12. Work-based learning and apprenticeship</w:t>
      </w:r>
    </w:p>
    <w:p>
      <w:pPr>
        <w:pStyle w:val="FirstParagraph"/>
      </w:pPr>
      <w:r>
        <w:t xml:space="preserve">Court work is highly procedural, so supervised experience matters.</w:t>
      </w:r>
    </w:p>
    <w:p>
      <w:pPr>
        <w:pStyle w:val="BodyText"/>
      </w:pPr>
      <w:r>
        <w:t xml:space="preserve">Useful work-based learning can include:</w:t>
      </w:r>
    </w:p>
    <w:p>
      <w:pPr>
        <w:numPr>
          <w:ilvl w:val="0"/>
          <w:numId w:val="1016"/>
        </w:numPr>
        <w:pStyle w:val="Compact"/>
      </w:pPr>
      <w:r>
        <w:t xml:space="preserve">employer onboarding;</w:t>
      </w:r>
    </w:p>
    <w:p>
      <w:pPr>
        <w:numPr>
          <w:ilvl w:val="0"/>
          <w:numId w:val="1016"/>
        </w:numPr>
        <w:pStyle w:val="Compact"/>
      </w:pPr>
      <w:r>
        <w:t xml:space="preserve">job shadowing where permitted;</w:t>
      </w:r>
    </w:p>
    <w:p>
      <w:pPr>
        <w:numPr>
          <w:ilvl w:val="0"/>
          <w:numId w:val="1016"/>
        </w:numPr>
        <w:pStyle w:val="Compact"/>
      </w:pPr>
      <w:r>
        <w:t xml:space="preserve">supervised intake or records work;</w:t>
      </w:r>
    </w:p>
    <w:p>
      <w:pPr>
        <w:numPr>
          <w:ilvl w:val="0"/>
          <w:numId w:val="1016"/>
        </w:numPr>
        <w:pStyle w:val="Compact"/>
      </w:pPr>
      <w:r>
        <w:t xml:space="preserve">public-service training;</w:t>
      </w:r>
    </w:p>
    <w:p>
      <w:pPr>
        <w:numPr>
          <w:ilvl w:val="0"/>
          <w:numId w:val="1016"/>
        </w:numPr>
        <w:pStyle w:val="Compact"/>
      </w:pPr>
      <w:r>
        <w:t xml:space="preserve">document-processing training;</w:t>
      </w:r>
    </w:p>
    <w:p>
      <w:pPr>
        <w:numPr>
          <w:ilvl w:val="0"/>
          <w:numId w:val="1016"/>
        </w:numPr>
        <w:pStyle w:val="Compact"/>
      </w:pPr>
      <w:r>
        <w:t xml:space="preserve">authorized case-management-system training;</w:t>
      </w:r>
    </w:p>
    <w:p>
      <w:pPr>
        <w:numPr>
          <w:ilvl w:val="0"/>
          <w:numId w:val="1016"/>
        </w:numPr>
        <w:pStyle w:val="Compact"/>
      </w:pPr>
      <w:r>
        <w:t xml:space="preserve">courtroom orientation;</w:t>
      </w:r>
    </w:p>
    <w:p>
      <w:pPr>
        <w:numPr>
          <w:ilvl w:val="0"/>
          <w:numId w:val="1016"/>
        </w:numPr>
        <w:pStyle w:val="Compact"/>
      </w:pPr>
      <w:r>
        <w:t xml:space="preserve">records, retention, and privacy training;</w:t>
      </w:r>
    </w:p>
    <w:p>
      <w:pPr>
        <w:numPr>
          <w:ilvl w:val="0"/>
          <w:numId w:val="1016"/>
        </w:numPr>
        <w:pStyle w:val="Compact"/>
      </w:pPr>
      <w:r>
        <w:t xml:space="preserve">cash/fee handling training;</w:t>
      </w:r>
    </w:p>
    <w:p>
      <w:pPr>
        <w:numPr>
          <w:ilvl w:val="0"/>
          <w:numId w:val="1016"/>
        </w:numPr>
        <w:pStyle w:val="Compact"/>
      </w:pPr>
      <w:r>
        <w:t xml:space="preserve">security and incident-response training;</w:t>
      </w:r>
    </w:p>
    <w:p>
      <w:pPr>
        <w:numPr>
          <w:ilvl w:val="0"/>
          <w:numId w:val="1016"/>
        </w:numPr>
        <w:pStyle w:val="Compact"/>
      </w:pPr>
      <w:r>
        <w:t xml:space="preserve">interpreter/accessibility procedure training;</w:t>
      </w:r>
    </w:p>
    <w:p>
      <w:pPr>
        <w:numPr>
          <w:ilvl w:val="0"/>
          <w:numId w:val="1016"/>
        </w:numPr>
        <w:pStyle w:val="Compact"/>
      </w:pPr>
      <w:r>
        <w:t xml:space="preserve">recognized apprenticeship only when the exact program is officially verified.</w:t>
      </w:r>
    </w:p>
    <w:p>
      <w:pPr>
        <w:pStyle w:val="FirstParagraph"/>
      </w:pPr>
      <w:r>
        <w:t xml:space="preserve">Do not call ordinary court onboarding, an internship, volunteer service, or mentoring a Registered Apprenticeship unless the responsible authority confirms the registration.</w:t>
      </w:r>
    </w:p>
    <w:p>
      <w:r>
        <w:pict>
          <v:rect style="width:0;height:1.5pt" o:hralign="center" o:hrstd="t" o:hr="t"/>
        </w:pict>
      </w:r>
    </w:p>
    <w:bookmarkEnd w:id="51"/>
    <w:bookmarkStart w:id="55" w:name="X2c0436ea7403d7cdf4e40f51156829719b40e7f"/>
    <w:p>
      <w:pPr>
        <w:pStyle w:val="Heading2"/>
      </w:pPr>
      <w:r>
        <w:t xml:space="preserve">13. Income and labor-market research</w:t>
      </w:r>
    </w:p>
    <w:bookmarkStart w:id="52" w:name="X94a509e386abe21adcca78c048d6475d422d616"/>
    <w:p>
      <w:pPr>
        <w:pStyle w:val="Heading3"/>
      </w:pPr>
      <w:r>
        <w:t xml:space="preserve">United States — combined O*NET 43-4031.00 occupation</w:t>
      </w:r>
    </w:p>
    <w:p>
      <w:pPr>
        <w:pStyle w:val="FirstParagraph"/>
      </w:pPr>
      <w:r>
        <w:t xml:space="preserve">Current O*NET/BLS data for</w:t>
      </w:r>
      <w:r>
        <w:t xml:space="preserve"> </w:t>
      </w:r>
      <w:r>
        <w:rPr>
          <w:bCs/>
          <w:b/>
        </w:rPr>
        <w:t xml:space="preserve">Court, Municipal, and License Clerks</w:t>
      </w:r>
      <w:r>
        <w:t xml:space="preserve"> </w:t>
      </w:r>
      <w:r>
        <w:t xml:space="preserve">report:</w:t>
      </w:r>
    </w:p>
    <w:p>
      <w:pPr>
        <w:numPr>
          <w:ilvl w:val="0"/>
          <w:numId w:val="1017"/>
        </w:numPr>
        <w:pStyle w:val="Compact"/>
      </w:pPr>
      <w:r>
        <w:rPr>
          <w:bCs/>
          <w:b/>
        </w:rPr>
        <w:t xml:space="preserve">2025 median wage:</w:t>
      </w:r>
      <w:r>
        <w:t xml:space="preserve"> </w:t>
      </w:r>
      <w:r>
        <w:t xml:space="preserve">USD 23.41/hour;</w:t>
      </w:r>
    </w:p>
    <w:p>
      <w:pPr>
        <w:numPr>
          <w:ilvl w:val="0"/>
          <w:numId w:val="1017"/>
        </w:numPr>
        <w:pStyle w:val="Compact"/>
      </w:pPr>
      <w:r>
        <w:rPr>
          <w:bCs/>
          <w:b/>
        </w:rPr>
        <w:t xml:space="preserve">2025 median annual wage:</w:t>
      </w:r>
      <w:r>
        <w:t xml:space="preserve"> </w:t>
      </w:r>
      <w:r>
        <w:t xml:space="preserve">USD 48,700;</w:t>
      </w:r>
    </w:p>
    <w:p>
      <w:pPr>
        <w:numPr>
          <w:ilvl w:val="0"/>
          <w:numId w:val="1017"/>
        </w:numPr>
        <w:pStyle w:val="Compact"/>
      </w:pPr>
      <w:r>
        <w:rPr>
          <w:bCs/>
          <w:b/>
        </w:rPr>
        <w:t xml:space="preserve">2024 employment:</w:t>
      </w:r>
      <w:r>
        <w:t xml:space="preserve"> </w:t>
      </w:r>
      <w:r>
        <w:t xml:space="preserve">180,400;</w:t>
      </w:r>
    </w:p>
    <w:p>
      <w:pPr>
        <w:numPr>
          <w:ilvl w:val="0"/>
          <w:numId w:val="1017"/>
        </w:numPr>
        <w:pStyle w:val="Compact"/>
      </w:pPr>
      <w:r>
        <w:rPr>
          <w:bCs/>
          <w:b/>
        </w:rPr>
        <w:t xml:space="preserve">projected 2024–2034 growth:</w:t>
      </w:r>
      <w:r>
        <w:t xml:space="preserve"> </w:t>
      </w:r>
      <w:r>
        <w:t xml:space="preserve">3% to 4%;</w:t>
      </w:r>
    </w:p>
    <w:p>
      <w:pPr>
        <w:numPr>
          <w:ilvl w:val="0"/>
          <w:numId w:val="1017"/>
        </w:numPr>
        <w:pStyle w:val="Compact"/>
      </w:pPr>
      <w:r>
        <w:rPr>
          <w:bCs/>
          <w:b/>
        </w:rPr>
        <w:t xml:space="preserve">projected openings 2024–2034:</w:t>
      </w:r>
      <w:r>
        <w:t xml:space="preserve"> </w:t>
      </w:r>
      <w:r>
        <w:t xml:space="preserve">18,500;</w:t>
      </w:r>
    </w:p>
    <w:p>
      <w:pPr>
        <w:numPr>
          <w:ilvl w:val="0"/>
          <w:numId w:val="1017"/>
        </w:numPr>
        <w:pStyle w:val="Compact"/>
      </w:pPr>
      <w:r>
        <w:rPr>
          <w:bCs/>
          <w:b/>
        </w:rPr>
        <w:t xml:space="preserve">government share of employment:</w:t>
      </w:r>
      <w:r>
        <w:t xml:space="preserve"> </w:t>
      </w:r>
      <w:r>
        <w:t xml:space="preserve">98%.</w:t>
      </w:r>
    </w:p>
    <w:p>
      <w:pPr>
        <w:pStyle w:val="FirstParagraph"/>
      </w:pPr>
      <w:r>
        <w:t xml:space="preserve">These statistics cover the combined occupation. They should not be labeled “court clerk only.” Projected openings include growth and replacement.</w:t>
      </w:r>
    </w:p>
    <w:p>
      <w:pPr>
        <w:pStyle w:val="BodyText"/>
      </w:pPr>
      <w:r>
        <w:t xml:space="preserve">Actual court compensation varies sharply by court system, classification, locality, union or merit system, experience, and schedule. Current federal Judiciary vacancy ranges can be materially above or below the national combined-occupation median depending on classification and locality.</w:t>
      </w:r>
    </w:p>
    <w:bookmarkEnd w:id="52"/>
    <w:bookmarkStart w:id="53" w:name="canada"/>
    <w:p>
      <w:pPr>
        <w:pStyle w:val="Heading3"/>
      </w:pPr>
      <w:r>
        <w:t xml:space="preserve">Canada</w:t>
      </w:r>
    </w:p>
    <w:p>
      <w:pPr>
        <w:pStyle w:val="FirstParagraph"/>
      </w:pPr>
      <w:r>
        <w:t xml:space="preserve">Current Job Bank national reference for NOC 14103 shows a</w:t>
      </w:r>
      <w:r>
        <w:t xml:space="preserve"> </w:t>
      </w:r>
      <w:r>
        <w:rPr>
          <w:bCs/>
          <w:b/>
        </w:rPr>
        <w:t xml:space="preserve">C$29.81/hour median wage</w:t>
      </w:r>
      <w:r>
        <w:t xml:space="preserve">.</w:t>
      </w:r>
    </w:p>
    <w:bookmarkEnd w:id="53"/>
    <w:bookmarkStart w:id="54" w:name="colombia-and-other-countries"/>
    <w:p>
      <w:pPr>
        <w:pStyle w:val="Heading3"/>
      </w:pPr>
      <w:r>
        <w:t xml:space="preserve">Colombia and other countries</w:t>
      </w:r>
    </w:p>
    <w:p>
      <w:pPr>
        <w:pStyle w:val="FirstParagraph"/>
      </w:pPr>
      <w:r>
        <w:t xml:space="preserve">Use current official judiciary vacancy, civil-service, payroll, or labor-market sources. Do not reuse old salary figures simply because they remain visible on an occupational page.</w:t>
      </w:r>
    </w:p>
    <w:p>
      <w:pPr>
        <w:pStyle w:val="BodyText"/>
      </w:pPr>
      <w:r>
        <w:t xml:space="preserve">When comparing offers, include:</w:t>
      </w:r>
    </w:p>
    <w:p>
      <w:pPr>
        <w:numPr>
          <w:ilvl w:val="0"/>
          <w:numId w:val="1018"/>
        </w:numPr>
        <w:pStyle w:val="Compact"/>
      </w:pPr>
      <w:r>
        <w:t xml:space="preserve">base salary;</w:t>
      </w:r>
    </w:p>
    <w:p>
      <w:pPr>
        <w:numPr>
          <w:ilvl w:val="0"/>
          <w:numId w:val="1018"/>
        </w:numPr>
        <w:pStyle w:val="Compact"/>
      </w:pPr>
      <w:r>
        <w:t xml:space="preserve">classification/grade;</w:t>
      </w:r>
    </w:p>
    <w:p>
      <w:pPr>
        <w:numPr>
          <w:ilvl w:val="0"/>
          <w:numId w:val="1018"/>
        </w:numPr>
        <w:pStyle w:val="Compact"/>
      </w:pPr>
      <w:r>
        <w:t xml:space="preserve">probation or appointment status;</w:t>
      </w:r>
    </w:p>
    <w:p>
      <w:pPr>
        <w:numPr>
          <w:ilvl w:val="0"/>
          <w:numId w:val="1018"/>
        </w:numPr>
        <w:pStyle w:val="Compact"/>
      </w:pPr>
      <w:r>
        <w:t xml:space="preserve">benefits;</w:t>
      </w:r>
    </w:p>
    <w:p>
      <w:pPr>
        <w:numPr>
          <w:ilvl w:val="0"/>
          <w:numId w:val="1018"/>
        </w:numPr>
        <w:pStyle w:val="Compact"/>
      </w:pPr>
      <w:r>
        <w:t xml:space="preserve">pension/retirement participation;</w:t>
      </w:r>
    </w:p>
    <w:p>
      <w:pPr>
        <w:numPr>
          <w:ilvl w:val="0"/>
          <w:numId w:val="1018"/>
        </w:numPr>
        <w:pStyle w:val="Compact"/>
      </w:pPr>
      <w:r>
        <w:t xml:space="preserve">union or collective-agreement provisions where applicable;</w:t>
      </w:r>
    </w:p>
    <w:p>
      <w:pPr>
        <w:numPr>
          <w:ilvl w:val="0"/>
          <w:numId w:val="1018"/>
        </w:numPr>
        <w:pStyle w:val="Compact"/>
      </w:pPr>
      <w:r>
        <w:t xml:space="preserve">overtime or compensatory time;</w:t>
      </w:r>
    </w:p>
    <w:p>
      <w:pPr>
        <w:numPr>
          <w:ilvl w:val="0"/>
          <w:numId w:val="1018"/>
        </w:numPr>
        <w:pStyle w:val="Compact"/>
      </w:pPr>
      <w:r>
        <w:t xml:space="preserve">schedule;</w:t>
      </w:r>
    </w:p>
    <w:p>
      <w:pPr>
        <w:numPr>
          <w:ilvl w:val="0"/>
          <w:numId w:val="1018"/>
        </w:numPr>
        <w:pStyle w:val="Compact"/>
      </w:pPr>
      <w:r>
        <w:t xml:space="preserve">commute or on-site requirements;</w:t>
      </w:r>
    </w:p>
    <w:p>
      <w:pPr>
        <w:numPr>
          <w:ilvl w:val="0"/>
          <w:numId w:val="1018"/>
        </w:numPr>
        <w:pStyle w:val="Compact"/>
      </w:pPr>
      <w:r>
        <w:t xml:space="preserve">security/background obligations;</w:t>
      </w:r>
    </w:p>
    <w:p>
      <w:pPr>
        <w:numPr>
          <w:ilvl w:val="0"/>
          <w:numId w:val="1018"/>
        </w:numPr>
        <w:pStyle w:val="Compact"/>
      </w:pPr>
      <w:r>
        <w:t xml:space="preserve">training and promotion pathways.</w:t>
      </w:r>
    </w:p>
    <w:p>
      <w:r>
        <w:pict>
          <v:rect style="width:0;height:1.5pt" o:hralign="center" o:hrstd="t" o:hr="t"/>
        </w:pict>
      </w:r>
    </w:p>
    <w:bookmarkEnd w:id="54"/>
    <w:bookmarkEnd w:id="55"/>
    <w:bookmarkStart w:id="56" w:name="X428a9a1a4b99a98a160cf3e58b6c937c4f07dda"/>
    <w:p>
      <w:pPr>
        <w:pStyle w:val="Heading2"/>
      </w:pPr>
      <w:r>
        <w:t xml:space="preserve">14. Accessibility, language access, and accommodations</w:t>
      </w:r>
    </w:p>
    <w:p>
      <w:pPr>
        <w:pStyle w:val="FirstParagraph"/>
      </w:pPr>
      <w:r>
        <w:t xml:space="preserve">Courts serve people with different communication, mobility, sensory, cognitive, language, and access needs. Court employees should learn the exact accessibility and interpreter procedures of their court rather than improvise.</w:t>
      </w:r>
    </w:p>
    <w:p>
      <w:pPr>
        <w:pStyle w:val="BodyText"/>
      </w:pPr>
      <w:r>
        <w:t xml:space="preserve">Helpful workplace practices can include:</w:t>
      </w:r>
    </w:p>
    <w:p>
      <w:pPr>
        <w:numPr>
          <w:ilvl w:val="0"/>
          <w:numId w:val="1019"/>
        </w:numPr>
        <w:pStyle w:val="Compact"/>
      </w:pPr>
      <w:r>
        <w:t xml:space="preserve">structured checklists;</w:t>
      </w:r>
    </w:p>
    <w:p>
      <w:pPr>
        <w:numPr>
          <w:ilvl w:val="0"/>
          <w:numId w:val="1019"/>
        </w:numPr>
        <w:pStyle w:val="Compact"/>
      </w:pPr>
      <w:r>
        <w:t xml:space="preserve">written procedures;</w:t>
      </w:r>
    </w:p>
    <w:p>
      <w:pPr>
        <w:numPr>
          <w:ilvl w:val="0"/>
          <w:numId w:val="1019"/>
        </w:numPr>
        <w:pStyle w:val="Compact"/>
      </w:pPr>
      <w:r>
        <w:t xml:space="preserve">accessible digital documents;</w:t>
      </w:r>
    </w:p>
    <w:p>
      <w:pPr>
        <w:numPr>
          <w:ilvl w:val="0"/>
          <w:numId w:val="1019"/>
        </w:numPr>
        <w:pStyle w:val="Compact"/>
      </w:pPr>
      <w:r>
        <w:t xml:space="preserve">keyboard-accessible workflows;</w:t>
      </w:r>
    </w:p>
    <w:p>
      <w:pPr>
        <w:numPr>
          <w:ilvl w:val="0"/>
          <w:numId w:val="1019"/>
        </w:numPr>
        <w:pStyle w:val="Compact"/>
      </w:pPr>
      <w:r>
        <w:t xml:space="preserve">screen readers or magnification where compatible with court security;</w:t>
      </w:r>
    </w:p>
    <w:p>
      <w:pPr>
        <w:numPr>
          <w:ilvl w:val="0"/>
          <w:numId w:val="1019"/>
        </w:numPr>
        <w:pStyle w:val="Compact"/>
      </w:pPr>
      <w:r>
        <w:t xml:space="preserve">speech-to-text where approved;</w:t>
      </w:r>
    </w:p>
    <w:p>
      <w:pPr>
        <w:numPr>
          <w:ilvl w:val="0"/>
          <w:numId w:val="1019"/>
        </w:numPr>
        <w:pStyle w:val="Compact"/>
      </w:pPr>
      <w:r>
        <w:t xml:space="preserve">quiet review periods for high-risk records;</w:t>
      </w:r>
    </w:p>
    <w:p>
      <w:pPr>
        <w:numPr>
          <w:ilvl w:val="0"/>
          <w:numId w:val="1019"/>
        </w:numPr>
        <w:pStyle w:val="Compact"/>
      </w:pPr>
      <w:r>
        <w:t xml:space="preserve">task and calendar reminders;</w:t>
      </w:r>
    </w:p>
    <w:p>
      <w:pPr>
        <w:numPr>
          <w:ilvl w:val="0"/>
          <w:numId w:val="1019"/>
        </w:numPr>
        <w:pStyle w:val="Compact"/>
      </w:pPr>
      <w:r>
        <w:t xml:space="preserve">double-check procedures for identifiers and deadlines;</w:t>
      </w:r>
    </w:p>
    <w:p>
      <w:pPr>
        <w:numPr>
          <w:ilvl w:val="0"/>
          <w:numId w:val="1019"/>
        </w:numPr>
        <w:pStyle w:val="Compact"/>
      </w:pPr>
      <w:r>
        <w:t xml:space="preserve">clear escalation paths.</w:t>
      </w:r>
    </w:p>
    <w:p>
      <w:pPr>
        <w:pStyle w:val="FirstParagraph"/>
      </w:pPr>
      <w:r>
        <w:t xml:space="preserve">Federal courts publish court-specific accommodation and access-coordinator procedures, but legal coverage and procedures are not identical across every judiciary. Verify the employing court’s current process.</w:t>
      </w:r>
    </w:p>
    <w:p>
      <w:pPr>
        <w:pStyle w:val="BodyText"/>
      </w:pPr>
      <w:r>
        <w:t xml:space="preserve">Language-access and interpreter duties are also court-specific. Never use an unapproved friend, family member, or generic AI tool as a substitute for an interpreter when the court requires a qualified or authorized interpreter.</w:t>
      </w:r>
    </w:p>
    <w:p>
      <w:r>
        <w:pict>
          <v:rect style="width:0;height:1.5pt" o:hralign="center" o:hrstd="t" o:hr="t"/>
        </w:pict>
      </w:r>
    </w:p>
    <w:bookmarkEnd w:id="56"/>
    <w:bookmarkStart w:id="60" w:name="X0dc55bd1546c6b542440a9658f200ef63a9b055"/>
    <w:p>
      <w:pPr>
        <w:pStyle w:val="Heading2"/>
      </w:pPr>
      <w:r>
        <w:t xml:space="preserve">15. Privacy, confidentiality, records, cybersecurity, and payments</w:t>
      </w:r>
    </w:p>
    <w:p>
      <w:pPr>
        <w:pStyle w:val="FirstParagraph"/>
      </w:pPr>
      <w:r>
        <w:t xml:space="preserve">Court employees may encounter:</w:t>
      </w:r>
    </w:p>
    <w:p>
      <w:pPr>
        <w:numPr>
          <w:ilvl w:val="0"/>
          <w:numId w:val="1020"/>
        </w:numPr>
        <w:pStyle w:val="Compact"/>
      </w:pPr>
      <w:r>
        <w:t xml:space="preserve">sealed documents;</w:t>
      </w:r>
    </w:p>
    <w:p>
      <w:pPr>
        <w:numPr>
          <w:ilvl w:val="0"/>
          <w:numId w:val="1020"/>
        </w:numPr>
        <w:pStyle w:val="Compact"/>
      </w:pPr>
      <w:r>
        <w:t xml:space="preserve">restricted case information;</w:t>
      </w:r>
    </w:p>
    <w:p>
      <w:pPr>
        <w:numPr>
          <w:ilvl w:val="0"/>
          <w:numId w:val="1020"/>
        </w:numPr>
        <w:pStyle w:val="Compact"/>
      </w:pPr>
      <w:r>
        <w:t xml:space="preserve">personal identifiers;</w:t>
      </w:r>
    </w:p>
    <w:p>
      <w:pPr>
        <w:numPr>
          <w:ilvl w:val="0"/>
          <w:numId w:val="1020"/>
        </w:numPr>
        <w:pStyle w:val="Compact"/>
      </w:pPr>
      <w:r>
        <w:t xml:space="preserve">juvenile information;</w:t>
      </w:r>
    </w:p>
    <w:p>
      <w:pPr>
        <w:numPr>
          <w:ilvl w:val="0"/>
          <w:numId w:val="1020"/>
        </w:numPr>
        <w:pStyle w:val="Compact"/>
      </w:pPr>
      <w:r>
        <w:t xml:space="preserve">criminal-justice information;</w:t>
      </w:r>
    </w:p>
    <w:p>
      <w:pPr>
        <w:numPr>
          <w:ilvl w:val="0"/>
          <w:numId w:val="1020"/>
        </w:numPr>
        <w:pStyle w:val="Compact"/>
      </w:pPr>
      <w:r>
        <w:t xml:space="preserve">financial records;</w:t>
      </w:r>
    </w:p>
    <w:p>
      <w:pPr>
        <w:numPr>
          <w:ilvl w:val="0"/>
          <w:numId w:val="1020"/>
        </w:numPr>
        <w:pStyle w:val="Compact"/>
      </w:pPr>
      <w:r>
        <w:t xml:space="preserve">medical information;</w:t>
      </w:r>
    </w:p>
    <w:p>
      <w:pPr>
        <w:numPr>
          <w:ilvl w:val="0"/>
          <w:numId w:val="1020"/>
        </w:numPr>
        <w:pStyle w:val="Compact"/>
      </w:pPr>
      <w:r>
        <w:t xml:space="preserve">immigration information;</w:t>
      </w:r>
    </w:p>
    <w:p>
      <w:pPr>
        <w:numPr>
          <w:ilvl w:val="0"/>
          <w:numId w:val="1020"/>
        </w:numPr>
        <w:pStyle w:val="Compact"/>
      </w:pPr>
      <w:r>
        <w:t xml:space="preserve">jury information;</w:t>
      </w:r>
    </w:p>
    <w:p>
      <w:pPr>
        <w:numPr>
          <w:ilvl w:val="0"/>
          <w:numId w:val="1020"/>
        </w:numPr>
        <w:pStyle w:val="Compact"/>
      </w:pPr>
      <w:r>
        <w:t xml:space="preserve">witness information;</w:t>
      </w:r>
    </w:p>
    <w:p>
      <w:pPr>
        <w:numPr>
          <w:ilvl w:val="0"/>
          <w:numId w:val="1020"/>
        </w:numPr>
        <w:pStyle w:val="Compact"/>
      </w:pPr>
      <w:r>
        <w:t xml:space="preserve">law-enforcement information;</w:t>
      </w:r>
    </w:p>
    <w:p>
      <w:pPr>
        <w:numPr>
          <w:ilvl w:val="0"/>
          <w:numId w:val="1020"/>
        </w:numPr>
        <w:pStyle w:val="Compact"/>
      </w:pPr>
      <w:r>
        <w:t xml:space="preserve">credentials and authentication data;</w:t>
      </w:r>
    </w:p>
    <w:p>
      <w:pPr>
        <w:numPr>
          <w:ilvl w:val="0"/>
          <w:numId w:val="1020"/>
        </w:numPr>
        <w:pStyle w:val="Compact"/>
      </w:pPr>
      <w:r>
        <w:t xml:space="preserve">payment-card or fee information;</w:t>
      </w:r>
    </w:p>
    <w:p>
      <w:pPr>
        <w:numPr>
          <w:ilvl w:val="0"/>
          <w:numId w:val="1020"/>
        </w:numPr>
        <w:pStyle w:val="Compact"/>
      </w:pPr>
      <w:r>
        <w:t xml:space="preserve">internal judicial communications.</w:t>
      </w:r>
    </w:p>
    <w:bookmarkStart w:id="57" w:name="records-controls"/>
    <w:p>
      <w:pPr>
        <w:pStyle w:val="Heading3"/>
      </w:pPr>
      <w:r>
        <w:t xml:space="preserve">Records controls</w:t>
      </w:r>
    </w:p>
    <w:p>
      <w:pPr>
        <w:numPr>
          <w:ilvl w:val="0"/>
          <w:numId w:val="1021"/>
        </w:numPr>
        <w:pStyle w:val="Compact"/>
      </w:pPr>
      <w:r>
        <w:t xml:space="preserve">use only authorized systems;</w:t>
      </w:r>
    </w:p>
    <w:p>
      <w:pPr>
        <w:numPr>
          <w:ilvl w:val="0"/>
          <w:numId w:val="1021"/>
        </w:numPr>
        <w:pStyle w:val="Compact"/>
      </w:pPr>
      <w:r>
        <w:t xml:space="preserve">respect sealing, restriction, retention, and destruction rules;</w:t>
      </w:r>
    </w:p>
    <w:p>
      <w:pPr>
        <w:numPr>
          <w:ilvl w:val="0"/>
          <w:numId w:val="1021"/>
        </w:numPr>
        <w:pStyle w:val="Compact"/>
      </w:pPr>
      <w:r>
        <w:t xml:space="preserve">verify identity and authorization before disclosing nonpublic information;</w:t>
      </w:r>
    </w:p>
    <w:p>
      <w:pPr>
        <w:numPr>
          <w:ilvl w:val="0"/>
          <w:numId w:val="1021"/>
        </w:numPr>
        <w:pStyle w:val="Compact"/>
      </w:pPr>
      <w:r>
        <w:t xml:space="preserve">do not alter official records outside authorized workflows;</w:t>
      </w:r>
    </w:p>
    <w:p>
      <w:pPr>
        <w:numPr>
          <w:ilvl w:val="0"/>
          <w:numId w:val="1021"/>
        </w:numPr>
        <w:pStyle w:val="Compact"/>
      </w:pPr>
      <w:r>
        <w:t xml:space="preserve">record actions accurately and contemporaneously when required;</w:t>
      </w:r>
    </w:p>
    <w:p>
      <w:pPr>
        <w:numPr>
          <w:ilvl w:val="0"/>
          <w:numId w:val="1021"/>
        </w:numPr>
        <w:pStyle w:val="Compact"/>
      </w:pPr>
      <w:r>
        <w:t xml:space="preserve">use approved redaction procedures;</w:t>
      </w:r>
    </w:p>
    <w:p>
      <w:pPr>
        <w:numPr>
          <w:ilvl w:val="0"/>
          <w:numId w:val="1021"/>
        </w:numPr>
        <w:pStyle w:val="Compact"/>
      </w:pPr>
      <w:r>
        <w:t xml:space="preserve">do not move official court records to personal storage or email.</w:t>
      </w:r>
    </w:p>
    <w:bookmarkEnd w:id="57"/>
    <w:bookmarkStart w:id="58" w:name="federal-redaction-example"/>
    <w:p>
      <w:pPr>
        <w:pStyle w:val="Heading3"/>
      </w:pPr>
      <w:r>
        <w:t xml:space="preserve">Federal redaction example</w:t>
      </w:r>
    </w:p>
    <w:p>
      <w:pPr>
        <w:pStyle w:val="FirstParagraph"/>
      </w:pPr>
      <w:r>
        <w:t xml:space="preserve">Federal CM/ECF rules require specified personal identifiers to be redacted from many filings, subject to governing rules and exceptions. U.S. Courts identifies categories such as Social Security/taxpayer-identification numbers, dates of birth, minor children’s names, financial-account numbers, and certain home-address information in criminal cases.</w:t>
      </w:r>
    </w:p>
    <w:p>
      <w:pPr>
        <w:pStyle w:val="BodyText"/>
      </w:pPr>
      <w:r>
        <w:t xml:space="preserve">These are federal examples. Apply the exact rule, local procedure, case type, sealing order, and employer policy that governs your work.</w:t>
      </w:r>
    </w:p>
    <w:bookmarkEnd w:id="58"/>
    <w:bookmarkStart w:id="59" w:name="cybersecurity"/>
    <w:p>
      <w:pPr>
        <w:pStyle w:val="Heading3"/>
      </w:pPr>
      <w:r>
        <w:t xml:space="preserve">Cybersecurity</w:t>
      </w:r>
    </w:p>
    <w:p>
      <w:pPr>
        <w:numPr>
          <w:ilvl w:val="0"/>
          <w:numId w:val="1022"/>
        </w:numPr>
        <w:pStyle w:val="Compact"/>
      </w:pPr>
      <w:r>
        <w:t xml:space="preserve">protect passwords, tokens, smart cards, and MFA methods;</w:t>
      </w:r>
    </w:p>
    <w:p>
      <w:pPr>
        <w:numPr>
          <w:ilvl w:val="0"/>
          <w:numId w:val="1022"/>
        </w:numPr>
        <w:pStyle w:val="Compact"/>
      </w:pPr>
      <w:r>
        <w:t xml:space="preserve">never approve unexpected authentication prompts;</w:t>
      </w:r>
    </w:p>
    <w:p>
      <w:pPr>
        <w:numPr>
          <w:ilvl w:val="0"/>
          <w:numId w:val="1022"/>
        </w:numPr>
        <w:pStyle w:val="Compact"/>
      </w:pPr>
      <w:r>
        <w:t xml:space="preserve">verify unusual requests involving filings, records, payments, wire instructions, credentials, or sensitive disclosures;</w:t>
      </w:r>
    </w:p>
    <w:p>
      <w:pPr>
        <w:numPr>
          <w:ilvl w:val="0"/>
          <w:numId w:val="1022"/>
        </w:numPr>
        <w:pStyle w:val="Compact"/>
      </w:pPr>
      <w:r>
        <w:t xml:space="preserve">report phishing, malware, misdirected messages, suspicious links, and unauthorized access immediately;</w:t>
      </w:r>
    </w:p>
    <w:p>
      <w:pPr>
        <w:numPr>
          <w:ilvl w:val="0"/>
          <w:numId w:val="1022"/>
        </w:numPr>
        <w:pStyle w:val="Compact"/>
      </w:pPr>
      <w:r>
        <w:t xml:space="preserve">do not install unapproved software or browser extensions on court devices;</w:t>
      </w:r>
    </w:p>
    <w:p>
      <w:pPr>
        <w:numPr>
          <w:ilvl w:val="0"/>
          <w:numId w:val="1022"/>
        </w:numPr>
        <w:pStyle w:val="Compact"/>
      </w:pPr>
      <w:r>
        <w:t xml:space="preserve">keep public-access and internal systems separate as required.</w:t>
      </w:r>
    </w:p>
    <w:p>
      <w:pPr>
        <w:pStyle w:val="FirstParagraph"/>
      </w:pPr>
      <w:r>
        <w:t xml:space="preserve">Court-themed scams are common enough that unusual payment or warrant-related requests deserve verification through official channels.</w:t>
      </w:r>
    </w:p>
    <w:p>
      <w:r>
        <w:pict>
          <v:rect style="width:0;height:1.5pt" o:hralign="center" o:hrstd="t" o:hr="t"/>
        </w:pict>
      </w:r>
    </w:p>
    <w:bookmarkEnd w:id="59"/>
    <w:bookmarkEnd w:id="60"/>
    <w:bookmarkStart w:id="64" w:name="Xef78e595a1fabdbafe7e5a6c45591cf2c49b70f"/>
    <w:p>
      <w:pPr>
        <w:pStyle w:val="Heading2"/>
      </w:pPr>
      <w:r>
        <w:t xml:space="preserve">16. Responsible use of artificial intelligence</w:t>
      </w:r>
    </w:p>
    <w:p>
      <w:pPr>
        <w:pStyle w:val="FirstParagraph"/>
      </w:pPr>
      <w:r>
        <w:t xml:space="preserve">AI can assist with training, drafting, search, summarization, classification, or workflow support only where the court or employer permits it.</w:t>
      </w:r>
    </w:p>
    <w:bookmarkStart w:id="61" w:name="safe-default"/>
    <w:p>
      <w:pPr>
        <w:pStyle w:val="Heading3"/>
      </w:pPr>
      <w:r>
        <w:t xml:space="preserve">Safe default</w:t>
      </w:r>
    </w:p>
    <w:p>
      <w:pPr>
        <w:pStyle w:val="FirstParagraph"/>
      </w:pPr>
      <w:r>
        <w:t xml:space="preserve">Treat court data as unsuitable for public or unapproved AI unless an authorized policy explicitly permits the intended use.</w:t>
      </w:r>
    </w:p>
    <w:p>
      <w:pPr>
        <w:pStyle w:val="BodyText"/>
      </w:pPr>
      <w:r>
        <w:t xml:space="preserve">Never place the following into an unapproved AI system:</w:t>
      </w:r>
    </w:p>
    <w:p>
      <w:pPr>
        <w:numPr>
          <w:ilvl w:val="0"/>
          <w:numId w:val="1023"/>
        </w:numPr>
        <w:pStyle w:val="Compact"/>
      </w:pPr>
      <w:r>
        <w:t xml:space="preserve">sealed or restricted filings;</w:t>
      </w:r>
    </w:p>
    <w:p>
      <w:pPr>
        <w:numPr>
          <w:ilvl w:val="0"/>
          <w:numId w:val="1023"/>
        </w:numPr>
        <w:pStyle w:val="Compact"/>
      </w:pPr>
      <w:r>
        <w:t xml:space="preserve">nonpublic case records;</w:t>
      </w:r>
    </w:p>
    <w:p>
      <w:pPr>
        <w:numPr>
          <w:ilvl w:val="0"/>
          <w:numId w:val="1023"/>
        </w:numPr>
        <w:pStyle w:val="Compact"/>
      </w:pPr>
      <w:r>
        <w:t xml:space="preserve">juvenile or jury information;</w:t>
      </w:r>
    </w:p>
    <w:p>
      <w:pPr>
        <w:numPr>
          <w:ilvl w:val="0"/>
          <w:numId w:val="1023"/>
        </w:numPr>
        <w:pStyle w:val="Compact"/>
      </w:pPr>
      <w:r>
        <w:t xml:space="preserve">witness or victim information;</w:t>
      </w:r>
    </w:p>
    <w:p>
      <w:pPr>
        <w:numPr>
          <w:ilvl w:val="0"/>
          <w:numId w:val="1023"/>
        </w:numPr>
        <w:pStyle w:val="Compact"/>
      </w:pPr>
      <w:r>
        <w:t xml:space="preserve">authentication credentials;</w:t>
      </w:r>
    </w:p>
    <w:p>
      <w:pPr>
        <w:numPr>
          <w:ilvl w:val="0"/>
          <w:numId w:val="1023"/>
        </w:numPr>
        <w:pStyle w:val="Compact"/>
      </w:pPr>
      <w:r>
        <w:t xml:space="preserve">internal judicial communications;</w:t>
      </w:r>
    </w:p>
    <w:p>
      <w:pPr>
        <w:numPr>
          <w:ilvl w:val="0"/>
          <w:numId w:val="1023"/>
        </w:numPr>
        <w:pStyle w:val="Compact"/>
      </w:pPr>
      <w:r>
        <w:t xml:space="preserve">confidential personnel data;</w:t>
      </w:r>
    </w:p>
    <w:p>
      <w:pPr>
        <w:numPr>
          <w:ilvl w:val="0"/>
          <w:numId w:val="1023"/>
        </w:numPr>
        <w:pStyle w:val="Compact"/>
      </w:pPr>
      <w:r>
        <w:t xml:space="preserve">payment data;</w:t>
      </w:r>
    </w:p>
    <w:p>
      <w:pPr>
        <w:numPr>
          <w:ilvl w:val="0"/>
          <w:numId w:val="1023"/>
        </w:numPr>
        <w:pStyle w:val="Compact"/>
      </w:pPr>
      <w:r>
        <w:t xml:space="preserve">nonpublic law-enforcement or criminal-justice information;</w:t>
      </w:r>
    </w:p>
    <w:p>
      <w:pPr>
        <w:numPr>
          <w:ilvl w:val="0"/>
          <w:numId w:val="1023"/>
        </w:numPr>
        <w:pStyle w:val="Compact"/>
      </w:pPr>
      <w:r>
        <w:t xml:space="preserve">information that court policy prohibits from leaving approved systems.</w:t>
      </w:r>
    </w:p>
    <w:bookmarkEnd w:id="61"/>
    <w:bookmarkStart w:id="62" w:name="verification"/>
    <w:p>
      <w:pPr>
        <w:pStyle w:val="Heading3"/>
      </w:pPr>
      <w:r>
        <w:t xml:space="preserve">Verification</w:t>
      </w:r>
    </w:p>
    <w:p>
      <w:pPr>
        <w:pStyle w:val="FirstParagraph"/>
      </w:pPr>
      <w:r>
        <w:t xml:space="preserve">AI may invent statutes, rules, dates, docket events, case names, citations, fees, addresses, deadlines, and procedural instructions. Before using AI-assisted output in official work:</w:t>
      </w:r>
    </w:p>
    <w:p>
      <w:pPr>
        <w:numPr>
          <w:ilvl w:val="0"/>
          <w:numId w:val="1024"/>
        </w:numPr>
        <w:pStyle w:val="Compact"/>
      </w:pPr>
      <w:r>
        <w:t xml:space="preserve">verify the controlling court rule or authoritative source;</w:t>
      </w:r>
    </w:p>
    <w:p>
      <w:pPr>
        <w:numPr>
          <w:ilvl w:val="0"/>
          <w:numId w:val="1024"/>
        </w:numPr>
        <w:pStyle w:val="Compact"/>
      </w:pPr>
      <w:r>
        <w:t xml:space="preserve">verify names, case numbers, dates, fees, deadlines, and citations;</w:t>
      </w:r>
    </w:p>
    <w:p>
      <w:pPr>
        <w:numPr>
          <w:ilvl w:val="0"/>
          <w:numId w:val="1024"/>
        </w:numPr>
        <w:pStyle w:val="Compact"/>
      </w:pPr>
      <w:r>
        <w:t xml:space="preserve">ensure the output is consistent with the actual record;</w:t>
      </w:r>
    </w:p>
    <w:p>
      <w:pPr>
        <w:numPr>
          <w:ilvl w:val="0"/>
          <w:numId w:val="1024"/>
        </w:numPr>
        <w:pStyle w:val="Compact"/>
      </w:pPr>
      <w:r>
        <w:t xml:space="preserve">obtain required human review;</w:t>
      </w:r>
    </w:p>
    <w:p>
      <w:pPr>
        <w:numPr>
          <w:ilvl w:val="0"/>
          <w:numId w:val="1024"/>
        </w:numPr>
        <w:pStyle w:val="Compact"/>
      </w:pPr>
      <w:r>
        <w:t xml:space="preserve">use only approved systems and retention practices.</w:t>
      </w:r>
    </w:p>
    <w:bookmarkEnd w:id="62"/>
    <w:bookmarkStart w:id="63" w:name="authority-boundary"/>
    <w:p>
      <w:pPr>
        <w:pStyle w:val="Heading3"/>
      </w:pPr>
      <w:r>
        <w:t xml:space="preserve">Authority boundary</w:t>
      </w:r>
    </w:p>
    <w:p>
      <w:pPr>
        <w:pStyle w:val="FirstParagraph"/>
      </w:pPr>
      <w:r>
        <w:t xml:space="preserve">A generic AI tool must never be treated as a judge, adjudicator, authorized clerk, legal adviser, or official court record. It should not independently decide whether a filing is legally sufficient, whether relief should be granted, whether a party’s legal position is correct, or what a judicial officer should rule.</w:t>
      </w:r>
    </w:p>
    <w:p>
      <w:r>
        <w:pict>
          <v:rect style="width:0;height:1.5pt" o:hralign="center" o:hrstd="t" o:hr="t"/>
        </w:pict>
      </w:r>
    </w:p>
    <w:bookmarkEnd w:id="63"/>
    <w:bookmarkEnd w:id="64"/>
    <w:bookmarkStart w:id="68" w:name="X43fe081b93dc6a63e09c6e73b888f85d9285d4c"/>
    <w:p>
      <w:pPr>
        <w:pStyle w:val="Heading2"/>
      </w:pPr>
      <w:r>
        <w:t xml:space="preserve">17. Job search and interview preparation</w:t>
      </w:r>
    </w:p>
    <w:bookmarkStart w:id="65" w:name="resume-evidence-to-emphasize"/>
    <w:p>
      <w:pPr>
        <w:pStyle w:val="Heading3"/>
      </w:pPr>
      <w:r>
        <w:t xml:space="preserve">Resume evidence to emphasize</w:t>
      </w:r>
    </w:p>
    <w:p>
      <w:pPr>
        <w:pStyle w:val="FirstParagraph"/>
      </w:pPr>
      <w:r>
        <w:t xml:space="preserve">Use truthful evidence of:</w:t>
      </w:r>
    </w:p>
    <w:p>
      <w:pPr>
        <w:numPr>
          <w:ilvl w:val="0"/>
          <w:numId w:val="1025"/>
        </w:numPr>
        <w:pStyle w:val="Compact"/>
      </w:pPr>
      <w:r>
        <w:t xml:space="preserve">high-volume accurate data entry;</w:t>
      </w:r>
    </w:p>
    <w:p>
      <w:pPr>
        <w:numPr>
          <w:ilvl w:val="0"/>
          <w:numId w:val="1025"/>
        </w:numPr>
        <w:pStyle w:val="Compact"/>
      </w:pPr>
      <w:r>
        <w:t xml:space="preserve">public or customer service;</w:t>
      </w:r>
    </w:p>
    <w:p>
      <w:pPr>
        <w:numPr>
          <w:ilvl w:val="0"/>
          <w:numId w:val="1025"/>
        </w:numPr>
        <w:pStyle w:val="Compact"/>
      </w:pPr>
      <w:r>
        <w:t xml:space="preserve">application of detailed procedures;</w:t>
      </w:r>
    </w:p>
    <w:p>
      <w:pPr>
        <w:numPr>
          <w:ilvl w:val="0"/>
          <w:numId w:val="1025"/>
        </w:numPr>
        <w:pStyle w:val="Compact"/>
      </w:pPr>
      <w:r>
        <w:t xml:space="preserve">records management;</w:t>
      </w:r>
    </w:p>
    <w:p>
      <w:pPr>
        <w:numPr>
          <w:ilvl w:val="0"/>
          <w:numId w:val="1025"/>
        </w:numPr>
        <w:pStyle w:val="Compact"/>
      </w:pPr>
      <w:r>
        <w:t xml:space="preserve">deadline control;</w:t>
      </w:r>
    </w:p>
    <w:p>
      <w:pPr>
        <w:numPr>
          <w:ilvl w:val="0"/>
          <w:numId w:val="1025"/>
        </w:numPr>
        <w:pStyle w:val="Compact"/>
      </w:pPr>
      <w:r>
        <w:t xml:space="preserve">confidential-information handling;</w:t>
      </w:r>
    </w:p>
    <w:p>
      <w:pPr>
        <w:numPr>
          <w:ilvl w:val="0"/>
          <w:numId w:val="1025"/>
        </w:numPr>
        <w:pStyle w:val="Compact"/>
      </w:pPr>
      <w:r>
        <w:t xml:space="preserve">cash, fee, or reconciliation experience;</w:t>
      </w:r>
    </w:p>
    <w:p>
      <w:pPr>
        <w:numPr>
          <w:ilvl w:val="0"/>
          <w:numId w:val="1025"/>
        </w:numPr>
        <w:pStyle w:val="Compact"/>
      </w:pPr>
      <w:r>
        <w:t xml:space="preserve">document review and proofreading;</w:t>
      </w:r>
    </w:p>
    <w:p>
      <w:pPr>
        <w:numPr>
          <w:ilvl w:val="0"/>
          <w:numId w:val="1025"/>
        </w:numPr>
        <w:pStyle w:val="Compact"/>
      </w:pPr>
      <w:r>
        <w:t xml:space="preserve">Microsoft Office, PDF, database, or case-management skills you actually possess;</w:t>
      </w:r>
    </w:p>
    <w:p>
      <w:pPr>
        <w:numPr>
          <w:ilvl w:val="0"/>
          <w:numId w:val="1025"/>
        </w:numPr>
        <w:pStyle w:val="Compact"/>
      </w:pPr>
      <w:r>
        <w:t xml:space="preserve">bilingual communication where relevant;</w:t>
      </w:r>
    </w:p>
    <w:p>
      <w:pPr>
        <w:numPr>
          <w:ilvl w:val="0"/>
          <w:numId w:val="1025"/>
        </w:numPr>
        <w:pStyle w:val="Compact"/>
      </w:pPr>
      <w:r>
        <w:t xml:space="preserve">de-escalation;</w:t>
      </w:r>
    </w:p>
    <w:p>
      <w:pPr>
        <w:numPr>
          <w:ilvl w:val="0"/>
          <w:numId w:val="1025"/>
        </w:numPr>
        <w:pStyle w:val="Compact"/>
      </w:pPr>
      <w:r>
        <w:t xml:space="preserve">cybersecurity awareness;</w:t>
      </w:r>
    </w:p>
    <w:p>
      <w:pPr>
        <w:numPr>
          <w:ilvl w:val="0"/>
          <w:numId w:val="1025"/>
        </w:numPr>
        <w:pStyle w:val="Compact"/>
      </w:pPr>
      <w:r>
        <w:t xml:space="preserve">ethical judgment;</w:t>
      </w:r>
    </w:p>
    <w:p>
      <w:pPr>
        <w:numPr>
          <w:ilvl w:val="0"/>
          <w:numId w:val="1025"/>
        </w:numPr>
        <w:pStyle w:val="Compact"/>
      </w:pPr>
      <w:r>
        <w:t xml:space="preserve">ability to learn specialized systems and terminology.</w:t>
      </w:r>
    </w:p>
    <w:p>
      <w:pPr>
        <w:pStyle w:val="FirstParagraph"/>
      </w:pPr>
      <w:r>
        <w:t xml:space="preserve">Do not claim judicial authority, court-system access, security clearance, civil-service status, certification, legal training, or court experience you do not have.</w:t>
      </w:r>
    </w:p>
    <w:bookmarkEnd w:id="65"/>
    <w:bookmarkStart w:id="66" w:name="interview-scenarios"/>
    <w:p>
      <w:pPr>
        <w:pStyle w:val="Heading3"/>
      </w:pPr>
      <w:r>
        <w:t xml:space="preserve">Interview scenarios</w:t>
      </w:r>
    </w:p>
    <w:p>
      <w:pPr>
        <w:pStyle w:val="FirstParagraph"/>
      </w:pPr>
      <w:r>
        <w:t xml:space="preserve">Practice answering:</w:t>
      </w:r>
    </w:p>
    <w:p>
      <w:pPr>
        <w:numPr>
          <w:ilvl w:val="0"/>
          <w:numId w:val="1026"/>
        </w:numPr>
        <w:pStyle w:val="Compact"/>
      </w:pPr>
      <w:r>
        <w:t xml:space="preserve">A self-represented party asks, “What should I file to win?” What do you do?</w:t>
      </w:r>
    </w:p>
    <w:p>
      <w:pPr>
        <w:numPr>
          <w:ilvl w:val="0"/>
          <w:numId w:val="1026"/>
        </w:numPr>
        <w:pStyle w:val="Compact"/>
      </w:pPr>
      <w:r>
        <w:t xml:space="preserve">You notice a filing contains sensitive personal information. What is your next step under the court’s procedure?</w:t>
      </w:r>
    </w:p>
    <w:p>
      <w:pPr>
        <w:numPr>
          <w:ilvl w:val="0"/>
          <w:numId w:val="1026"/>
        </w:numPr>
        <w:pStyle w:val="Compact"/>
      </w:pPr>
      <w:r>
        <w:t xml:space="preserve">Two deadlines conflict. How do you verify priority?</w:t>
      </w:r>
    </w:p>
    <w:p>
      <w:pPr>
        <w:numPr>
          <w:ilvl w:val="0"/>
          <w:numId w:val="1026"/>
        </w:numPr>
        <w:pStyle w:val="Compact"/>
      </w:pPr>
      <w:r>
        <w:t xml:space="preserve">A lawyer asks you to backdate a docket entry. What do you do?</w:t>
      </w:r>
    </w:p>
    <w:p>
      <w:pPr>
        <w:numPr>
          <w:ilvl w:val="0"/>
          <w:numId w:val="1026"/>
        </w:numPr>
        <w:pStyle w:val="Compact"/>
      </w:pPr>
      <w:r>
        <w:t xml:space="preserve">A person becomes angry at the counter. How do you remain neutral and safe?</w:t>
      </w:r>
    </w:p>
    <w:p>
      <w:pPr>
        <w:numPr>
          <w:ilvl w:val="0"/>
          <w:numId w:val="1026"/>
        </w:numPr>
        <w:pStyle w:val="Compact"/>
      </w:pPr>
      <w:r>
        <w:t xml:space="preserve">You receive an urgent email asking you to reset a court-system password through a link. What do you do?</w:t>
      </w:r>
    </w:p>
    <w:p>
      <w:pPr>
        <w:numPr>
          <w:ilvl w:val="0"/>
          <w:numId w:val="1026"/>
        </w:numPr>
        <w:pStyle w:val="Compact"/>
      </w:pPr>
      <w:r>
        <w:t xml:space="preserve">An AI tool produces a procedural deadline. How do you verify it?</w:t>
      </w:r>
    </w:p>
    <w:p>
      <w:pPr>
        <w:numPr>
          <w:ilvl w:val="0"/>
          <w:numId w:val="1026"/>
        </w:numPr>
        <w:pStyle w:val="Compact"/>
      </w:pPr>
      <w:r>
        <w:t xml:space="preserve">A document and the case number do not match. What do you do before docketing?</w:t>
      </w:r>
    </w:p>
    <w:p>
      <w:pPr>
        <w:pStyle w:val="FirstParagraph"/>
      </w:pPr>
      <w:r>
        <w:t xml:space="preserve">Strong answers emphasize procedure, neutrality, verification, records integrity, security, service, and escalation.</w:t>
      </w:r>
    </w:p>
    <w:bookmarkEnd w:id="66"/>
    <w:bookmarkStart w:id="67" w:name="questions-for-the-employer"/>
    <w:p>
      <w:pPr>
        <w:pStyle w:val="Heading3"/>
      </w:pPr>
      <w:r>
        <w:t xml:space="preserve">Questions for the employer</w:t>
      </w:r>
    </w:p>
    <w:p>
      <w:pPr>
        <w:pStyle w:val="FirstParagraph"/>
      </w:pPr>
      <w:r>
        <w:t xml:space="preserve">Ask about:</w:t>
      </w:r>
    </w:p>
    <w:p>
      <w:pPr>
        <w:numPr>
          <w:ilvl w:val="0"/>
          <w:numId w:val="1027"/>
        </w:numPr>
        <w:pStyle w:val="Compact"/>
      </w:pPr>
      <w:r>
        <w:t xml:space="preserve">classification and grade;</w:t>
      </w:r>
    </w:p>
    <w:p>
      <w:pPr>
        <w:numPr>
          <w:ilvl w:val="0"/>
          <w:numId w:val="1027"/>
        </w:numPr>
        <w:pStyle w:val="Compact"/>
      </w:pPr>
      <w:r>
        <w:t xml:space="preserve">training period;</w:t>
      </w:r>
    </w:p>
    <w:p>
      <w:pPr>
        <w:numPr>
          <w:ilvl w:val="0"/>
          <w:numId w:val="1027"/>
        </w:numPr>
        <w:pStyle w:val="Compact"/>
      </w:pPr>
      <w:r>
        <w:t xml:space="preserve">court systems used;</w:t>
      </w:r>
    </w:p>
    <w:p>
      <w:pPr>
        <w:numPr>
          <w:ilvl w:val="0"/>
          <w:numId w:val="1027"/>
        </w:numPr>
        <w:pStyle w:val="Compact"/>
      </w:pPr>
      <w:r>
        <w:t xml:space="preserve">public-contact volume;</w:t>
      </w:r>
    </w:p>
    <w:p>
      <w:pPr>
        <w:numPr>
          <w:ilvl w:val="0"/>
          <w:numId w:val="1027"/>
        </w:numPr>
        <w:pStyle w:val="Compact"/>
      </w:pPr>
      <w:r>
        <w:t xml:space="preserve">courtroom versus office duties;</w:t>
      </w:r>
    </w:p>
    <w:p>
      <w:pPr>
        <w:numPr>
          <w:ilvl w:val="0"/>
          <w:numId w:val="1027"/>
        </w:numPr>
        <w:pStyle w:val="Compact"/>
      </w:pPr>
      <w:r>
        <w:t xml:space="preserve">schedule and overtime;</w:t>
      </w:r>
    </w:p>
    <w:p>
      <w:pPr>
        <w:numPr>
          <w:ilvl w:val="0"/>
          <w:numId w:val="1027"/>
        </w:numPr>
        <w:pStyle w:val="Compact"/>
      </w:pPr>
      <w:r>
        <w:t xml:space="preserve">background/suitability process;</w:t>
      </w:r>
    </w:p>
    <w:p>
      <w:pPr>
        <w:numPr>
          <w:ilvl w:val="0"/>
          <w:numId w:val="1027"/>
        </w:numPr>
        <w:pStyle w:val="Compact"/>
      </w:pPr>
      <w:r>
        <w:t xml:space="preserve">records and privacy training;</w:t>
      </w:r>
    </w:p>
    <w:p>
      <w:pPr>
        <w:numPr>
          <w:ilvl w:val="0"/>
          <w:numId w:val="1027"/>
        </w:numPr>
        <w:pStyle w:val="Compact"/>
      </w:pPr>
      <w:r>
        <w:t xml:space="preserve">cybersecurity expectations;</w:t>
      </w:r>
    </w:p>
    <w:p>
      <w:pPr>
        <w:numPr>
          <w:ilvl w:val="0"/>
          <w:numId w:val="1027"/>
        </w:numPr>
        <w:pStyle w:val="Compact"/>
      </w:pPr>
      <w:r>
        <w:t xml:space="preserve">interpreter/accessibility procedures;</w:t>
      </w:r>
    </w:p>
    <w:p>
      <w:pPr>
        <w:numPr>
          <w:ilvl w:val="0"/>
          <w:numId w:val="1027"/>
        </w:numPr>
        <w:pStyle w:val="Compact"/>
      </w:pPr>
      <w:r>
        <w:t xml:space="preserve">AI-use policy;</w:t>
      </w:r>
    </w:p>
    <w:p>
      <w:pPr>
        <w:numPr>
          <w:ilvl w:val="0"/>
          <w:numId w:val="1027"/>
        </w:numPr>
        <w:pStyle w:val="Compact"/>
      </w:pPr>
      <w:r>
        <w:t xml:space="preserve">promotion pathways;</w:t>
      </w:r>
    </w:p>
    <w:p>
      <w:pPr>
        <w:numPr>
          <w:ilvl w:val="0"/>
          <w:numId w:val="1027"/>
        </w:numPr>
        <w:pStyle w:val="Compact"/>
      </w:pPr>
      <w:r>
        <w:t xml:space="preserve">civil-service, merit, union, or appointment status where relevant.</w:t>
      </w:r>
    </w:p>
    <w:p>
      <w:r>
        <w:pict>
          <v:rect style="width:0;height:1.5pt" o:hralign="center" o:hrstd="t" o:hr="t"/>
        </w:pict>
      </w:r>
    </w:p>
    <w:bookmarkEnd w:id="67"/>
    <w:bookmarkEnd w:id="68"/>
    <w:bookmarkStart w:id="76" w:name="X99bdf8c3d07a46829f80920b5227592067d0cd9"/>
    <w:p>
      <w:pPr>
        <w:pStyle w:val="Heading2"/>
      </w:pPr>
      <w:r>
        <w:t xml:space="preserve">18. Twelve-week entry plan and progression</w:t>
      </w:r>
    </w:p>
    <w:bookmarkStart w:id="69" w:name="weeks-12--map-the-target-court"/>
    <w:p>
      <w:pPr>
        <w:pStyle w:val="Heading3"/>
      </w:pPr>
      <w:r>
        <w:t xml:space="preserve">Weeks 1–2 — Map the target court</w:t>
      </w:r>
    </w:p>
    <w:p>
      <w:pPr>
        <w:numPr>
          <w:ilvl w:val="0"/>
          <w:numId w:val="1028"/>
        </w:numPr>
        <w:pStyle w:val="Compact"/>
      </w:pPr>
      <w:r>
        <w:t xml:space="preserve">Identify the court system and jurisdiction.</w:t>
      </w:r>
    </w:p>
    <w:p>
      <w:pPr>
        <w:numPr>
          <w:ilvl w:val="0"/>
          <w:numId w:val="1028"/>
        </w:numPr>
        <w:pStyle w:val="Compact"/>
      </w:pPr>
      <w:r>
        <w:t xml:space="preserve">Read 15–20 current job postings if available.</w:t>
      </w:r>
    </w:p>
    <w:p>
      <w:pPr>
        <w:numPr>
          <w:ilvl w:val="0"/>
          <w:numId w:val="1028"/>
        </w:numPr>
        <w:pStyle w:val="Compact"/>
      </w:pPr>
      <w:r>
        <w:t xml:space="preserve">Compare clerk, deputy clerk, courtroom deputy, records, docket, and judicial-assistant roles.</w:t>
      </w:r>
    </w:p>
    <w:p>
      <w:pPr>
        <w:numPr>
          <w:ilvl w:val="0"/>
          <w:numId w:val="1028"/>
        </w:numPr>
        <w:pStyle w:val="Compact"/>
      </w:pPr>
      <w:r>
        <w:t xml:space="preserve">Identify minimum education, experience, security, and application requirements.</w:t>
      </w:r>
    </w:p>
    <w:bookmarkEnd w:id="69"/>
    <w:bookmarkStart w:id="70" w:name="Xa07ad1c94805d24f4f578027b9d6713da15f1ef"/>
    <w:p>
      <w:pPr>
        <w:pStyle w:val="Heading3"/>
      </w:pPr>
      <w:r>
        <w:t xml:space="preserve">Weeks 3–4 — Build procedure and records skills</w:t>
      </w:r>
    </w:p>
    <w:p>
      <w:pPr>
        <w:numPr>
          <w:ilvl w:val="0"/>
          <w:numId w:val="1029"/>
        </w:numPr>
        <w:pStyle w:val="Compact"/>
      </w:pPr>
      <w:r>
        <w:t xml:space="preserve">Practice document intake using fictional files.</w:t>
      </w:r>
    </w:p>
    <w:p>
      <w:pPr>
        <w:numPr>
          <w:ilvl w:val="0"/>
          <w:numId w:val="1029"/>
        </w:numPr>
        <w:pStyle w:val="Compact"/>
      </w:pPr>
      <w:r>
        <w:t xml:space="preserve">Practice accurate data entry.</w:t>
      </w:r>
    </w:p>
    <w:p>
      <w:pPr>
        <w:numPr>
          <w:ilvl w:val="0"/>
          <w:numId w:val="1029"/>
        </w:numPr>
        <w:pStyle w:val="Compact"/>
      </w:pPr>
      <w:r>
        <w:t xml:space="preserve">Create deadline and docket exercises.</w:t>
      </w:r>
    </w:p>
    <w:p>
      <w:pPr>
        <w:numPr>
          <w:ilvl w:val="0"/>
          <w:numId w:val="1029"/>
        </w:numPr>
        <w:pStyle w:val="Compact"/>
      </w:pPr>
      <w:r>
        <w:t xml:space="preserve">Learn PDF, spreadsheet, and document-management fundamentals.</w:t>
      </w:r>
    </w:p>
    <w:p>
      <w:pPr>
        <w:numPr>
          <w:ilvl w:val="0"/>
          <w:numId w:val="1029"/>
        </w:numPr>
        <w:pStyle w:val="Compact"/>
      </w:pPr>
      <w:r>
        <w:t xml:space="preserve">Practice procedural-information versus legal-advice boundaries.</w:t>
      </w:r>
    </w:p>
    <w:bookmarkEnd w:id="70"/>
    <w:bookmarkStart w:id="71" w:name="Xf3700bd302b86d8a601a7a11959f0080dbdc83f"/>
    <w:p>
      <w:pPr>
        <w:pStyle w:val="Heading3"/>
      </w:pPr>
      <w:r>
        <w:t xml:space="preserve">Weeks 5–6 — Strengthen public-service and security skills</w:t>
      </w:r>
    </w:p>
    <w:p>
      <w:pPr>
        <w:numPr>
          <w:ilvl w:val="0"/>
          <w:numId w:val="1030"/>
        </w:numPr>
        <w:pStyle w:val="Compact"/>
      </w:pPr>
      <w:r>
        <w:t xml:space="preserve">Practice neutral explanations of fictional procedures.</w:t>
      </w:r>
    </w:p>
    <w:p>
      <w:pPr>
        <w:numPr>
          <w:ilvl w:val="0"/>
          <w:numId w:val="1030"/>
        </w:numPr>
        <w:pStyle w:val="Compact"/>
      </w:pPr>
      <w:r>
        <w:t xml:space="preserve">Practice de-escalation scenarios.</w:t>
      </w:r>
    </w:p>
    <w:p>
      <w:pPr>
        <w:numPr>
          <w:ilvl w:val="0"/>
          <w:numId w:val="1030"/>
        </w:numPr>
        <w:pStyle w:val="Compact"/>
      </w:pPr>
      <w:r>
        <w:t xml:space="preserve">Review phishing, MFA, privacy, redaction, and records-integrity fundamentals.</w:t>
      </w:r>
    </w:p>
    <w:p>
      <w:pPr>
        <w:numPr>
          <w:ilvl w:val="0"/>
          <w:numId w:val="1030"/>
        </w:numPr>
        <w:pStyle w:val="Compact"/>
      </w:pPr>
      <w:r>
        <w:t xml:space="preserve">Learn how and when to escalate.</w:t>
      </w:r>
    </w:p>
    <w:bookmarkEnd w:id="71"/>
    <w:bookmarkStart w:id="72" w:name="weeks-78--prepare-application-evidence"/>
    <w:p>
      <w:pPr>
        <w:pStyle w:val="Heading3"/>
      </w:pPr>
      <w:r>
        <w:t xml:space="preserve">Weeks 7–8 — Prepare application evidence</w:t>
      </w:r>
    </w:p>
    <w:p>
      <w:pPr>
        <w:numPr>
          <w:ilvl w:val="0"/>
          <w:numId w:val="1031"/>
        </w:numPr>
        <w:pStyle w:val="Compact"/>
      </w:pPr>
      <w:r>
        <w:t xml:space="preserve">Build a truthful targeted resume.</w:t>
      </w:r>
    </w:p>
    <w:p>
      <w:pPr>
        <w:numPr>
          <w:ilvl w:val="0"/>
          <w:numId w:val="1031"/>
        </w:numPr>
        <w:pStyle w:val="Compact"/>
      </w:pPr>
      <w:r>
        <w:t xml:space="preserve">Prepare accuracy, deadline, public-service, ethics, and confidentiality examples.</w:t>
      </w:r>
    </w:p>
    <w:p>
      <w:pPr>
        <w:numPr>
          <w:ilvl w:val="0"/>
          <w:numId w:val="1031"/>
        </w:numPr>
        <w:pStyle w:val="Compact"/>
      </w:pPr>
      <w:r>
        <w:t xml:space="preserve">Practice structured interview responses.</w:t>
      </w:r>
    </w:p>
    <w:p>
      <w:pPr>
        <w:numPr>
          <w:ilvl w:val="0"/>
          <w:numId w:val="1031"/>
        </w:numPr>
        <w:pStyle w:val="Compact"/>
      </w:pPr>
      <w:r>
        <w:t xml:space="preserve">Collect required records or application documents.</w:t>
      </w:r>
    </w:p>
    <w:bookmarkEnd w:id="72"/>
    <w:bookmarkStart w:id="73" w:name="weeks-910--verify-training-and-funding"/>
    <w:p>
      <w:pPr>
        <w:pStyle w:val="Heading3"/>
      </w:pPr>
      <w:r>
        <w:t xml:space="preserve">Weeks 9–10 — Verify training and funding</w:t>
      </w:r>
    </w:p>
    <w:p>
      <w:pPr>
        <w:pStyle w:val="FirstParagraph"/>
      </w:pPr>
      <w:r>
        <w:t xml:space="preserve">Before paying for education, verify:</w:t>
      </w:r>
    </w:p>
    <w:p>
      <w:pPr>
        <w:numPr>
          <w:ilvl w:val="0"/>
          <w:numId w:val="1032"/>
        </w:numPr>
        <w:pStyle w:val="Compact"/>
      </w:pPr>
      <w:r>
        <w:t xml:space="preserve">exact employer requirement;</w:t>
      </w:r>
    </w:p>
    <w:p>
      <w:pPr>
        <w:numPr>
          <w:ilvl w:val="0"/>
          <w:numId w:val="1032"/>
        </w:numPr>
        <w:pStyle w:val="Compact"/>
      </w:pPr>
      <w:r>
        <w:t xml:space="preserve">recognized provider status;</w:t>
      </w:r>
    </w:p>
    <w:p>
      <w:pPr>
        <w:numPr>
          <w:ilvl w:val="0"/>
          <w:numId w:val="1032"/>
        </w:numPr>
        <w:pStyle w:val="Compact"/>
      </w:pPr>
      <w:r>
        <w:t xml:space="preserve">total cost and fees;</w:t>
      </w:r>
    </w:p>
    <w:p>
      <w:pPr>
        <w:numPr>
          <w:ilvl w:val="0"/>
          <w:numId w:val="1032"/>
        </w:numPr>
        <w:pStyle w:val="Compact"/>
      </w:pPr>
      <w:r>
        <w:t xml:space="preserve">refund/withdrawal rules;</w:t>
      </w:r>
    </w:p>
    <w:p>
      <w:pPr>
        <w:numPr>
          <w:ilvl w:val="0"/>
          <w:numId w:val="1032"/>
        </w:numPr>
        <w:pStyle w:val="Compact"/>
      </w:pPr>
      <w:r>
        <w:t xml:space="preserve">public workforce support;</w:t>
      </w:r>
    </w:p>
    <w:p>
      <w:pPr>
        <w:numPr>
          <w:ilvl w:val="0"/>
          <w:numId w:val="1032"/>
        </w:numPr>
        <w:pStyle w:val="Compact"/>
      </w:pPr>
      <w:r>
        <w:t xml:space="preserve">FAFSA eligibility where relevant;</w:t>
      </w:r>
    </w:p>
    <w:p>
      <w:pPr>
        <w:numPr>
          <w:ilvl w:val="0"/>
          <w:numId w:val="1032"/>
        </w:numPr>
        <w:pStyle w:val="Compact"/>
      </w:pPr>
      <w:r>
        <w:t xml:space="preserve">employer education benefits;</w:t>
      </w:r>
    </w:p>
    <w:p>
      <w:pPr>
        <w:numPr>
          <w:ilvl w:val="0"/>
          <w:numId w:val="1032"/>
        </w:numPr>
        <w:pStyle w:val="Compact"/>
      </w:pPr>
      <w:r>
        <w:t xml:space="preserve">accommodations;</w:t>
      </w:r>
    </w:p>
    <w:p>
      <w:pPr>
        <w:numPr>
          <w:ilvl w:val="0"/>
          <w:numId w:val="1032"/>
        </w:numPr>
        <w:pStyle w:val="Compact"/>
      </w:pPr>
      <w:r>
        <w:t xml:space="preserve">whether training actually improves eligibility for target vacancies.</w:t>
      </w:r>
    </w:p>
    <w:bookmarkEnd w:id="73"/>
    <w:bookmarkStart w:id="74" w:name="weeks-1112--apply-and-refine"/>
    <w:p>
      <w:pPr>
        <w:pStyle w:val="Heading3"/>
      </w:pPr>
      <w:r>
        <w:t xml:space="preserve">Weeks 11–12 — Apply and refine</w:t>
      </w:r>
    </w:p>
    <w:p>
      <w:pPr>
        <w:numPr>
          <w:ilvl w:val="0"/>
          <w:numId w:val="1033"/>
        </w:numPr>
        <w:pStyle w:val="Compact"/>
      </w:pPr>
      <w:r>
        <w:t xml:space="preserve">Submit complete applications exactly as instructed.</w:t>
      </w:r>
    </w:p>
    <w:p>
      <w:pPr>
        <w:numPr>
          <w:ilvl w:val="0"/>
          <w:numId w:val="1033"/>
        </w:numPr>
        <w:pStyle w:val="Compact"/>
      </w:pPr>
      <w:r>
        <w:t xml:space="preserve">Track screening results.</w:t>
      </w:r>
    </w:p>
    <w:p>
      <w:pPr>
        <w:numPr>
          <w:ilvl w:val="0"/>
          <w:numId w:val="1033"/>
        </w:numPr>
        <w:pStyle w:val="Compact"/>
      </w:pPr>
      <w:r>
        <w:t xml:space="preserve">Identify repeated qualification gaps.</w:t>
      </w:r>
    </w:p>
    <w:p>
      <w:pPr>
        <w:numPr>
          <w:ilvl w:val="0"/>
          <w:numId w:val="1033"/>
        </w:numPr>
        <w:pStyle w:val="Compact"/>
      </w:pPr>
      <w:r>
        <w:t xml:space="preserve">Improve one evidence-based gap at a time.</w:t>
      </w:r>
    </w:p>
    <w:p>
      <w:pPr>
        <w:numPr>
          <w:ilvl w:val="0"/>
          <w:numId w:val="1033"/>
        </w:numPr>
        <w:pStyle w:val="Compact"/>
      </w:pPr>
      <w:r>
        <w:t xml:space="preserve">Avoid unnecessary credentials that target courts do not value.</w:t>
      </w:r>
    </w:p>
    <w:bookmarkEnd w:id="74"/>
    <w:bookmarkStart w:id="75" w:name="possible-progression"/>
    <w:p>
      <w:pPr>
        <w:pStyle w:val="Heading3"/>
      </w:pPr>
      <w:r>
        <w:t xml:space="preserve">Possible progression</w:t>
      </w:r>
    </w:p>
    <w:p>
      <w:pPr>
        <w:pStyle w:val="FirstParagraph"/>
      </w:pPr>
      <w:r>
        <w:t xml:space="preserve">Depending on jurisdiction, experience, education, examinations, appointment rules, and employer structure, possible paths include:</w:t>
      </w:r>
    </w:p>
    <w:p>
      <w:pPr>
        <w:numPr>
          <w:ilvl w:val="0"/>
          <w:numId w:val="1034"/>
        </w:numPr>
        <w:pStyle w:val="Compact"/>
      </w:pPr>
      <w:r>
        <w:t xml:space="preserve">senior clerk;</w:t>
      </w:r>
    </w:p>
    <w:p>
      <w:pPr>
        <w:numPr>
          <w:ilvl w:val="0"/>
          <w:numId w:val="1034"/>
        </w:numPr>
        <w:pStyle w:val="Compact"/>
      </w:pPr>
      <w:r>
        <w:t xml:space="preserve">deputy clerk;</w:t>
      </w:r>
    </w:p>
    <w:p>
      <w:pPr>
        <w:numPr>
          <w:ilvl w:val="0"/>
          <w:numId w:val="1034"/>
        </w:numPr>
        <w:pStyle w:val="Compact"/>
      </w:pPr>
      <w:r>
        <w:t xml:space="preserve">courtroom deputy;</w:t>
      </w:r>
    </w:p>
    <w:p>
      <w:pPr>
        <w:numPr>
          <w:ilvl w:val="0"/>
          <w:numId w:val="1034"/>
        </w:numPr>
        <w:pStyle w:val="Compact"/>
      </w:pPr>
      <w:r>
        <w:t xml:space="preserve">docket or records specialist;</w:t>
      </w:r>
    </w:p>
    <w:p>
      <w:pPr>
        <w:numPr>
          <w:ilvl w:val="0"/>
          <w:numId w:val="1034"/>
        </w:numPr>
        <w:pStyle w:val="Compact"/>
      </w:pPr>
      <w:r>
        <w:t xml:space="preserve">jury operations;</w:t>
      </w:r>
    </w:p>
    <w:p>
      <w:pPr>
        <w:numPr>
          <w:ilvl w:val="0"/>
          <w:numId w:val="1034"/>
        </w:numPr>
        <w:pStyle w:val="Compact"/>
      </w:pPr>
      <w:r>
        <w:t xml:space="preserve">finance or intake specialist;</w:t>
      </w:r>
    </w:p>
    <w:p>
      <w:pPr>
        <w:numPr>
          <w:ilvl w:val="0"/>
          <w:numId w:val="1034"/>
        </w:numPr>
        <w:pStyle w:val="Compact"/>
      </w:pPr>
      <w:r>
        <w:t xml:space="preserve">case-management specialist;</w:t>
      </w:r>
    </w:p>
    <w:p>
      <w:pPr>
        <w:numPr>
          <w:ilvl w:val="0"/>
          <w:numId w:val="1034"/>
        </w:numPr>
        <w:pStyle w:val="Compact"/>
      </w:pPr>
      <w:r>
        <w:t xml:space="preserve">court operations supervisor;</w:t>
      </w:r>
    </w:p>
    <w:p>
      <w:pPr>
        <w:numPr>
          <w:ilvl w:val="0"/>
          <w:numId w:val="1034"/>
        </w:numPr>
        <w:pStyle w:val="Compact"/>
      </w:pPr>
      <w:r>
        <w:t xml:space="preserve">court administrator;</w:t>
      </w:r>
    </w:p>
    <w:p>
      <w:pPr>
        <w:numPr>
          <w:ilvl w:val="0"/>
          <w:numId w:val="1034"/>
        </w:numPr>
        <w:pStyle w:val="Compact"/>
      </w:pPr>
      <w:r>
        <w:t xml:space="preserve">judicial administrative support;</w:t>
      </w:r>
    </w:p>
    <w:p>
      <w:pPr>
        <w:numPr>
          <w:ilvl w:val="0"/>
          <w:numId w:val="1034"/>
        </w:numPr>
        <w:pStyle w:val="Compact"/>
      </w:pPr>
      <w:r>
        <w:t xml:space="preserve">e-filing or records-system specialist;</w:t>
      </w:r>
    </w:p>
    <w:p>
      <w:pPr>
        <w:numPr>
          <w:ilvl w:val="0"/>
          <w:numId w:val="1034"/>
        </w:numPr>
        <w:pStyle w:val="Compact"/>
      </w:pPr>
      <w:r>
        <w:t xml:space="preserve">language-access or accessibility coordination support;</w:t>
      </w:r>
    </w:p>
    <w:p>
      <w:pPr>
        <w:numPr>
          <w:ilvl w:val="0"/>
          <w:numId w:val="1034"/>
        </w:numPr>
        <w:pStyle w:val="Compact"/>
      </w:pPr>
      <w:r>
        <w:t xml:space="preserve">further education for legally trained judicial, legal, or administrative careers.</w:t>
      </w:r>
    </w:p>
    <w:p>
      <w:pPr>
        <w:pStyle w:val="FirstParagraph"/>
      </w:pPr>
      <w:r>
        <w:t xml:space="preserve">Progression is not automatic. Some roles require materially different credentials or legal education.</w:t>
      </w:r>
    </w:p>
    <w:p>
      <w:r>
        <w:pict>
          <v:rect style="width:0;height:1.5pt" o:hralign="center" o:hrstd="t" o:hr="t"/>
        </w:pict>
      </w:r>
    </w:p>
    <w:bookmarkEnd w:id="75"/>
    <w:bookmarkEnd w:id="76"/>
    <w:bookmarkStart w:id="97" w:name="X08142858916a525167214a76a07768eb9b86834"/>
    <w:p>
      <w:pPr>
        <w:pStyle w:val="Heading2"/>
      </w:pPr>
      <w:r>
        <w:t xml:space="preserve">19. Verification checklist, sources, disclaimers, authorship, and license</w:t>
      </w:r>
    </w:p>
    <w:bookmarkStart w:id="77" w:name="verify-before-making-a-decision"/>
    <w:p>
      <w:pPr>
        <w:pStyle w:val="Heading3"/>
      </w:pPr>
      <w:r>
        <w:t xml:space="preserve">Verify before making a decision</w:t>
      </w:r>
    </w:p>
    <w:p>
      <w:pPr>
        <w:numPr>
          <w:ilvl w:val="0"/>
          <w:numId w:val="1035"/>
        </w:numPr>
        <w:pStyle w:val="Compact"/>
      </w:pPr>
      <w:r>
        <w:t xml:space="preserve">☐ exact court system and jurisdiction;</w:t>
      </w:r>
    </w:p>
    <w:p>
      <w:pPr>
        <w:numPr>
          <w:ilvl w:val="0"/>
          <w:numId w:val="1035"/>
        </w:numPr>
        <w:pStyle w:val="Compact"/>
      </w:pPr>
      <w:r>
        <w:t xml:space="preserve">☐ exact job classification and vacancy;</w:t>
      </w:r>
    </w:p>
    <w:p>
      <w:pPr>
        <w:numPr>
          <w:ilvl w:val="0"/>
          <w:numId w:val="1035"/>
        </w:numPr>
        <w:pStyle w:val="Compact"/>
      </w:pPr>
      <w:r>
        <w:t xml:space="preserve">☐ education and experience requirements;</w:t>
      </w:r>
    </w:p>
    <w:p>
      <w:pPr>
        <w:numPr>
          <w:ilvl w:val="0"/>
          <w:numId w:val="1035"/>
        </w:numPr>
        <w:pStyle w:val="Compact"/>
      </w:pPr>
      <w:r>
        <w:t xml:space="preserve">☐ civil-service, merit, examination, or appointment process;</w:t>
      </w:r>
    </w:p>
    <w:p>
      <w:pPr>
        <w:numPr>
          <w:ilvl w:val="0"/>
          <w:numId w:val="1035"/>
        </w:numPr>
        <w:pStyle w:val="Compact"/>
      </w:pPr>
      <w:r>
        <w:t xml:space="preserve">☐ citizenship/work-authorization conditions;</w:t>
      </w:r>
    </w:p>
    <w:p>
      <w:pPr>
        <w:numPr>
          <w:ilvl w:val="0"/>
          <w:numId w:val="1035"/>
        </w:numPr>
        <w:pStyle w:val="Compact"/>
      </w:pPr>
      <w:r>
        <w:t xml:space="preserve">☐ background, fingerprint, clearance, or suitability requirements;</w:t>
      </w:r>
    </w:p>
    <w:p>
      <w:pPr>
        <w:numPr>
          <w:ilvl w:val="0"/>
          <w:numId w:val="1035"/>
        </w:numPr>
        <w:pStyle w:val="Compact"/>
      </w:pPr>
      <w:r>
        <w:t xml:space="preserve">☐ job-specific courtroom authority;</w:t>
      </w:r>
    </w:p>
    <w:p>
      <w:pPr>
        <w:numPr>
          <w:ilvl w:val="0"/>
          <w:numId w:val="1035"/>
        </w:numPr>
        <w:pStyle w:val="Compact"/>
      </w:pPr>
      <w:r>
        <w:t xml:space="preserve">☐ rules for procedural information versus legal advice;</w:t>
      </w:r>
    </w:p>
    <w:p>
      <w:pPr>
        <w:numPr>
          <w:ilvl w:val="0"/>
          <w:numId w:val="1035"/>
        </w:numPr>
        <w:pStyle w:val="Compact"/>
      </w:pPr>
      <w:r>
        <w:t xml:space="preserve">☐ records, sealing, privacy, redaction, and disclosure rules;</w:t>
      </w:r>
    </w:p>
    <w:p>
      <w:pPr>
        <w:numPr>
          <w:ilvl w:val="0"/>
          <w:numId w:val="1035"/>
        </w:numPr>
        <w:pStyle w:val="Compact"/>
      </w:pPr>
      <w:r>
        <w:t xml:space="preserve">☐ fee/payment and reconciliation procedures;</w:t>
      </w:r>
    </w:p>
    <w:p>
      <w:pPr>
        <w:numPr>
          <w:ilvl w:val="0"/>
          <w:numId w:val="1035"/>
        </w:numPr>
        <w:pStyle w:val="Compact"/>
      </w:pPr>
      <w:r>
        <w:t xml:space="preserve">☐ cybersecurity and authentication requirements;</w:t>
      </w:r>
    </w:p>
    <w:p>
      <w:pPr>
        <w:numPr>
          <w:ilvl w:val="0"/>
          <w:numId w:val="1035"/>
        </w:numPr>
        <w:pStyle w:val="Compact"/>
      </w:pPr>
      <w:r>
        <w:t xml:space="preserve">☐ accessibility and interpreter procedures;</w:t>
      </w:r>
    </w:p>
    <w:p>
      <w:pPr>
        <w:numPr>
          <w:ilvl w:val="0"/>
          <w:numId w:val="1035"/>
        </w:numPr>
        <w:pStyle w:val="Compact"/>
      </w:pPr>
      <w:r>
        <w:t xml:space="preserve">☐ employer AI-use policy;</w:t>
      </w:r>
    </w:p>
    <w:p>
      <w:pPr>
        <w:numPr>
          <w:ilvl w:val="0"/>
          <w:numId w:val="1035"/>
        </w:numPr>
        <w:pStyle w:val="Compact"/>
      </w:pPr>
      <w:r>
        <w:t xml:space="preserve">☐ salary, grade, benefits, schedule, and overtime;</w:t>
      </w:r>
    </w:p>
    <w:p>
      <w:pPr>
        <w:numPr>
          <w:ilvl w:val="0"/>
          <w:numId w:val="1035"/>
        </w:numPr>
        <w:pStyle w:val="Compact"/>
      </w:pPr>
      <w:r>
        <w:t xml:space="preserve">☐ training cost, recognition, refund, and funding terms;</w:t>
      </w:r>
    </w:p>
    <w:p>
      <w:pPr>
        <w:numPr>
          <w:ilvl w:val="0"/>
          <w:numId w:val="1035"/>
        </w:numPr>
        <w:pStyle w:val="Compact"/>
      </w:pPr>
      <w:r>
        <w:t xml:space="preserve">☐ actual registration of any program marketed as Registered Apprenticeship.</w:t>
      </w:r>
    </w:p>
    <w:bookmarkEnd w:id="77"/>
    <w:bookmarkStart w:id="93" w:name="Xe1a9692a838ae0402dd0570fae8640fb5f3e7d8"/>
    <w:p>
      <w:pPr>
        <w:pStyle w:val="Heading3"/>
      </w:pPr>
      <w:r>
        <w:t xml:space="preserve">Controlled sources reviewed for this edition</w:t>
      </w:r>
    </w:p>
    <w:p>
      <w:pPr>
        <w:pStyle w:val="FirstParagraph"/>
      </w:pPr>
      <w:r>
        <w:rPr>
          <w:bCs/>
          <w:b/>
        </w:rPr>
        <w:t xml:space="preserve">United States occupation and labor market</w:t>
      </w:r>
    </w:p>
    <w:p>
      <w:pPr>
        <w:numPr>
          <w:ilvl w:val="0"/>
          <w:numId w:val="1036"/>
        </w:numPr>
        <w:pStyle w:val="Compact"/>
      </w:pPr>
      <w:r>
        <w:t xml:space="preserve">O*NET OnLine — Court, Municipal, and License Clerks 43-4031.00:</w:t>
      </w:r>
      <w:r>
        <w:t xml:space="preserve"> </w:t>
      </w:r>
      <w:hyperlink r:id="rId78">
        <w:r>
          <w:rPr>
            <w:rStyle w:val="Hyperlink"/>
          </w:rPr>
          <w:t xml:space="preserve">https://www.onetonline.org/link/details/43-4031.00</w:t>
        </w:r>
      </w:hyperlink>
    </w:p>
    <w:p>
      <w:pPr>
        <w:pStyle w:val="FirstParagraph"/>
      </w:pPr>
      <w:r>
        <w:rPr>
          <w:bCs/>
          <w:b/>
        </w:rPr>
        <w:t xml:space="preserve">United States federal Judiciary work, ethics, records, and careers</w:t>
      </w:r>
    </w:p>
    <w:p>
      <w:pPr>
        <w:numPr>
          <w:ilvl w:val="0"/>
          <w:numId w:val="1037"/>
        </w:numPr>
        <w:pStyle w:val="Compact"/>
      </w:pPr>
      <w:r>
        <w:t xml:space="preserve">U.S. Courts — Court Administration and Services Careers:</w:t>
      </w:r>
      <w:r>
        <w:t xml:space="preserve"> </w:t>
      </w:r>
      <w:hyperlink r:id="rId79">
        <w:r>
          <w:rPr>
            <w:rStyle w:val="Hyperlink"/>
          </w:rPr>
          <w:t xml:space="preserve">https://www.uscourts.gov/careers/who-works-judiciary/court-administration-and-services-careers</w:t>
        </w:r>
      </w:hyperlink>
    </w:p>
    <w:p>
      <w:pPr>
        <w:numPr>
          <w:ilvl w:val="0"/>
          <w:numId w:val="1037"/>
        </w:numPr>
        <w:pStyle w:val="Compact"/>
      </w:pPr>
      <w:r>
        <w:t xml:space="preserve">U.S. Courts — Careers:</w:t>
      </w:r>
      <w:r>
        <w:t xml:space="preserve"> </w:t>
      </w:r>
      <w:hyperlink r:id="rId80">
        <w:r>
          <w:rPr>
            <w:rStyle w:val="Hyperlink"/>
          </w:rPr>
          <w:t xml:space="preserve">https://www.uscourts.gov/careers</w:t>
        </w:r>
      </w:hyperlink>
    </w:p>
    <w:p>
      <w:pPr>
        <w:numPr>
          <w:ilvl w:val="0"/>
          <w:numId w:val="1037"/>
        </w:numPr>
        <w:pStyle w:val="Compact"/>
      </w:pPr>
      <w:r>
        <w:t xml:space="preserve">U.S. Courts — Search Judiciary Jobs:</w:t>
      </w:r>
      <w:r>
        <w:t xml:space="preserve"> </w:t>
      </w:r>
      <w:hyperlink r:id="rId81">
        <w:r>
          <w:rPr>
            <w:rStyle w:val="Hyperlink"/>
          </w:rPr>
          <w:t xml:space="preserve">https://www.uscourts.gov/careers/search-judiciary-jobs</w:t>
        </w:r>
      </w:hyperlink>
    </w:p>
    <w:p>
      <w:pPr>
        <w:numPr>
          <w:ilvl w:val="0"/>
          <w:numId w:val="1037"/>
        </w:numPr>
        <w:pStyle w:val="Compact"/>
      </w:pPr>
      <w:r>
        <w:t xml:space="preserve">U.S. Courts — Code of Conduct for Judicial Employees:</w:t>
      </w:r>
      <w:r>
        <w:t xml:space="preserve"> </w:t>
      </w:r>
      <w:hyperlink r:id="rId82">
        <w:r>
          <w:rPr>
            <w:rStyle w:val="Hyperlink"/>
          </w:rPr>
          <w:t xml:space="preserve">https://www.uscourts.gov/administration-policies/judiciary-policies/ethics-policies/code-conduct-judicial-employees</w:t>
        </w:r>
      </w:hyperlink>
    </w:p>
    <w:p>
      <w:pPr>
        <w:numPr>
          <w:ilvl w:val="0"/>
          <w:numId w:val="1037"/>
        </w:numPr>
        <w:pStyle w:val="Compact"/>
      </w:pPr>
      <w:r>
        <w:t xml:space="preserve">U.S. Courts — CM/ECF FAQs:</w:t>
      </w:r>
      <w:r>
        <w:t xml:space="preserve"> </w:t>
      </w:r>
      <w:hyperlink r:id="rId83">
        <w:r>
          <w:rPr>
            <w:rStyle w:val="Hyperlink"/>
          </w:rPr>
          <w:t xml:space="preserve">https://www.uscourts.gov/court-records/file-a-case-cm-ecf/faqs-case-management-electronic-case-files-cm-ecf</w:t>
        </w:r>
      </w:hyperlink>
    </w:p>
    <w:p>
      <w:pPr>
        <w:numPr>
          <w:ilvl w:val="0"/>
          <w:numId w:val="1037"/>
        </w:numPr>
        <w:pStyle w:val="Compact"/>
      </w:pPr>
      <w:r>
        <w:t xml:space="preserve">U.S. Courts — Privacy Policy for Electronic Case Files:</w:t>
      </w:r>
      <w:r>
        <w:t xml:space="preserve"> </w:t>
      </w:r>
      <w:hyperlink r:id="rId84">
        <w:r>
          <w:rPr>
            <w:rStyle w:val="Hyperlink"/>
          </w:rPr>
          <w:t xml:space="preserve">https://www.uscourts.gov/privacy-policy-electronic-case-files</w:t>
        </w:r>
      </w:hyperlink>
    </w:p>
    <w:p>
      <w:pPr>
        <w:pStyle w:val="FirstParagraph"/>
      </w:pPr>
      <w:r>
        <w:rPr>
          <w:bCs/>
          <w:b/>
        </w:rPr>
        <w:t xml:space="preserve">Canada</w:t>
      </w:r>
    </w:p>
    <w:p>
      <w:pPr>
        <w:numPr>
          <w:ilvl w:val="0"/>
          <w:numId w:val="1038"/>
        </w:numPr>
        <w:pStyle w:val="Compact"/>
      </w:pPr>
      <w:r>
        <w:t xml:space="preserve">Government of Canada Job Bank — Judicial Clerk / NOC 14103 summary:</w:t>
      </w:r>
      <w:r>
        <w:t xml:space="preserve"> </w:t>
      </w:r>
      <w:hyperlink r:id="rId85">
        <w:r>
          <w:rPr>
            <w:rStyle w:val="Hyperlink"/>
          </w:rPr>
          <w:t xml:space="preserve">https://www.jobbank.gc.ca/marketreport/summary-occupation/2312/ca</w:t>
        </w:r>
      </w:hyperlink>
    </w:p>
    <w:p>
      <w:pPr>
        <w:numPr>
          <w:ilvl w:val="0"/>
          <w:numId w:val="1038"/>
        </w:numPr>
        <w:pStyle w:val="Compact"/>
      </w:pPr>
      <w:r>
        <w:t xml:space="preserve">Government of Canada Job Bank — Court Clerk / NOC 14103 requirements:</w:t>
      </w:r>
      <w:r>
        <w:t xml:space="preserve"> </w:t>
      </w:r>
      <w:hyperlink r:id="rId86">
        <w:r>
          <w:rPr>
            <w:rStyle w:val="Hyperlink"/>
          </w:rPr>
          <w:t xml:space="preserve">https://www.jobbank.gc.ca/marketreport/requirements/2309/ca</w:t>
        </w:r>
      </w:hyperlink>
    </w:p>
    <w:p>
      <w:pPr>
        <w:pStyle w:val="FirstParagraph"/>
      </w:pPr>
      <w:r>
        <w:rPr>
          <w:bCs/>
          <w:b/>
        </w:rPr>
        <w:t xml:space="preserve">Colombia</w:t>
      </w:r>
    </w:p>
    <w:p>
      <w:pPr>
        <w:numPr>
          <w:ilvl w:val="0"/>
          <w:numId w:val="1039"/>
        </w:numPr>
        <w:pStyle w:val="Compact"/>
      </w:pPr>
      <w:r>
        <w:t xml:space="preserve">Función Pública — Rama Judicial:</w:t>
      </w:r>
      <w:r>
        <w:t xml:space="preserve"> </w:t>
      </w:r>
      <w:hyperlink r:id="rId87">
        <w:r>
          <w:rPr>
            <w:rStyle w:val="Hyperlink"/>
          </w:rPr>
          <w:t xml:space="preserve">https://www.funcionpublica.gov.co/gestor-normativo/manual-estructura-del-estado/rama-judicial</w:t>
        </w:r>
      </w:hyperlink>
    </w:p>
    <w:p>
      <w:pPr>
        <w:numPr>
          <w:ilvl w:val="0"/>
          <w:numId w:val="1039"/>
        </w:numPr>
        <w:pStyle w:val="Compact"/>
      </w:pPr>
      <w:r>
        <w:t xml:space="preserve">Función Pública — Ley 270 de 1996, including amendments:</w:t>
      </w:r>
      <w:r>
        <w:t xml:space="preserve"> </w:t>
      </w:r>
      <w:hyperlink r:id="rId88">
        <w:r>
          <w:rPr>
            <w:rStyle w:val="Hyperlink"/>
          </w:rPr>
          <w:t xml:space="preserve">https://www.funcionpublica.gov.co/eva/gestornormativo/norma.php?0=&amp;i=6548</w:t>
        </w:r>
      </w:hyperlink>
    </w:p>
    <w:p>
      <w:pPr>
        <w:numPr>
          <w:ilvl w:val="0"/>
          <w:numId w:val="1039"/>
        </w:numPr>
        <w:pStyle w:val="Compact"/>
      </w:pPr>
      <w:r>
        <w:t xml:space="preserve">Función Pública — Acuerdo 006 de 2018, Auxiliar Judicial example:</w:t>
      </w:r>
      <w:r>
        <w:t xml:space="preserve"> </w:t>
      </w:r>
      <w:hyperlink r:id="rId89">
        <w:r>
          <w:rPr>
            <w:rStyle w:val="Hyperlink"/>
          </w:rPr>
          <w:t xml:space="preserve">https://www.funcionpublica.gov.co/eva/gestornormativo/norma.php?i=85519</w:t>
        </w:r>
      </w:hyperlink>
    </w:p>
    <w:p>
      <w:pPr>
        <w:pStyle w:val="FirstParagraph"/>
      </w:pPr>
      <w:r>
        <w:rPr>
          <w:bCs/>
          <w:b/>
        </w:rPr>
        <w:t xml:space="preserve">Education and workforce support</w:t>
      </w:r>
    </w:p>
    <w:p>
      <w:pPr>
        <w:numPr>
          <w:ilvl w:val="0"/>
          <w:numId w:val="1040"/>
        </w:numPr>
        <w:pStyle w:val="Compact"/>
      </w:pPr>
      <w:r>
        <w:t xml:space="preserve">Federal Student Aid — FAFSA:</w:t>
      </w:r>
      <w:r>
        <w:t xml:space="preserve"> </w:t>
      </w:r>
      <w:hyperlink r:id="rId90">
        <w:r>
          <w:rPr>
            <w:rStyle w:val="Hyperlink"/>
          </w:rPr>
          <w:t xml:space="preserve">https://studentaid.gov/articles/fafsa-student-steps/</w:t>
        </w:r>
      </w:hyperlink>
    </w:p>
    <w:p>
      <w:pPr>
        <w:numPr>
          <w:ilvl w:val="0"/>
          <w:numId w:val="1040"/>
        </w:numPr>
        <w:pStyle w:val="Compact"/>
      </w:pPr>
      <w:r>
        <w:t xml:space="preserve">U.S. Department of Labor — American Job Centers:</w:t>
      </w:r>
      <w:r>
        <w:t xml:space="preserve"> </w:t>
      </w:r>
      <w:hyperlink r:id="rId91">
        <w:r>
          <w:rPr>
            <w:rStyle w:val="Hyperlink"/>
          </w:rPr>
          <w:t xml:space="preserve">https://www.dol.gov/agencies/eta/american-job-centers</w:t>
        </w:r>
      </w:hyperlink>
    </w:p>
    <w:p>
      <w:pPr>
        <w:numPr>
          <w:ilvl w:val="0"/>
          <w:numId w:val="1040"/>
        </w:numPr>
        <w:pStyle w:val="Compact"/>
      </w:pPr>
      <w:r>
        <w:t xml:space="preserve">Internal Revenue Service — educational-assistance FAQ update:</w:t>
      </w:r>
      <w:r>
        <w:t xml:space="preserve"> </w:t>
      </w:r>
      <w:hyperlink r:id="rId92">
        <w:r>
          <w:rPr>
            <w:rStyle w:val="Hyperlink"/>
          </w:rPr>
          <w:t xml:space="preserve">https://www.irs.gov/newsroom/updates-to-frequently-asked-questions-about-educational-assistance-programs</w:t>
        </w:r>
      </w:hyperlink>
    </w:p>
    <w:bookmarkEnd w:id="93"/>
    <w:bookmarkStart w:id="94" w:name="important-disclaimers"/>
    <w:p>
      <w:pPr>
        <w:pStyle w:val="Heading3"/>
      </w:pPr>
      <w:r>
        <w:t xml:space="preserve">Important disclaimers</w:t>
      </w:r>
    </w:p>
    <w:p>
      <w:pPr>
        <w:pStyle w:val="FirstParagraph"/>
      </w:pPr>
      <w:r>
        <w:t xml:space="preserve">This guide does not guarantee court employment, appointment, salary, grade, security clearance, civil-service eligibility, admission, training funding, promotion, accommodation, or employer reimbursement.</w:t>
      </w:r>
    </w:p>
    <w:p>
      <w:pPr>
        <w:pStyle w:val="BodyText"/>
      </w:pPr>
      <w:r>
        <w:t xml:space="preserve">Court authority is jurisdiction-specific. A clerk or judicial-services title does not itself authorize judicial decision-making, legal advice, alteration of court orders, unauthorized disclosure, or actions outside assigned duties.</w:t>
      </w:r>
    </w:p>
    <w:p>
      <w:pPr>
        <w:pStyle w:val="BodyText"/>
      </w:pPr>
      <w:r>
        <w:t xml:space="preserve">Labor-market data must be read in context. U.S. O*NET 43-4031.00 combines court, municipal, and license clerks; its national statistics are not court-clerk-only statistics.</w:t>
      </w:r>
    </w:p>
    <w:bookmarkEnd w:id="94"/>
    <w:bookmarkStart w:id="95" w:name="authorship-and-responsible-use"/>
    <w:p>
      <w:pPr>
        <w:pStyle w:val="Heading3"/>
      </w:pPr>
      <w:r>
        <w:t xml:space="preserve">Authorship and responsible use</w:t>
      </w:r>
    </w:p>
    <w:p>
      <w:pPr>
        <w:pStyle w:val="FirstParagraph"/>
      </w:pPr>
      <w:r>
        <w:rPr>
          <w:bCs/>
          <w:b/>
        </w:rPr>
        <w:t xml:space="preserve">Author:</w:t>
      </w:r>
      <w:r>
        <w:t xml:space="preserve"> </w:t>
      </w:r>
      <w:r>
        <w:t xml:space="preserve">Alberto “Al” Leiva</w:t>
      </w:r>
      <w:r>
        <w:br/>
      </w:r>
      <w:r>
        <w:rPr>
          <w:bCs/>
          <w:b/>
        </w:rPr>
        <w:t xml:space="preserve">Project:</w:t>
      </w:r>
      <w:r>
        <w:t xml:space="preserve"> </w:t>
      </w:r>
      <w:r>
        <w:t xml:space="preserve">Lifelong Opportunity Project</w:t>
      </w:r>
      <w:r>
        <w:br/>
      </w:r>
      <w:r>
        <w:rPr>
          <w:bCs/>
          <w:b/>
        </w:rPr>
        <w:t xml:space="preserve">Edition:</w:t>
      </w:r>
      <w:r>
        <w:t xml:space="preserve"> </w:t>
      </w:r>
      <w:r>
        <w:t xml:space="preserve">Controlled English working master v2</w:t>
      </w:r>
      <w:r>
        <w:br/>
      </w:r>
      <w:r>
        <w:rPr>
          <w:bCs/>
          <w:b/>
        </w:rPr>
        <w:t xml:space="preserve">Revision date:</w:t>
      </w:r>
      <w:r>
        <w:t xml:space="preserve"> </w:t>
      </w:r>
      <w:r>
        <w:t xml:space="preserve">2026-08-09</w:t>
      </w:r>
    </w:p>
    <w:p>
      <w:pPr>
        <w:pStyle w:val="BodyText"/>
      </w:pPr>
      <w:r>
        <w:t xml:space="preserve">AI tools may assist research organization, drafting, translation support, consistency checks, and document preparation. The project remains responsible for what it publishes. AI assistance is not independent human certification or court approval.</w:t>
      </w:r>
    </w:p>
    <w:bookmarkEnd w:id="95"/>
    <w:bookmarkStart w:id="96" w:name="license"/>
    <w:p>
      <w:pPr>
        <w:pStyle w:val="Heading3"/>
      </w:pPr>
      <w:r>
        <w:t xml:space="preserve">License</w:t>
      </w:r>
    </w:p>
    <w:p>
      <w:pPr>
        <w:pStyle w:val="FirstParagraph"/>
      </w:pPr>
      <w:r>
        <w:t xml:space="preserve">Unless a repository file states otherwise, this project is distributed under</w:t>
      </w:r>
      <w:r>
        <w:t xml:space="preserve"> </w:t>
      </w:r>
      <w:r>
        <w:rPr>
          <w:bCs/>
          <w:b/>
        </w:rPr>
        <w:t xml:space="preserve">Creative Commons Attribution-NonCommercial-ShareAlike 4.0 International (CC BY-NC-SA 4.0)</w:t>
      </w:r>
      <w:r>
        <w:t xml:space="preserve">. Third-party materials remain subject to their own rights and terms.</w:t>
      </w:r>
    </w:p>
    <w:p>
      <w:r>
        <w:pict>
          <v:rect style="width:0;height:1.5pt" o:hralign="center" o:hrstd="t" o:hr="t"/>
        </w:pict>
      </w:r>
    </w:p>
    <w:p>
      <w:pPr>
        <w:pStyle w:val="FirstParagraph"/>
      </w:pPr>
      <w:r>
        <w:rPr>
          <w:bCs/>
          <w:b/>
        </w:rPr>
        <w:t xml:space="preserve">Control note:</w:t>
      </w:r>
      <w:r>
        <w:t xml:space="preserve"> </w:t>
      </w:r>
      <w:r>
        <w:t xml:space="preserve">This is the Guide 20 English working master for the 2026 controlled revision. It must pass English editorial QA, claim traceability, and source freeze before localization or publication.</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studentaid.gov/articles/fafsa-student-steps/" TargetMode="External" /><Relationship Type="http://schemas.openxmlformats.org/officeDocument/2006/relationships/hyperlink" Id="rId91" Target="https://www.dol.gov/agencies/eta/american-job-centers" TargetMode="External" /><Relationship Type="http://schemas.openxmlformats.org/officeDocument/2006/relationships/hyperlink" Id="rId88" Target="https://www.funcionpublica.gov.co/eva/gestornormativo/norma.php?0=&amp;i=6548" TargetMode="External" /><Relationship Type="http://schemas.openxmlformats.org/officeDocument/2006/relationships/hyperlink" Id="rId89" Target="https://www.funcionpublica.gov.co/eva/gestornormativo/norma.php?i=85519" TargetMode="External" /><Relationship Type="http://schemas.openxmlformats.org/officeDocument/2006/relationships/hyperlink" Id="rId87" Target="https://www.funcionpublica.gov.co/gestor-normativo/manual-estructura-del-estado/rama-judicial" TargetMode="External" /><Relationship Type="http://schemas.openxmlformats.org/officeDocument/2006/relationships/hyperlink" Id="rId92" Target="https://www.irs.gov/newsroom/updates-to-frequently-asked-questions-about-educational-assistance-programs" TargetMode="External" /><Relationship Type="http://schemas.openxmlformats.org/officeDocument/2006/relationships/hyperlink" Id="rId86" Target="https://www.jobbank.gc.ca/marketreport/requirements/2309/ca" TargetMode="External" /><Relationship Type="http://schemas.openxmlformats.org/officeDocument/2006/relationships/hyperlink" Id="rId85" Target="https://www.jobbank.gc.ca/marketreport/summary-occupation/2312/ca" TargetMode="External" /><Relationship Type="http://schemas.openxmlformats.org/officeDocument/2006/relationships/hyperlink" Id="rId78" Target="https://www.onetonline.org/link/details/43-4031.00" TargetMode="External" /><Relationship Type="http://schemas.openxmlformats.org/officeDocument/2006/relationships/hyperlink" Id="rId82" Target="https://www.uscourts.gov/administration-policies/judiciary-policies/ethics-policies/code-conduct-judicial-employees" TargetMode="External" /><Relationship Type="http://schemas.openxmlformats.org/officeDocument/2006/relationships/hyperlink" Id="rId80" Target="https://www.uscourts.gov/careers" TargetMode="External" /><Relationship Type="http://schemas.openxmlformats.org/officeDocument/2006/relationships/hyperlink" Id="rId81" Target="https://www.uscourts.gov/careers/search-judiciary-jobs" TargetMode="External" /><Relationship Type="http://schemas.openxmlformats.org/officeDocument/2006/relationships/hyperlink" Id="rId79" Target="https://www.uscourts.gov/careers/who-works-judiciary/court-administration-and-services-careers" TargetMode="External" /><Relationship Type="http://schemas.openxmlformats.org/officeDocument/2006/relationships/hyperlink" Id="rId83" Target="https://www.uscourts.gov/court-records/file-a-case-cm-ecf/faqs-case-management-electronic-case-files-cm-ecf" TargetMode="External" /><Relationship Type="http://schemas.openxmlformats.org/officeDocument/2006/relationships/hyperlink" Id="rId84" Target="https://www.uscourts.gov/privacy-policy-electronic-case-files" TargetMode="External" /></Relationships>
</file>

<file path=word/_rels/footnotes.xml.rels><?xml version="1.0" encoding="UTF-8"?><Relationships xmlns="http://schemas.openxmlformats.org/package/2006/relationships"><Relationship Type="http://schemas.openxmlformats.org/officeDocument/2006/relationships/hyperlink" Id="rId90" Target="https://studentaid.gov/articles/fafsa-student-steps/" TargetMode="External" /><Relationship Type="http://schemas.openxmlformats.org/officeDocument/2006/relationships/hyperlink" Id="rId91" Target="https://www.dol.gov/agencies/eta/american-job-centers" TargetMode="External" /><Relationship Type="http://schemas.openxmlformats.org/officeDocument/2006/relationships/hyperlink" Id="rId88" Target="https://www.funcionpublica.gov.co/eva/gestornormativo/norma.php?0=&amp;i=6548" TargetMode="External" /><Relationship Type="http://schemas.openxmlformats.org/officeDocument/2006/relationships/hyperlink" Id="rId89" Target="https://www.funcionpublica.gov.co/eva/gestornormativo/norma.php?i=85519" TargetMode="External" /><Relationship Type="http://schemas.openxmlformats.org/officeDocument/2006/relationships/hyperlink" Id="rId87" Target="https://www.funcionpublica.gov.co/gestor-normativo/manual-estructura-del-estado/rama-judicial" TargetMode="External" /><Relationship Type="http://schemas.openxmlformats.org/officeDocument/2006/relationships/hyperlink" Id="rId92" Target="https://www.irs.gov/newsroom/updates-to-frequently-asked-questions-about-educational-assistance-programs" TargetMode="External" /><Relationship Type="http://schemas.openxmlformats.org/officeDocument/2006/relationships/hyperlink" Id="rId86" Target="https://www.jobbank.gc.ca/marketreport/requirements/2309/ca" TargetMode="External" /><Relationship Type="http://schemas.openxmlformats.org/officeDocument/2006/relationships/hyperlink" Id="rId85" Target="https://www.jobbank.gc.ca/marketreport/summary-occupation/2312/ca" TargetMode="External" /><Relationship Type="http://schemas.openxmlformats.org/officeDocument/2006/relationships/hyperlink" Id="rId78" Target="https://www.onetonline.org/link/details/43-4031.00" TargetMode="External" /><Relationship Type="http://schemas.openxmlformats.org/officeDocument/2006/relationships/hyperlink" Id="rId82" Target="https://www.uscourts.gov/administration-policies/judiciary-policies/ethics-policies/code-conduct-judicial-employees" TargetMode="External" /><Relationship Type="http://schemas.openxmlformats.org/officeDocument/2006/relationships/hyperlink" Id="rId80" Target="https://www.uscourts.gov/careers" TargetMode="External" /><Relationship Type="http://schemas.openxmlformats.org/officeDocument/2006/relationships/hyperlink" Id="rId81" Target="https://www.uscourts.gov/careers/search-judiciary-jobs" TargetMode="External" /><Relationship Type="http://schemas.openxmlformats.org/officeDocument/2006/relationships/hyperlink" Id="rId79" Target="https://www.uscourts.gov/careers/who-works-judiciary/court-administration-and-services-careers" TargetMode="External" /><Relationship Type="http://schemas.openxmlformats.org/officeDocument/2006/relationships/hyperlink" Id="rId83" Target="https://www.uscourts.gov/court-records/file-a-case-cm-ecf/faqs-case-management-electronic-case-files-cm-ecf" TargetMode="External" /><Relationship Type="http://schemas.openxmlformats.org/officeDocument/2006/relationships/hyperlink" Id="rId84" Target="https://www.uscourts.gov/privacy-policy-electronic-case-fi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2026-08-10T00:55:51Z</dcterms:created>
  <dcterms:modified xsi:type="dcterms:W3CDTF">2026-08-10T00:55:51Z</dcterms:modified>
</cp:coreProperties>
</file>

<file path=docProps/custom.xml><?xml version="1.0" encoding="utf-8"?>
<Properties xmlns="http://schemas.openxmlformats.org/officeDocument/2006/custom-properties" xmlns:vt="http://schemas.openxmlformats.org/officeDocument/2006/docPropsVTypes"/>
</file>