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Xee7fb03353f1b340627334246decc5967f6c262"/>
    <w:p>
      <w:pPr>
        <w:pStyle w:val="Heading1"/>
      </w:pPr>
      <w:r>
        <w:t xml:space="preserve">Guía de Oportunidades para Toda la Vida 92 — Técnico en Sistemas de Información Geográfica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2.0 maestra de trabajo controlada</w:t>
      </w:r>
      <w:r>
        <w:br/>
      </w:r>
      <w:r>
        <w:rPr>
          <w:bCs/>
          <w:b/>
        </w:rPr>
        <w:t xml:space="preserve">Idioma:</w:t>
      </w:r>
      <w:r>
        <w:t xml:space="preserve"> </w:t>
      </w:r>
      <w:r>
        <w:t xml:space="preserve">Español neutro de América Latina (</w:t>
      </w:r>
      <w:r>
        <w:rPr>
          <w:rStyle w:val="VerbatimChar"/>
        </w:rPr>
        <w:t xml:space="preserve">es-419</w:t>
      </w:r>
      <w:r>
        <w:t xml:space="preserve">)</w:t>
      </w:r>
      <w:r>
        <w:br/>
      </w:r>
      <w:r>
        <w:rPr>
          <w:bCs/>
          <w:b/>
        </w:rPr>
        <w:t xml:space="preserve">Referencia principal de EE. UU.:</w:t>
      </w:r>
      <w:r>
        <w:t xml:space="preserve"> </w:t>
      </w:r>
      <w:r>
        <w:t xml:space="preserve">O*NET-SOC 15-1299.02 — Geographic Information Systems Technologists and Technicians</w:t>
      </w:r>
      <w:r>
        <w:br/>
      </w:r>
      <w:r>
        <w:rPr>
          <w:bCs/>
          <w:b/>
        </w:rPr>
        <w:t xml:space="preserve">Comparación de Canadá:</w:t>
      </w:r>
      <w:r>
        <w:t xml:space="preserve"> </w:t>
      </w:r>
      <w:r>
        <w:t xml:space="preserve">NOC 22214 — Technical occupations in geomatics and meteorology</w:t>
      </w:r>
      <w:r>
        <w:br/>
      </w:r>
      <w:r>
        <w:rPr>
          <w:bCs/>
          <w:b/>
        </w:rPr>
        <w:t xml:space="preserve">Comparación de Colombia:</w:t>
      </w:r>
      <w:r>
        <w:t xml:space="preserve"> </w:t>
      </w:r>
      <w:r>
        <w:t xml:space="preserve">CUOC 31123 — Técnicos en cartografía</w:t>
      </w:r>
      <w:r>
        <w:br/>
      </w:r>
      <w:r>
        <w:rPr>
          <w:bCs/>
          <w:b/>
        </w:rPr>
        <w:t xml:space="preserve">Fecha de revisión:</w:t>
      </w:r>
      <w:r>
        <w:t xml:space="preserve"> </w:t>
      </w:r>
      <w:r>
        <w:t xml:space="preserve">2026-08-22</w:t>
      </w:r>
      <w:r>
        <w:br/>
      </w:r>
      <w:r>
        <w:rPr>
          <w:bCs/>
          <w:b/>
        </w:rPr>
        <w:t xml:space="preserve">Fuente inglesa congelada:</w:t>
      </w:r>
      <w:r>
        <w:t xml:space="preserve"> </w:t>
      </w:r>
      <w:r>
        <w:t xml:space="preserve">blob</w:t>
      </w:r>
      <w:r>
        <w:t xml:space="preserve"> </w:t>
      </w:r>
      <w:r>
        <w:rPr>
          <w:rStyle w:val="VerbatimChar"/>
        </w:rPr>
        <w:t xml:space="preserve">5fc776670bc33d9e2b01a5dda8084a9099627165</w:t>
      </w:r>
    </w:p>
    <w:bookmarkStart w:id="20" w:name="qué-es-esta-carrera"/>
    <w:p>
      <w:pPr>
        <w:pStyle w:val="Heading2"/>
      </w:pPr>
      <w:r>
        <w:t xml:space="preserve">Qué es esta carrera</w:t>
      </w:r>
    </w:p>
    <w:p>
      <w:pPr>
        <w:pStyle w:val="FirstParagraph"/>
      </w:pPr>
      <w:r>
        <w:t xml:space="preserve">Un Técnico en Sistemas de Información Geográfica (SIG/GIS) ayuda a recolectar, organizar, validar, analizar, mapear y mantener información relacionada con ubicación. El trabajo puede incluir edición de capas, mantenimiento de bases espaciales, digitalización, georreferenciación, control de geometría y atributos, elaboración de mapas/reportes, soporte a usuarios, análisis espacial, automatización y publicación autorizada de mapas o servicios web.</w:t>
      </w:r>
    </w:p>
    <w:p>
      <w:pPr>
        <w:pStyle w:val="BodyText"/>
      </w:pPr>
      <w:r>
        <w:t xml:space="preserve">El título se cruza con tecnólogo GIS, técnico geomático, técnico cartográfico, técnico de mapeo y funciones geoespaciales junior. Algunas vacantes son principalmente de producción; otras requieren más análisis, programación, bases de datos o soporte. Lea las funciones reales y no suponga que todos los puestos utilizan las mismas herramientas o tienen el mismo nivel analítico.</w:t>
      </w:r>
    </w:p>
    <w:p>
      <w:pPr>
        <w:pStyle w:val="BodyText"/>
      </w:pPr>
      <w:r>
        <w:t xml:space="preserve">Estados Unidos tiene una ocupación directa en</w:t>
      </w:r>
      <w:r>
        <w:t xml:space="preserve"> </w:t>
      </w:r>
      <w:r>
        <w:rPr>
          <w:bCs/>
          <w:b/>
        </w:rPr>
        <w:t xml:space="preserve">O*NET-SOC 15-1299.02</w:t>
      </w:r>
      <w:r>
        <w:t xml:space="preserve">. Canadá corresponde directamente a</w:t>
      </w:r>
      <w:r>
        <w:t xml:space="preserve"> </w:t>
      </w:r>
      <w:r>
        <w:rPr>
          <w:bCs/>
          <w:b/>
        </w:rPr>
        <w:t xml:space="preserve">NOC 22214</w:t>
      </w:r>
      <w:r>
        <w:t xml:space="preserve">, que incluye GIS Technician. Colombia tiene una comparación directa en</w:t>
      </w:r>
      <w:r>
        <w:t xml:space="preserve"> </w:t>
      </w:r>
      <w:r>
        <w:rPr>
          <w:bCs/>
          <w:b/>
        </w:rPr>
        <w:t xml:space="preserve">CUOC 31123 — Técnicos en cartografía</w:t>
      </w:r>
      <w:r>
        <w:t xml:space="preserve">, que incluye explícitamente</w:t>
      </w:r>
      <w:r>
        <w:t xml:space="preserve"> </w:t>
      </w:r>
      <w:r>
        <w:rPr>
          <w:bCs/>
          <w:b/>
        </w:rPr>
        <w:t xml:space="preserve">Técnico sistemas de información geográfica</w:t>
      </w:r>
      <w:r>
        <w:t xml:space="preserve">.</w:t>
      </w:r>
    </w:p>
    <w:bookmarkEnd w:id="20"/>
    <w:bookmarkStart w:id="21" w:name="X28c52d1c144bf732a90450b34f86a508d1f64d1"/>
    <w:p>
      <w:pPr>
        <w:pStyle w:val="Heading2"/>
      </w:pPr>
      <w:r>
        <w:t xml:space="preserve">Divulgación crítica sobre estadísticas de EE. UU.</w:t>
      </w:r>
    </w:p>
    <w:p>
      <w:pPr>
        <w:pStyle w:val="FirstParagraph"/>
      </w:pPr>
      <w:r>
        <w:t xml:space="preserve">O*NET indica expresamente que los salarios y datos de empleo de 15-1299.02 se recopilan desde</w:t>
      </w:r>
      <w:r>
        <w:t xml:space="preserve"> </w:t>
      </w:r>
      <w:r>
        <w:rPr>
          <w:bCs/>
          <w:b/>
        </w:rPr>
        <w:t xml:space="preserve">Computer Occupations, All Other</w:t>
      </w:r>
      <w:r>
        <w:t xml:space="preserve">. Son cifras oficiales, pero no representan una población salarial pura del título GIS Technician.</w:t>
      </w:r>
    </w:p>
    <w:p>
      <w:pPr>
        <w:pStyle w:val="BodyText"/>
      </w:pPr>
      <w:r>
        <w:t xml:space="preserve">Esto importa porque una estimación actual no gubernamental específica del título GIS Technician es mucho menor que la mediana cruzada de O*NET. No se deben promediar ambos conjuntos. Describen poblaciones, definiciones y metodologías diferentes.</w:t>
      </w:r>
    </w:p>
    <w:bookmarkEnd w:id="21"/>
    <w:bookmarkStart w:id="22" w:name="qué-hace-un-técnico-gis"/>
    <w:p>
      <w:pPr>
        <w:pStyle w:val="Heading2"/>
      </w:pPr>
      <w:r>
        <w:t xml:space="preserve">Qué hace un técnico GIS</w:t>
      </w:r>
    </w:p>
    <w:p>
      <w:pPr>
        <w:pStyle w:val="FirstParagraph"/>
      </w:pPr>
      <w:r>
        <w:t xml:space="preserve">Las tareas actuales de O*NET respaldan trabajo como:</w:t>
      </w:r>
    </w:p>
    <w:p>
      <w:pPr>
        <w:numPr>
          <w:ilvl w:val="0"/>
          <w:numId w:val="1001"/>
        </w:numPr>
        <w:pStyle w:val="Compact"/>
      </w:pPr>
      <w:r>
        <w:t xml:space="preserve">crear y actualizar capas, mapas, tablas y reportes;</w:t>
      </w:r>
    </w:p>
    <w:p>
      <w:pPr>
        <w:numPr>
          <w:ilvl w:val="0"/>
          <w:numId w:val="1001"/>
        </w:numPr>
        <w:pStyle w:val="Compact"/>
      </w:pPr>
      <w:r>
        <w:t xml:space="preserve">mantener bases de datos GIS;</w:t>
      </w:r>
    </w:p>
    <w:p>
      <w:pPr>
        <w:numPr>
          <w:ilvl w:val="0"/>
          <w:numId w:val="1001"/>
        </w:numPr>
        <w:pStyle w:val="Compact"/>
      </w:pPr>
      <w:r>
        <w:t xml:space="preserve">digitalizar o convertir entidades;</w:t>
      </w:r>
    </w:p>
    <w:p>
      <w:pPr>
        <w:numPr>
          <w:ilvl w:val="0"/>
          <w:numId w:val="1001"/>
        </w:numPr>
        <w:pStyle w:val="Compact"/>
      </w:pPr>
      <w:r>
        <w:t xml:space="preserve">revisar vigencia, utilidad, calidad y documentación de datos;</w:t>
      </w:r>
    </w:p>
    <w:p>
      <w:pPr>
        <w:numPr>
          <w:ilvl w:val="0"/>
          <w:numId w:val="1001"/>
        </w:numPr>
        <w:pStyle w:val="Compact"/>
      </w:pPr>
      <w:r>
        <w:t xml:space="preserve">apoyar usuarios y clientes;</w:t>
      </w:r>
    </w:p>
    <w:p>
      <w:pPr>
        <w:numPr>
          <w:ilvl w:val="0"/>
          <w:numId w:val="1001"/>
        </w:numPr>
        <w:pStyle w:val="Compact"/>
      </w:pPr>
      <w:r>
        <w:t xml:space="preserve">analizar relaciones espaciales;</w:t>
      </w:r>
    </w:p>
    <w:p>
      <w:pPr>
        <w:numPr>
          <w:ilvl w:val="0"/>
          <w:numId w:val="1001"/>
        </w:numPr>
        <w:pStyle w:val="Compact"/>
      </w:pPr>
      <w:r>
        <w:t xml:space="preserve">integrar información espacial y no espacial;</w:t>
      </w:r>
    </w:p>
    <w:p>
      <w:pPr>
        <w:numPr>
          <w:ilvl w:val="0"/>
          <w:numId w:val="1001"/>
        </w:numPr>
        <w:pStyle w:val="Compact"/>
      </w:pPr>
      <w:r>
        <w:t xml:space="preserve">interpretar imágenes aéreas u ortofotos;</w:t>
      </w:r>
    </w:p>
    <w:p>
      <w:pPr>
        <w:numPr>
          <w:ilvl w:val="0"/>
          <w:numId w:val="1001"/>
        </w:numPr>
        <w:pStyle w:val="Compact"/>
      </w:pPr>
      <w:r>
        <w:t xml:space="preserve">apoyar remote sensing/cartografía;</w:t>
      </w:r>
    </w:p>
    <w:p>
      <w:pPr>
        <w:numPr>
          <w:ilvl w:val="0"/>
          <w:numId w:val="1001"/>
        </w:numPr>
        <w:pStyle w:val="Compact"/>
      </w:pPr>
      <w:r>
        <w:t xml:space="preserve">desarrollar scripts o aplicaciones GIS cuando corresponda;</w:t>
      </w:r>
    </w:p>
    <w:p>
      <w:pPr>
        <w:numPr>
          <w:ilvl w:val="0"/>
          <w:numId w:val="1001"/>
        </w:numPr>
        <w:pStyle w:val="Compact"/>
      </w:pPr>
      <w:r>
        <w:t xml:space="preserve">publicar o soportar productos web GIS;</w:t>
      </w:r>
    </w:p>
    <w:p>
      <w:pPr>
        <w:numPr>
          <w:ilvl w:val="0"/>
          <w:numId w:val="1001"/>
        </w:numPr>
        <w:pStyle w:val="Compact"/>
      </w:pPr>
      <w:r>
        <w:t xml:space="preserve">documentar métodos y limitaciones.</w:t>
      </w:r>
    </w:p>
    <w:p>
      <w:pPr>
        <w:pStyle w:val="FirstParagraph"/>
      </w:pPr>
      <w:r>
        <w:t xml:space="preserve">Un mapa visualmente atractivo puede ser incorrecto si CRS, linaje, atributos, geometría o clasificación son incorrectos.</w:t>
      </w:r>
    </w:p>
    <w:bookmarkEnd w:id="22"/>
    <w:bookmarkStart w:id="27" w:name="modelos-de-datos-espaciales"/>
    <w:p>
      <w:pPr>
        <w:pStyle w:val="Heading2"/>
      </w:pPr>
      <w:r>
        <w:t xml:space="preserve">Modelos de datos espaciales</w:t>
      </w:r>
    </w:p>
    <w:bookmarkStart w:id="23" w:name="datos-vectoriales"/>
    <w:p>
      <w:pPr>
        <w:pStyle w:val="Heading3"/>
      </w:pPr>
      <w:r>
        <w:t xml:space="preserve">Datos vectoriales</w:t>
      </w:r>
    </w:p>
    <w:p>
      <w:pPr>
        <w:pStyle w:val="FirstParagraph"/>
      </w:pPr>
      <w:r>
        <w:t xml:space="preserve">Los vectores representan entidades discretas mediante: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puntos</w:t>
      </w:r>
      <w:r>
        <w:t xml:space="preserve"> </w:t>
      </w:r>
      <w:r>
        <w:t xml:space="preserve">— árboles, sensores, direcciones o activos;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líneas</w:t>
      </w:r>
      <w:r>
        <w:t xml:space="preserve"> </w:t>
      </w:r>
      <w:r>
        <w:t xml:space="preserve">— vías, ríos, tuberías o rutas;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polígonos</w:t>
      </w:r>
      <w:r>
        <w:t xml:space="preserve"> </w:t>
      </w:r>
      <w:r>
        <w:t xml:space="preserve">— parcelas, zonas, lagos o áreas de servicio.</w:t>
      </w:r>
    </w:p>
    <w:p>
      <w:pPr>
        <w:pStyle w:val="FirstParagraph"/>
      </w:pPr>
      <w:r>
        <w:t xml:space="preserve">Cada entidad puede tener atributos en una tabla.</w:t>
      </w:r>
    </w:p>
    <w:bookmarkEnd w:id="23"/>
    <w:bookmarkStart w:id="24" w:name="datos-raster"/>
    <w:p>
      <w:pPr>
        <w:pStyle w:val="Heading3"/>
      </w:pPr>
      <w:r>
        <w:t xml:space="preserve">Datos raster</w:t>
      </w:r>
    </w:p>
    <w:p>
      <w:pPr>
        <w:pStyle w:val="FirstParagraph"/>
      </w:pPr>
      <w:r>
        <w:t xml:space="preserve">Raster usa celdas/píxeles y puede representar imágenes, elevación, temperatura, cobertura del suelo u otras superficies continuas. Resolución y tamaño de celda importan. Ampliar un raster de baja resolución no crea detalle espacial real.</w:t>
      </w:r>
    </w:p>
    <w:bookmarkEnd w:id="24"/>
    <w:bookmarkStart w:id="25" w:name="atributos"/>
    <w:p>
      <w:pPr>
        <w:pStyle w:val="Heading3"/>
      </w:pPr>
      <w:r>
        <w:t xml:space="preserve">Atributos</w:t>
      </w:r>
    </w:p>
    <w:p>
      <w:pPr>
        <w:pStyle w:val="FirstParagraph"/>
      </w:pPr>
      <w:r>
        <w:t xml:space="preserve">Comprenda tipos de campo, dominios/valores codificados, nulos, validación, joins/relates, identificadores y diccionarios de datos.</w:t>
      </w:r>
    </w:p>
    <w:bookmarkEnd w:id="25"/>
    <w:bookmarkStart w:id="26" w:name="bases-espaciales"/>
    <w:p>
      <w:pPr>
        <w:pStyle w:val="Heading3"/>
      </w:pPr>
      <w:r>
        <w:t xml:space="preserve">Bases espaciales</w:t>
      </w:r>
    </w:p>
    <w:p>
      <w:pPr>
        <w:pStyle w:val="FirstParagraph"/>
      </w:pPr>
      <w:r>
        <w:t xml:space="preserve">GIS puede usar geodatabases de archivo, enterprise geodatabases o bases relacionales con capacidades espaciales. Comprenda tablas, claves, índices, permisos, transacciones y version/edit workflows según el puesto.</w:t>
      </w:r>
    </w:p>
    <w:bookmarkEnd w:id="26"/>
    <w:bookmarkEnd w:id="27"/>
    <w:bookmarkStart w:id="28" w:name="sistemas-de-referencia-de-coordenadas"/>
    <w:p>
      <w:pPr>
        <w:pStyle w:val="Heading2"/>
      </w:pPr>
      <w:r>
        <w:t xml:space="preserve">Sistemas de referencia de coordenadas</w:t>
      </w:r>
    </w:p>
    <w:p>
      <w:pPr>
        <w:pStyle w:val="FirstParagraph"/>
      </w:pPr>
      <w:r>
        <w:t xml:space="preserve">Errores de CRS pueden invalidar un trabajo aparentemente correcto.</w:t>
      </w:r>
    </w:p>
    <w:p>
      <w:pPr>
        <w:pStyle w:val="BodyText"/>
      </w:pPr>
      <w:r>
        <w:t xml:space="preserve">Distinga:</w:t>
      </w:r>
    </w:p>
    <w:p>
      <w:pPr>
        <w:numPr>
          <w:ilvl w:val="0"/>
          <w:numId w:val="1003"/>
        </w:numPr>
        <w:pStyle w:val="Compact"/>
      </w:pPr>
      <w:r>
        <w:t xml:space="preserve">sistemas geográficos con coordenadas angulares como latitud/longitud;</w:t>
      </w:r>
    </w:p>
    <w:p>
      <w:pPr>
        <w:numPr>
          <w:ilvl w:val="0"/>
          <w:numId w:val="1003"/>
        </w:numPr>
        <w:pStyle w:val="Compact"/>
      </w:pPr>
      <w:r>
        <w:t xml:space="preserve">sistemas proyectados con unidades lineales;</w:t>
      </w:r>
    </w:p>
    <w:p>
      <w:pPr>
        <w:numPr>
          <w:ilvl w:val="0"/>
          <w:numId w:val="1003"/>
        </w:numPr>
        <w:pStyle w:val="Compact"/>
      </w:pPr>
      <w:r>
        <w:t xml:space="preserve">datum y marco de referencia;</w:t>
      </w:r>
    </w:p>
    <w:p>
      <w:pPr>
        <w:numPr>
          <w:ilvl w:val="0"/>
          <w:numId w:val="1003"/>
        </w:numPr>
        <w:pStyle w:val="Compact"/>
      </w:pPr>
      <w:r>
        <w:t xml:space="preserve">proyección;</w:t>
      </w:r>
    </w:p>
    <w:p>
      <w:pPr>
        <w:numPr>
          <w:ilvl w:val="0"/>
          <w:numId w:val="1003"/>
        </w:numPr>
        <w:pStyle w:val="Compact"/>
      </w:pPr>
      <w:r>
        <w:t xml:space="preserve">unidades;</w:t>
      </w:r>
    </w:p>
    <w:p>
      <w:pPr>
        <w:numPr>
          <w:ilvl w:val="0"/>
          <w:numId w:val="1003"/>
        </w:numPr>
        <w:pStyle w:val="Compact"/>
      </w:pPr>
      <w:r>
        <w:t xml:space="preserve">identificadores como códigos EPSG a nivel conceptual;</w:t>
      </w:r>
    </w:p>
    <w:p>
      <w:pPr>
        <w:numPr>
          <w:ilvl w:val="0"/>
          <w:numId w:val="1003"/>
        </w:numPr>
        <w:pStyle w:val="Compact"/>
      </w:pPr>
      <w:r>
        <w:t xml:space="preserve">transformación/reproyección.</w:t>
      </w:r>
    </w:p>
    <w:p>
      <w:pPr>
        <w:pStyle w:val="FirstParagraph"/>
      </w:pPr>
      <w:r>
        <w:t xml:space="preserve">Que una capa aparezca en el lugar esperado no prueba que su metadata de CRS sea correcta. El software puede reproyectar dinámicamente para visualización y ocultar errores.</w:t>
      </w:r>
    </w:p>
    <w:bookmarkEnd w:id="28"/>
    <w:bookmarkStart w:id="29" w:name="distorsión-de-proyección-y-adecuación"/>
    <w:p>
      <w:pPr>
        <w:pStyle w:val="Heading2"/>
      </w:pPr>
      <w:r>
        <w:t xml:space="preserve">Distorsión de proyección y adecuación</w:t>
      </w:r>
    </w:p>
    <w:p>
      <w:pPr>
        <w:pStyle w:val="FirstParagraph"/>
      </w:pPr>
      <w:r>
        <w:t xml:space="preserve">Toda proyección implica compromisos. Puede distorsionar área, forma, dirección o distancia.</w:t>
      </w:r>
    </w:p>
    <w:p>
      <w:pPr>
        <w:pStyle w:val="BodyText"/>
      </w:pPr>
      <w:r>
        <w:t xml:space="preserve">Antes de medir o analizar pregunte:</w:t>
      </w:r>
    </w:p>
    <w:p>
      <w:pPr>
        <w:numPr>
          <w:ilvl w:val="0"/>
          <w:numId w:val="1004"/>
        </w:numPr>
        <w:pStyle w:val="Compact"/>
      </w:pPr>
      <w:r>
        <w:t xml:space="preserve">¿Cuál es el uso previsto?</w:t>
      </w:r>
    </w:p>
    <w:p>
      <w:pPr>
        <w:numPr>
          <w:ilvl w:val="0"/>
          <w:numId w:val="1004"/>
        </w:numPr>
        <w:pStyle w:val="Compact"/>
      </w:pPr>
      <w:r>
        <w:t xml:space="preserve">¿Cuál es la extensión geográfica?</w:t>
      </w:r>
    </w:p>
    <w:p>
      <w:pPr>
        <w:numPr>
          <w:ilvl w:val="0"/>
          <w:numId w:val="1004"/>
        </w:numPr>
        <w:pStyle w:val="Compact"/>
      </w:pPr>
      <w:r>
        <w:t xml:space="preserve">¿Qué unidades se necesitan?</w:t>
      </w:r>
    </w:p>
    <w:p>
      <w:pPr>
        <w:numPr>
          <w:ilvl w:val="0"/>
          <w:numId w:val="1004"/>
        </w:numPr>
        <w:pStyle w:val="Compact"/>
      </w:pPr>
      <w:r>
        <w:t xml:space="preserve">¿La proyección preserva la propiedad relevante para esta tarea?</w:t>
      </w:r>
    </w:p>
    <w:p>
      <w:pPr>
        <w:pStyle w:val="FirstParagraph"/>
      </w:pPr>
      <w:r>
        <w:t xml:space="preserve">No reporte áreas o distancias precisas desde un CRS inadecuado solo porque el software entrega un número.</w:t>
      </w:r>
    </w:p>
    <w:bookmarkEnd w:id="29"/>
    <w:bookmarkStart w:id="30" w:name="linaje-y-metadata"/>
    <w:p>
      <w:pPr>
        <w:pStyle w:val="Heading2"/>
      </w:pPr>
      <w:r>
        <w:t xml:space="preserve">Linaje y metadata</w:t>
      </w:r>
    </w:p>
    <w:p>
      <w:pPr>
        <w:pStyle w:val="FirstParagraph"/>
      </w:pPr>
      <w:r>
        <w:t xml:space="preserve">Un dataset GIS defendible debe conservar lo conocido sobre:</w:t>
      </w:r>
    </w:p>
    <w:p>
      <w:pPr>
        <w:numPr>
          <w:ilvl w:val="0"/>
          <w:numId w:val="1005"/>
        </w:numPr>
        <w:pStyle w:val="Compact"/>
      </w:pPr>
      <w:r>
        <w:t xml:space="preserve">fuente/procedencia;</w:t>
      </w:r>
    </w:p>
    <w:p>
      <w:pPr>
        <w:numPr>
          <w:ilvl w:val="0"/>
          <w:numId w:val="1005"/>
        </w:numPr>
        <w:pStyle w:val="Compact"/>
      </w:pPr>
      <w:r>
        <w:t xml:space="preserve">fecha o período de captura;</w:t>
      </w:r>
    </w:p>
    <w:p>
      <w:pPr>
        <w:numPr>
          <w:ilvl w:val="0"/>
          <w:numId w:val="1005"/>
        </w:numPr>
        <w:pStyle w:val="Compact"/>
      </w:pPr>
      <w:r>
        <w:t xml:space="preserve">organización responsable;</w:t>
      </w:r>
    </w:p>
    <w:p>
      <w:pPr>
        <w:numPr>
          <w:ilvl w:val="0"/>
          <w:numId w:val="1005"/>
        </w:numPr>
        <w:pStyle w:val="Compact"/>
      </w:pPr>
      <w:r>
        <w:t xml:space="preserve">exactitud posicional;</w:t>
      </w:r>
    </w:p>
    <w:p>
      <w:pPr>
        <w:numPr>
          <w:ilvl w:val="0"/>
          <w:numId w:val="1005"/>
        </w:numPr>
        <w:pStyle w:val="Compact"/>
      </w:pPr>
      <w:r>
        <w:t xml:space="preserve">exactitud de atributos;</w:t>
      </w:r>
    </w:p>
    <w:p>
      <w:pPr>
        <w:numPr>
          <w:ilvl w:val="0"/>
          <w:numId w:val="1005"/>
        </w:numPr>
        <w:pStyle w:val="Compact"/>
      </w:pPr>
      <w:r>
        <w:t xml:space="preserve">completitud;</w:t>
      </w:r>
    </w:p>
    <w:p>
      <w:pPr>
        <w:numPr>
          <w:ilvl w:val="0"/>
          <w:numId w:val="1005"/>
        </w:numPr>
        <w:pStyle w:val="Compact"/>
      </w:pPr>
      <w:r>
        <w:t xml:space="preserve">consistencia lógica;</w:t>
      </w:r>
    </w:p>
    <w:p>
      <w:pPr>
        <w:numPr>
          <w:ilvl w:val="0"/>
          <w:numId w:val="1005"/>
        </w:numPr>
        <w:pStyle w:val="Compact"/>
      </w:pPr>
      <w:r>
        <w:t xml:space="preserve">escala/resolución;</w:t>
      </w:r>
    </w:p>
    <w:p>
      <w:pPr>
        <w:numPr>
          <w:ilvl w:val="0"/>
          <w:numId w:val="1005"/>
        </w:numPr>
        <w:pStyle w:val="Compact"/>
      </w:pPr>
      <w:r>
        <w:t xml:space="preserve">CRS y datum;</w:t>
      </w:r>
    </w:p>
    <w:p>
      <w:pPr>
        <w:numPr>
          <w:ilvl w:val="0"/>
          <w:numId w:val="1005"/>
        </w:numPr>
        <w:pStyle w:val="Compact"/>
      </w:pPr>
      <w:r>
        <w:t xml:space="preserve">transformaciones;</w:t>
      </w:r>
    </w:p>
    <w:p>
      <w:pPr>
        <w:numPr>
          <w:ilvl w:val="0"/>
          <w:numId w:val="1005"/>
        </w:numPr>
        <w:pStyle w:val="Compact"/>
      </w:pPr>
      <w:r>
        <w:t xml:space="preserve">pasos de procesamiento;</w:t>
      </w:r>
    </w:p>
    <w:p>
      <w:pPr>
        <w:numPr>
          <w:ilvl w:val="0"/>
          <w:numId w:val="1005"/>
        </w:numPr>
        <w:pStyle w:val="Compact"/>
      </w:pPr>
      <w:r>
        <w:t xml:space="preserve">historial de edición;</w:t>
      </w:r>
    </w:p>
    <w:p>
      <w:pPr>
        <w:numPr>
          <w:ilvl w:val="0"/>
          <w:numId w:val="1005"/>
        </w:numPr>
        <w:pStyle w:val="Compact"/>
      </w:pPr>
      <w:r>
        <w:t xml:space="preserve">estado autoritativo versus derivado;</w:t>
      </w:r>
    </w:p>
    <w:p>
      <w:pPr>
        <w:numPr>
          <w:ilvl w:val="0"/>
          <w:numId w:val="1005"/>
        </w:numPr>
        <w:pStyle w:val="Compact"/>
      </w:pPr>
      <w:r>
        <w:t xml:space="preserve">limitaciones conocidas.</w:t>
      </w:r>
    </w:p>
    <w:p>
      <w:pPr>
        <w:pStyle w:val="FirstParagraph"/>
      </w:pPr>
      <w:r>
        <w:t xml:space="preserve">Si se transforma, generaliza, recorta, une, clasifica o deriva información, documente lo necesario para reproducir o comprender el resultado.</w:t>
      </w:r>
    </w:p>
    <w:bookmarkEnd w:id="30"/>
    <w:bookmarkStart w:id="31" w:name="calidad-de-datos"/>
    <w:p>
      <w:pPr>
        <w:pStyle w:val="Heading2"/>
      </w:pPr>
      <w:r>
        <w:t xml:space="preserve">Calidad de datos</w:t>
      </w:r>
    </w:p>
    <w:p>
      <w:pPr>
        <w:pStyle w:val="FirstParagraph"/>
      </w:pPr>
      <w:r>
        <w:t xml:space="preserve">Calidad significa adecuación al propósito. Revise:</w:t>
      </w:r>
    </w:p>
    <w:p>
      <w:pPr>
        <w:numPr>
          <w:ilvl w:val="0"/>
          <w:numId w:val="1006"/>
        </w:numPr>
        <w:pStyle w:val="Compact"/>
      </w:pPr>
      <w:r>
        <w:t xml:space="preserve">atributos faltantes/ inválidos;</w:t>
      </w:r>
    </w:p>
    <w:p>
      <w:pPr>
        <w:numPr>
          <w:ilvl w:val="0"/>
          <w:numId w:val="1006"/>
        </w:numPr>
        <w:pStyle w:val="Compact"/>
      </w:pPr>
      <w:r>
        <w:t xml:space="preserve">duplicados;</w:t>
      </w:r>
    </w:p>
    <w:p>
      <w:pPr>
        <w:numPr>
          <w:ilvl w:val="0"/>
          <w:numId w:val="1006"/>
        </w:numPr>
        <w:pStyle w:val="Compact"/>
      </w:pPr>
      <w:r>
        <w:t xml:space="preserve">valores imposibles;</w:t>
      </w:r>
    </w:p>
    <w:p>
      <w:pPr>
        <w:numPr>
          <w:ilvl w:val="0"/>
          <w:numId w:val="1006"/>
        </w:numPr>
        <w:pStyle w:val="Compact"/>
      </w:pPr>
      <w:r>
        <w:t xml:space="preserve">información obsoleta;</w:t>
      </w:r>
    </w:p>
    <w:p>
      <w:pPr>
        <w:numPr>
          <w:ilvl w:val="0"/>
          <w:numId w:val="1006"/>
        </w:numPr>
        <w:pStyle w:val="Compact"/>
      </w:pPr>
      <w:r>
        <w:t xml:space="preserve">unidades inconsistentes;</w:t>
      </w:r>
    </w:p>
    <w:p>
      <w:pPr>
        <w:numPr>
          <w:ilvl w:val="0"/>
          <w:numId w:val="1006"/>
        </w:numPr>
        <w:pStyle w:val="Compact"/>
      </w:pPr>
      <w:r>
        <w:t xml:space="preserve">CRS incompatibles;</w:t>
      </w:r>
    </w:p>
    <w:p>
      <w:pPr>
        <w:numPr>
          <w:ilvl w:val="0"/>
          <w:numId w:val="1006"/>
        </w:numPr>
        <w:pStyle w:val="Compact"/>
      </w:pPr>
      <w:r>
        <w:t xml:space="preserve">defectos geométricos;</w:t>
      </w:r>
    </w:p>
    <w:p>
      <w:pPr>
        <w:numPr>
          <w:ilvl w:val="0"/>
          <w:numId w:val="1006"/>
        </w:numPr>
        <w:pStyle w:val="Compact"/>
      </w:pPr>
      <w:r>
        <w:t xml:space="preserve">cobertura incompleta;</w:t>
      </w:r>
    </w:p>
    <w:p>
      <w:pPr>
        <w:numPr>
          <w:ilvl w:val="0"/>
          <w:numId w:val="1006"/>
        </w:numPr>
        <w:pStyle w:val="Compact"/>
      </w:pPr>
      <w:r>
        <w:t xml:space="preserve">códigos/nombres inconsistentes;</w:t>
      </w:r>
    </w:p>
    <w:p>
      <w:pPr>
        <w:numPr>
          <w:ilvl w:val="0"/>
          <w:numId w:val="1006"/>
        </w:numPr>
        <w:pStyle w:val="Compact"/>
      </w:pPr>
      <w:r>
        <w:t xml:space="preserve">conflictos entre fuentes;</w:t>
      </w:r>
    </w:p>
    <w:p>
      <w:pPr>
        <w:numPr>
          <w:ilvl w:val="0"/>
          <w:numId w:val="1006"/>
        </w:numPr>
        <w:pStyle w:val="Compact"/>
      </w:pPr>
      <w:r>
        <w:t xml:space="preserve">outliers inesperados.</w:t>
      </w:r>
    </w:p>
    <w:p>
      <w:pPr>
        <w:pStyle w:val="FirstParagraph"/>
      </w:pPr>
      <w:r>
        <w:t xml:space="preserve">No “corrija” silenciosamente datos autoritativos cuando corresponde documentar y escalar al propietario de la fuente.</w:t>
      </w:r>
    </w:p>
    <w:bookmarkEnd w:id="31"/>
    <w:bookmarkStart w:id="32" w:name="geometría-y-topología"/>
    <w:p>
      <w:pPr>
        <w:pStyle w:val="Heading2"/>
      </w:pPr>
      <w:r>
        <w:t xml:space="preserve">Geometría y topología</w:t>
      </w:r>
    </w:p>
    <w:p>
      <w:pPr>
        <w:pStyle w:val="FirstParagraph"/>
      </w:pPr>
      <w:r>
        <w:t xml:space="preserve">Problemas frecuentes:</w:t>
      </w:r>
    </w:p>
    <w:p>
      <w:pPr>
        <w:numPr>
          <w:ilvl w:val="0"/>
          <w:numId w:val="1007"/>
        </w:numPr>
        <w:pStyle w:val="Compact"/>
      </w:pPr>
      <w:r>
        <w:t xml:space="preserve">self-intersections;</w:t>
      </w:r>
    </w:p>
    <w:p>
      <w:pPr>
        <w:numPr>
          <w:ilvl w:val="0"/>
          <w:numId w:val="1007"/>
        </w:numPr>
        <w:pStyle w:val="Compact"/>
      </w:pPr>
      <w:r>
        <w:t xml:space="preserve">entidades duplicadas;</w:t>
      </w:r>
    </w:p>
    <w:p>
      <w:pPr>
        <w:numPr>
          <w:ilvl w:val="0"/>
          <w:numId w:val="1007"/>
        </w:numPr>
        <w:pStyle w:val="Compact"/>
      </w:pPr>
      <w:r>
        <w:t xml:space="preserve">anillos inválidos;</w:t>
      </w:r>
    </w:p>
    <w:p>
      <w:pPr>
        <w:numPr>
          <w:ilvl w:val="0"/>
          <w:numId w:val="1007"/>
        </w:numPr>
        <w:pStyle w:val="Compact"/>
      </w:pPr>
      <w:r>
        <w:t xml:space="preserve">overlaps;</w:t>
      </w:r>
    </w:p>
    <w:p>
      <w:pPr>
        <w:numPr>
          <w:ilvl w:val="0"/>
          <w:numId w:val="1007"/>
        </w:numPr>
        <w:pStyle w:val="Compact"/>
      </w:pPr>
      <w:r>
        <w:t xml:space="preserve">gaps;</w:t>
      </w:r>
    </w:p>
    <w:p>
      <w:pPr>
        <w:numPr>
          <w:ilvl w:val="0"/>
          <w:numId w:val="1007"/>
        </w:numPr>
        <w:pStyle w:val="Compact"/>
      </w:pPr>
      <w:r>
        <w:t xml:space="preserve">líneas colgantes;</w:t>
      </w:r>
    </w:p>
    <w:p>
      <w:pPr>
        <w:numPr>
          <w:ilvl w:val="0"/>
          <w:numId w:val="1007"/>
        </w:numPr>
        <w:pStyle w:val="Compact"/>
      </w:pPr>
      <w:r>
        <w:t xml:space="preserve">undershoots/overshoots;</w:t>
      </w:r>
    </w:p>
    <w:p>
      <w:pPr>
        <w:numPr>
          <w:ilvl w:val="0"/>
          <w:numId w:val="1007"/>
        </w:numPr>
        <w:pStyle w:val="Compact"/>
      </w:pPr>
      <w:r>
        <w:t xml:space="preserve">polígonos sliver;</w:t>
      </w:r>
    </w:p>
    <w:p>
      <w:pPr>
        <w:numPr>
          <w:ilvl w:val="0"/>
          <w:numId w:val="1007"/>
        </w:numPr>
        <w:pStyle w:val="Compact"/>
      </w:pPr>
      <w:r>
        <w:t xml:space="preserve">segmentos desconectados;</w:t>
      </w:r>
    </w:p>
    <w:p>
      <w:pPr>
        <w:numPr>
          <w:ilvl w:val="0"/>
          <w:numId w:val="1007"/>
        </w:numPr>
        <w:pStyle w:val="Compact"/>
      </w:pPr>
      <w:r>
        <w:t xml:space="preserve">snapping/tolerance incorrectos.</w:t>
      </w:r>
    </w:p>
    <w:p>
      <w:pPr>
        <w:pStyle w:val="FirstParagraph"/>
      </w:pPr>
      <w:r>
        <w:t xml:space="preserve">Las reglas de topología dependen del dominio. Un detector automático identifica condiciones, pero no decide todas las reglas del negocio sin requisitos.</w:t>
      </w:r>
    </w:p>
    <w:bookmarkEnd w:id="32"/>
    <w:bookmarkStart w:id="33" w:name="georreferenciación"/>
    <w:p>
      <w:pPr>
        <w:pStyle w:val="Heading2"/>
      </w:pPr>
      <w:r>
        <w:t xml:space="preserve">Georreferenciación</w:t>
      </w:r>
    </w:p>
    <w:p>
      <w:pPr>
        <w:pStyle w:val="FirstParagraph"/>
      </w:pPr>
      <w:r>
        <w:t xml:space="preserve">Flujo defendible:</w:t>
      </w:r>
    </w:p>
    <w:p>
      <w:pPr>
        <w:numPr>
          <w:ilvl w:val="0"/>
          <w:numId w:val="1008"/>
        </w:numPr>
        <w:pStyle w:val="Compact"/>
      </w:pPr>
      <w:r>
        <w:t xml:space="preserve">identificar imagen/mapa fuente y CRS objetivo;</w:t>
      </w:r>
    </w:p>
    <w:p>
      <w:pPr>
        <w:numPr>
          <w:ilvl w:val="0"/>
          <w:numId w:val="1008"/>
        </w:numPr>
        <w:pStyle w:val="Compact"/>
      </w:pPr>
      <w:r>
        <w:t xml:space="preserve">seleccionar puntos de control confiables y distribuidos;</w:t>
      </w:r>
    </w:p>
    <w:p>
      <w:pPr>
        <w:numPr>
          <w:ilvl w:val="0"/>
          <w:numId w:val="1008"/>
        </w:numPr>
        <w:pStyle w:val="Compact"/>
      </w:pPr>
      <w:r>
        <w:t xml:space="preserve">elegir transformación adecuada;</w:t>
      </w:r>
    </w:p>
    <w:p>
      <w:pPr>
        <w:numPr>
          <w:ilvl w:val="0"/>
          <w:numId w:val="1008"/>
        </w:numPr>
        <w:pStyle w:val="Compact"/>
      </w:pPr>
      <w:r>
        <w:t xml:space="preserve">revisar residual/error;</w:t>
      </w:r>
    </w:p>
    <w:p>
      <w:pPr>
        <w:numPr>
          <w:ilvl w:val="0"/>
          <w:numId w:val="1008"/>
        </w:numPr>
        <w:pStyle w:val="Compact"/>
      </w:pPr>
      <w:r>
        <w:t xml:space="preserve">inspeccionar el resultado;</w:t>
      </w:r>
    </w:p>
    <w:p>
      <w:pPr>
        <w:numPr>
          <w:ilvl w:val="0"/>
          <w:numId w:val="1008"/>
        </w:numPr>
        <w:pStyle w:val="Compact"/>
      </w:pPr>
      <w:r>
        <w:t xml:space="preserve">validar contra referencias independientes conocidas cuando sea posible;</w:t>
      </w:r>
    </w:p>
    <w:p>
      <w:pPr>
        <w:numPr>
          <w:ilvl w:val="0"/>
          <w:numId w:val="1008"/>
        </w:numPr>
        <w:pStyle w:val="Compact"/>
      </w:pPr>
      <w:r>
        <w:t xml:space="preserve">documentar fuente, método, puntos y limitaciones.</w:t>
      </w:r>
    </w:p>
    <w:p>
      <w:pPr>
        <w:pStyle w:val="FirstParagraph"/>
      </w:pPr>
      <w:r>
        <w:t xml:space="preserve">Un residual bajo no prueba por sí solo exactitud posicional real. Puntos de control pobres pueden producir un resultado matemáticamente limpio pero incorrecto.</w:t>
      </w:r>
    </w:p>
    <w:bookmarkEnd w:id="33"/>
    <w:bookmarkStart w:id="34" w:name="digitalización-y-captura"/>
    <w:p>
      <w:pPr>
        <w:pStyle w:val="Heading2"/>
      </w:pPr>
      <w:r>
        <w:t xml:space="preserve">Digitalización y captura</w:t>
      </w:r>
    </w:p>
    <w:p>
      <w:pPr>
        <w:pStyle w:val="FirstParagraph"/>
      </w:pPr>
      <w:r>
        <w:t xml:space="preserve">Al digitalizar:</w:t>
      </w:r>
    </w:p>
    <w:p>
      <w:pPr>
        <w:numPr>
          <w:ilvl w:val="0"/>
          <w:numId w:val="1009"/>
        </w:numPr>
        <w:pStyle w:val="Compact"/>
      </w:pPr>
      <w:r>
        <w:t xml:space="preserve">use escala/zoom apropiados;</w:t>
      </w:r>
    </w:p>
    <w:p>
      <w:pPr>
        <w:numPr>
          <w:ilvl w:val="0"/>
          <w:numId w:val="1009"/>
        </w:numPr>
        <w:pStyle w:val="Compact"/>
      </w:pPr>
      <w:r>
        <w:t xml:space="preserve">siga reglas de snapping/tolerance;</w:t>
      </w:r>
    </w:p>
    <w:p>
      <w:pPr>
        <w:numPr>
          <w:ilvl w:val="0"/>
          <w:numId w:val="1009"/>
        </w:numPr>
        <w:pStyle w:val="Compact"/>
      </w:pPr>
      <w:r>
        <w:t xml:space="preserve">capture atributos consistentemente;</w:t>
      </w:r>
    </w:p>
    <w:p>
      <w:pPr>
        <w:numPr>
          <w:ilvl w:val="0"/>
          <w:numId w:val="1009"/>
        </w:numPr>
        <w:pStyle w:val="Compact"/>
      </w:pPr>
      <w:r>
        <w:t xml:space="preserve">respete exactitud/resolución de la fuente;</w:t>
      </w:r>
    </w:p>
    <w:p>
      <w:pPr>
        <w:numPr>
          <w:ilvl w:val="0"/>
          <w:numId w:val="1009"/>
        </w:numPr>
        <w:pStyle w:val="Compact"/>
      </w:pPr>
      <w:r>
        <w:t xml:space="preserve">evite falsa precisión;</w:t>
      </w:r>
    </w:p>
    <w:p>
      <w:pPr>
        <w:numPr>
          <w:ilvl w:val="0"/>
          <w:numId w:val="1009"/>
        </w:numPr>
        <w:pStyle w:val="Compact"/>
      </w:pPr>
      <w:r>
        <w:t xml:space="preserve">valide geometría y atributos;</w:t>
      </w:r>
    </w:p>
    <w:p>
      <w:pPr>
        <w:numPr>
          <w:ilvl w:val="0"/>
          <w:numId w:val="1009"/>
        </w:numPr>
        <w:pStyle w:val="Compact"/>
      </w:pPr>
      <w:r>
        <w:t xml:space="preserve">documente fuente y método.</w:t>
      </w:r>
    </w:p>
    <w:p>
      <w:pPr>
        <w:pStyle w:val="FirstParagraph"/>
      </w:pPr>
      <w:r>
        <w:t xml:space="preserve">Trazar una fuente borrosa con mucho zoom no genera exactitud topográfica o catastral.</w:t>
      </w:r>
    </w:p>
    <w:bookmarkEnd w:id="34"/>
    <w:bookmarkStart w:id="35" w:name="cartografía-y-comunicación"/>
    <w:p>
      <w:pPr>
        <w:pStyle w:val="Heading2"/>
      </w:pPr>
      <w:r>
        <w:t xml:space="preserve">Cartografía y comunicación</w:t>
      </w:r>
    </w:p>
    <w:p>
      <w:pPr>
        <w:pStyle w:val="FirstParagraph"/>
      </w:pPr>
      <w:r>
        <w:t xml:space="preserve">Un mapa profesional debe tener propósito y audiencia claros. Considere extensión, escala, simbología, método de clasificación, jerarquía de etiquetas, leyenda, título, fuente/fecha, unidades, incertidumbre, contraste, accesibilidad y texto/tablas de apoyo.</w:t>
      </w:r>
    </w:p>
    <w:p>
      <w:pPr>
        <w:pStyle w:val="BodyText"/>
      </w:pPr>
      <w:r>
        <w:t xml:space="preserve">Evite decisiones visuales engañosas. Símbolos excesivos, rampas dramáticas o cortes de clasificación inadecuados pueden exagerar diferencias.</w:t>
      </w:r>
    </w:p>
    <w:bookmarkEnd w:id="35"/>
    <w:bookmarkStart w:id="36" w:name="métodos-de-clasificación"/>
    <w:p>
      <w:pPr>
        <w:pStyle w:val="Heading2"/>
      </w:pPr>
      <w:r>
        <w:t xml:space="preserve">Métodos de clasificación</w:t>
      </w:r>
    </w:p>
    <w:p>
      <w:pPr>
        <w:pStyle w:val="FirstParagraph"/>
      </w:pPr>
      <w:r>
        <w:t xml:space="preserve">Mapas coropléticos pueden cambiar de significado según el método: intervalos iguales, cuantiles, natural breaks o rangos de dominio.</w:t>
      </w:r>
    </w:p>
    <w:p>
      <w:pPr>
        <w:pStyle w:val="BodyText"/>
      </w:pPr>
      <w:r>
        <w:t xml:space="preserve">Antes de clasificar:</w:t>
      </w:r>
    </w:p>
    <w:p>
      <w:pPr>
        <w:numPr>
          <w:ilvl w:val="0"/>
          <w:numId w:val="1010"/>
        </w:numPr>
        <w:pStyle w:val="Compact"/>
      </w:pPr>
      <w:r>
        <w:t xml:space="preserve">revise distribución;</w:t>
      </w:r>
    </w:p>
    <w:p>
      <w:pPr>
        <w:numPr>
          <w:ilvl w:val="0"/>
          <w:numId w:val="1010"/>
        </w:numPr>
        <w:pStyle w:val="Compact"/>
      </w:pPr>
      <w:r>
        <w:t xml:space="preserve">distinga conteos, tasas o medidas normalizadas;</w:t>
      </w:r>
    </w:p>
    <w:p>
      <w:pPr>
        <w:numPr>
          <w:ilvl w:val="0"/>
          <w:numId w:val="1010"/>
        </w:numPr>
        <w:pStyle w:val="Compact"/>
      </w:pPr>
      <w:r>
        <w:t xml:space="preserve">identifique outliers;</w:t>
      </w:r>
    </w:p>
    <w:p>
      <w:pPr>
        <w:numPr>
          <w:ilvl w:val="0"/>
          <w:numId w:val="1010"/>
        </w:numPr>
        <w:pStyle w:val="Compact"/>
      </w:pPr>
      <w:r>
        <w:t xml:space="preserve">considere audiencia;</w:t>
      </w:r>
    </w:p>
    <w:p>
      <w:pPr>
        <w:numPr>
          <w:ilvl w:val="0"/>
          <w:numId w:val="1010"/>
        </w:numPr>
        <w:pStyle w:val="Compact"/>
      </w:pPr>
      <w:r>
        <w:t xml:space="preserve">documente método cuando afecte interpretación.</w:t>
      </w:r>
    </w:p>
    <w:p>
      <w:pPr>
        <w:pStyle w:val="FirstParagraph"/>
      </w:pPr>
      <w:r>
        <w:t xml:space="preserve">Mapear conteos crudos puede engañar cuando las regiones difieren mucho en población o tamaño.</w:t>
      </w:r>
    </w:p>
    <w:bookmarkEnd w:id="36"/>
    <w:bookmarkStart w:id="37" w:name="análisis-espacial"/>
    <w:p>
      <w:pPr>
        <w:pStyle w:val="Heading2"/>
      </w:pPr>
      <w:r>
        <w:t xml:space="preserve">Análisis espacial</w:t>
      </w:r>
    </w:p>
    <w:p>
      <w:pPr>
        <w:pStyle w:val="FirstParagraph"/>
      </w:pPr>
      <w:r>
        <w:t xml:space="preserve">Puede incluir buffers, overlays/intersections, clipping, dissolve, proximity, spatial joins, network analysis, raster analysis, terrain/surface y otras técnicas.</w:t>
      </w:r>
    </w:p>
    <w:p>
      <w:pPr>
        <w:pStyle w:val="BodyText"/>
      </w:pPr>
      <w:r>
        <w:t xml:space="preserve">Antes de interpretar resultados verifique CRS, unidades, calidad de fuentes, supuestos y parámetros. Un geoproceso que termina correctamente puede responder la pregunta equivocada.</w:t>
      </w:r>
    </w:p>
    <w:bookmarkEnd w:id="37"/>
    <w:bookmarkStart w:id="38" w:name="sql-y-bases-espaciales"/>
    <w:p>
      <w:pPr>
        <w:pStyle w:val="Heading2"/>
      </w:pPr>
      <w:r>
        <w:t xml:space="preserve">SQL y bases espaciales</w:t>
      </w:r>
    </w:p>
    <w:p>
      <w:pPr>
        <w:pStyle w:val="FirstParagraph"/>
      </w:pPr>
      <w:r>
        <w:t xml:space="preserve">SQL puede apoyar queries, joins, validación y operaciones en bases espaciales. Dependiendo de la plataforma puede usar geometry/geography y relaciones espaciales.</w:t>
      </w:r>
    </w:p>
    <w:p>
      <w:pPr>
        <w:pStyle w:val="BodyText"/>
      </w:pPr>
      <w:r>
        <w:t xml:space="preserve">Practique en ambientes de lectura o no productivos. No ejecute updates destructivos sobre datos empresariales autoritativos sin permiso, backup/change control y plan de validación.</w:t>
      </w:r>
    </w:p>
    <w:bookmarkEnd w:id="38"/>
    <w:bookmarkStart w:id="39" w:name="python-y-automatización"/>
    <w:p>
      <w:pPr>
        <w:pStyle w:val="Heading2"/>
      </w:pPr>
      <w:r>
        <w:t xml:space="preserve">Python y automatización</w:t>
      </w:r>
    </w:p>
    <w:p>
      <w:pPr>
        <w:pStyle w:val="FirstParagraph"/>
      </w:pPr>
      <w:r>
        <w:t xml:space="preserve">Python, ArcPy y otros scripts pueden automatizar geoprocesos repetitivos.</w:t>
      </w:r>
    </w:p>
    <w:p>
      <w:pPr>
        <w:pStyle w:val="BodyText"/>
      </w:pPr>
      <w:r>
        <w:t xml:space="preserve">Conserve:</w:t>
      </w:r>
    </w:p>
    <w:p>
      <w:pPr>
        <w:numPr>
          <w:ilvl w:val="0"/>
          <w:numId w:val="1011"/>
        </w:numPr>
        <w:pStyle w:val="Compact"/>
      </w:pPr>
      <w:r>
        <w:t xml:space="preserve">inputs;</w:t>
      </w:r>
    </w:p>
    <w:p>
      <w:pPr>
        <w:numPr>
          <w:ilvl w:val="0"/>
          <w:numId w:val="1011"/>
        </w:numPr>
        <w:pStyle w:val="Compact"/>
      </w:pPr>
      <w:r>
        <w:t xml:space="preserve">parámetros;</w:t>
      </w:r>
    </w:p>
    <w:p>
      <w:pPr>
        <w:numPr>
          <w:ilvl w:val="0"/>
          <w:numId w:val="1011"/>
        </w:numPr>
        <w:pStyle w:val="Compact"/>
      </w:pPr>
      <w:r>
        <w:t xml:space="preserve">versión del script;</w:t>
      </w:r>
    </w:p>
    <w:p>
      <w:pPr>
        <w:numPr>
          <w:ilvl w:val="0"/>
          <w:numId w:val="1011"/>
        </w:numPr>
        <w:pStyle w:val="Compact"/>
      </w:pPr>
      <w:r>
        <w:t xml:space="preserve">versión del ambiente/software cuando aplique;</w:t>
      </w:r>
    </w:p>
    <w:p>
      <w:pPr>
        <w:numPr>
          <w:ilvl w:val="0"/>
          <w:numId w:val="1011"/>
        </w:numPr>
        <w:pStyle w:val="Compact"/>
      </w:pPr>
      <w:r>
        <w:t xml:space="preserve">output/version;</w:t>
      </w:r>
    </w:p>
    <w:p>
      <w:pPr>
        <w:numPr>
          <w:ilvl w:val="0"/>
          <w:numId w:val="1011"/>
        </w:numPr>
        <w:pStyle w:val="Compact"/>
      </w:pPr>
      <w:r>
        <w:t xml:space="preserve">warnings/errors;</w:t>
      </w:r>
    </w:p>
    <w:p>
      <w:pPr>
        <w:numPr>
          <w:ilvl w:val="0"/>
          <w:numId w:val="1011"/>
        </w:numPr>
        <w:pStyle w:val="Compact"/>
      </w:pPr>
      <w:r>
        <w:t xml:space="preserve">resultados de validación.</w:t>
      </w:r>
    </w:p>
    <w:p>
      <w:pPr>
        <w:pStyle w:val="FirstParagraph"/>
      </w:pPr>
      <w:r>
        <w:t xml:space="preserve">La automatización escala errores igual que procesos correctos. Pruebe con un subconjunto controlado antes de una operación grande o destructiva.</w:t>
      </w:r>
    </w:p>
    <w:bookmarkEnd w:id="39"/>
    <w:bookmarkStart w:id="40" w:name="señales-tecnológicas-actuales"/>
    <w:p>
      <w:pPr>
        <w:pStyle w:val="Heading2"/>
      </w:pPr>
      <w:r>
        <w:t xml:space="preserve">Señales tecnológicas actuales</w:t>
      </w:r>
    </w:p>
    <w:p>
      <w:pPr>
        <w:pStyle w:val="FirstParagraph"/>
      </w:pPr>
      <w:r>
        <w:t xml:space="preserve">O*NET/Lightcast 2025 muestra:</w:t>
      </w:r>
    </w:p>
    <w:p>
      <w:pPr>
        <w:numPr>
          <w:ilvl w:val="0"/>
          <w:numId w:val="1012"/>
        </w:numPr>
        <w:pStyle w:val="Compact"/>
      </w:pPr>
      <w:r>
        <w:t xml:space="preserve">ESRI ArcGIS</w:t>
      </w:r>
      <w:r>
        <w:t xml:space="preserve"> </w:t>
      </w:r>
      <w:r>
        <w:rPr>
          <w:bCs/>
          <w:b/>
        </w:rPr>
        <w:t xml:space="preserve">75%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GIS systems</w:t>
      </w:r>
      <w:r>
        <w:t xml:space="preserve"> </w:t>
      </w:r>
      <w:r>
        <w:rPr>
          <w:bCs/>
          <w:b/>
        </w:rPr>
        <w:t xml:space="preserve">67%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Python</w:t>
      </w:r>
      <w:r>
        <w:t xml:space="preserve"> </w:t>
      </w:r>
      <w:r>
        <w:rPr>
          <w:bCs/>
          <w:b/>
        </w:rPr>
        <w:t xml:space="preserve">34%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SQL</w:t>
      </w:r>
      <w:r>
        <w:t xml:space="preserve"> </w:t>
      </w:r>
      <w:r>
        <w:rPr>
          <w:bCs/>
          <w:b/>
        </w:rPr>
        <w:t xml:space="preserve">22%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GIS software</w:t>
      </w:r>
      <w:r>
        <w:t xml:space="preserve"> </w:t>
      </w:r>
      <w:r>
        <w:rPr>
          <w:bCs/>
          <w:b/>
        </w:rPr>
        <w:t xml:space="preserve">21%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Microsoft Office</w:t>
      </w:r>
      <w:r>
        <w:t xml:space="preserve"> </w:t>
      </w:r>
      <w:r>
        <w:rPr>
          <w:bCs/>
          <w:b/>
        </w:rPr>
        <w:t xml:space="preserve">14%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Excel</w:t>
      </w:r>
      <w:r>
        <w:t xml:space="preserve"> </w:t>
      </w:r>
      <w:r>
        <w:rPr>
          <w:bCs/>
          <w:b/>
        </w:rPr>
        <w:t xml:space="preserve">14%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JavaScript</w:t>
      </w:r>
      <w:r>
        <w:t xml:space="preserve"> </w:t>
      </w:r>
      <w:r>
        <w:rPr>
          <w:bCs/>
          <w:b/>
        </w:rPr>
        <w:t xml:space="preserve">13%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AutoCAD</w:t>
      </w:r>
      <w:r>
        <w:t xml:space="preserve"> </w:t>
      </w:r>
      <w:r>
        <w:rPr>
          <w:bCs/>
          <w:b/>
        </w:rPr>
        <w:t xml:space="preserve">10%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ArcMap</w:t>
      </w:r>
      <w:r>
        <w:t xml:space="preserve"> </w:t>
      </w:r>
      <w:r>
        <w:rPr>
          <w:bCs/>
          <w:b/>
        </w:rPr>
        <w:t xml:space="preserve">7%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QGIS</w:t>
      </w:r>
      <w:r>
        <w:t xml:space="preserve"> </w:t>
      </w:r>
      <w:r>
        <w:rPr>
          <w:bCs/>
          <w:b/>
        </w:rPr>
        <w:t xml:space="preserve">7%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ArcGIS Survey123</w:t>
      </w:r>
      <w:r>
        <w:t xml:space="preserve"> </w:t>
      </w:r>
      <w:r>
        <w:rPr>
          <w:bCs/>
          <w:b/>
        </w:rPr>
        <w:t xml:space="preserve">6%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Access</w:t>
      </w:r>
      <w:r>
        <w:t xml:space="preserve"> </w:t>
      </w:r>
      <w:r>
        <w:rPr>
          <w:bCs/>
          <w:b/>
        </w:rPr>
        <w:t xml:space="preserve">6%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PowerPoint</w:t>
      </w:r>
      <w:r>
        <w:t xml:space="preserve"> </w:t>
      </w:r>
      <w:r>
        <w:rPr>
          <w:bCs/>
          <w:b/>
        </w:rPr>
        <w:t xml:space="preserve">6%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Azure</w:t>
      </w:r>
      <w:r>
        <w:t xml:space="preserve"> </w:t>
      </w:r>
      <w:r>
        <w:rPr>
          <w:bCs/>
          <w:b/>
        </w:rPr>
        <w:t xml:space="preserve">5%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ArcPy</w:t>
      </w:r>
      <w:r>
        <w:t xml:space="preserve"> </w:t>
      </w:r>
      <w:r>
        <w:rPr>
          <w:bCs/>
          <w:b/>
        </w:rPr>
        <w:t xml:space="preserve">5%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Outlook</w:t>
      </w:r>
      <w:r>
        <w:t xml:space="preserve"> </w:t>
      </w:r>
      <w:r>
        <w:rPr>
          <w:bCs/>
          <w:b/>
        </w:rPr>
        <w:t xml:space="preserve">5%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AWS</w:t>
      </w:r>
      <w:r>
        <w:t xml:space="preserve"> </w:t>
      </w:r>
      <w:r>
        <w:rPr>
          <w:bCs/>
          <w:b/>
        </w:rPr>
        <w:t xml:space="preserve">5%</w:t>
      </w:r>
      <w:r>
        <w:t xml:space="preserve">.</w:t>
      </w:r>
    </w:p>
    <w:p>
      <w:pPr>
        <w:pStyle w:val="FirstParagraph"/>
      </w:pPr>
      <w:r>
        <w:t xml:space="preserve">Son señales de ofertas, no requisitos universales. CRS, calidad, razonamiento espacial, linaje y reproducibilidad son más transferibles que una interfaz específica.</w:t>
      </w:r>
    </w:p>
    <w:bookmarkEnd w:id="40"/>
    <w:bookmarkStart w:id="41" w:name="web-gis-y-publicación"/>
    <w:p>
      <w:pPr>
        <w:pStyle w:val="Heading2"/>
      </w:pPr>
      <w:r>
        <w:t xml:space="preserve">Web GIS y publicación</w:t>
      </w:r>
    </w:p>
    <w:p>
      <w:pPr>
        <w:pStyle w:val="FirstParagraph"/>
      </w:pPr>
      <w:r>
        <w:t xml:space="preserve">Web GIS puede incluir hosted feature layers, servicios de mapas/tiles, dashboards, web maps y permisos públicos/privados.</w:t>
      </w:r>
    </w:p>
    <w:p>
      <w:pPr>
        <w:pStyle w:val="BodyText"/>
      </w:pPr>
      <w:r>
        <w:t xml:space="preserve">Antes de publicar o cambiar sharing:</w:t>
      </w:r>
    </w:p>
    <w:p>
      <w:pPr>
        <w:numPr>
          <w:ilvl w:val="0"/>
          <w:numId w:val="1013"/>
        </w:numPr>
        <w:pStyle w:val="Compact"/>
      </w:pPr>
      <w:r>
        <w:t xml:space="preserve">confirme audiencia;</w:t>
      </w:r>
    </w:p>
    <w:p>
      <w:pPr>
        <w:numPr>
          <w:ilvl w:val="0"/>
          <w:numId w:val="1013"/>
        </w:numPr>
        <w:pStyle w:val="Compact"/>
      </w:pPr>
      <w:r>
        <w:t xml:space="preserve">verifique permisos;</w:t>
      </w:r>
    </w:p>
    <w:p>
      <w:pPr>
        <w:numPr>
          <w:ilvl w:val="0"/>
          <w:numId w:val="1013"/>
        </w:numPr>
        <w:pStyle w:val="Compact"/>
      </w:pPr>
      <w:r>
        <w:t xml:space="preserve">revise campos sensibles;</w:t>
      </w:r>
    </w:p>
    <w:p>
      <w:pPr>
        <w:numPr>
          <w:ilvl w:val="0"/>
          <w:numId w:val="1013"/>
        </w:numPr>
        <w:pStyle w:val="Compact"/>
      </w:pPr>
      <w:r>
        <w:t xml:space="preserve">confirme que la precisión de ubicación sea apropiada;</w:t>
      </w:r>
    </w:p>
    <w:p>
      <w:pPr>
        <w:numPr>
          <w:ilvl w:val="0"/>
          <w:numId w:val="1013"/>
        </w:numPr>
        <w:pStyle w:val="Compact"/>
      </w:pPr>
      <w:r>
        <w:t xml:space="preserve">revise dependencias;</w:t>
      </w:r>
    </w:p>
    <w:p>
      <w:pPr>
        <w:numPr>
          <w:ilvl w:val="0"/>
          <w:numId w:val="1013"/>
        </w:numPr>
        <w:pStyle w:val="Compact"/>
      </w:pPr>
      <w:r>
        <w:t xml:space="preserve">documente owner/fuente;</w:t>
      </w:r>
    </w:p>
    <w:p>
      <w:pPr>
        <w:numPr>
          <w:ilvl w:val="0"/>
          <w:numId w:val="1013"/>
        </w:numPr>
        <w:pStyle w:val="Compact"/>
      </w:pPr>
      <w:r>
        <w:t xml:space="preserve">confirme que la vista pública no exponga datos protegidos.</w:t>
      </w:r>
    </w:p>
    <w:p>
      <w:pPr>
        <w:pStyle w:val="FirstParagraph"/>
      </w:pPr>
      <w:r>
        <w:t xml:space="preserve">Una capa pública puede revelar ubicaciones sensibles aunque la base original siga privada.</w:t>
      </w:r>
    </w:p>
    <w:bookmarkEnd w:id="41"/>
    <w:bookmarkStart w:id="42" w:name="privacidad-y-ubicaciones-sensibles"/>
    <w:p>
      <w:pPr>
        <w:pStyle w:val="Heading2"/>
      </w:pPr>
      <w:r>
        <w:t xml:space="preserve">Privacidad y ubicaciones sensibles</w:t>
      </w:r>
    </w:p>
    <w:p>
      <w:pPr>
        <w:pStyle w:val="FirstParagraph"/>
      </w:pPr>
      <w:r>
        <w:t xml:space="preserve">Los datos geoespaciales pueden revelar domicilios/personas, clientes/activos, infraestructura crítica, rutas operativas, recursos ambientales/culturales sensibles o poblaciones vulnerables.</w:t>
      </w:r>
    </w:p>
    <w:p>
      <w:pPr>
        <w:pStyle w:val="BodyText"/>
      </w:pPr>
      <w:r>
        <w:t xml:space="preserve">Controles posibles:</w:t>
      </w:r>
    </w:p>
    <w:p>
      <w:pPr>
        <w:numPr>
          <w:ilvl w:val="0"/>
          <w:numId w:val="1014"/>
        </w:numPr>
        <w:pStyle w:val="Compact"/>
      </w:pPr>
      <w:r>
        <w:t xml:space="preserve">need-to-know;</w:t>
      </w:r>
    </w:p>
    <w:p>
      <w:pPr>
        <w:numPr>
          <w:ilvl w:val="0"/>
          <w:numId w:val="1014"/>
        </w:numPr>
        <w:pStyle w:val="Compact"/>
      </w:pPr>
      <w:r>
        <w:t xml:space="preserve">publicación aprobada;</w:t>
      </w:r>
    </w:p>
    <w:p>
      <w:pPr>
        <w:numPr>
          <w:ilvl w:val="0"/>
          <w:numId w:val="1014"/>
        </w:numPr>
        <w:pStyle w:val="Compact"/>
      </w:pPr>
      <w:r>
        <w:t xml:space="preserve">agregación/generalización/redacción;</w:t>
      </w:r>
    </w:p>
    <w:p>
      <w:pPr>
        <w:numPr>
          <w:ilvl w:val="0"/>
          <w:numId w:val="1014"/>
        </w:numPr>
        <w:pStyle w:val="Compact"/>
      </w:pPr>
      <w:r>
        <w:t xml:space="preserve">eliminación de identificadores innecesarios;</w:t>
      </w:r>
    </w:p>
    <w:p>
      <w:pPr>
        <w:numPr>
          <w:ilvl w:val="0"/>
          <w:numId w:val="1014"/>
        </w:numPr>
        <w:pStyle w:val="Compact"/>
      </w:pPr>
      <w:r>
        <w:t xml:space="preserve">protección de credenciales;</w:t>
      </w:r>
    </w:p>
    <w:p>
      <w:pPr>
        <w:numPr>
          <w:ilvl w:val="0"/>
          <w:numId w:val="1014"/>
        </w:numPr>
        <w:pStyle w:val="Compact"/>
      </w:pPr>
      <w:r>
        <w:t xml:space="preserve">escalamiento de incidentes.</w:t>
      </w:r>
    </w:p>
    <w:p>
      <w:pPr>
        <w:pStyle w:val="FirstParagraph"/>
      </w:pPr>
      <w:r>
        <w:t xml:space="preserve">No publique coordenadas protegidas, capas privadas o detalles de infraestructura crítica en mapas públicos, almacenamiento personal, repositorios públicos o IA no aprobada.</w:t>
      </w:r>
    </w:p>
    <w:bookmarkEnd w:id="42"/>
    <w:bookmarkStart w:id="43" w:name="datos-de-campo-y-móviles"/>
    <w:p>
      <w:pPr>
        <w:pStyle w:val="Heading2"/>
      </w:pPr>
      <w:r>
        <w:t xml:space="preserve">Datos de campo y móviles</w:t>
      </w:r>
    </w:p>
    <w:p>
      <w:pPr>
        <w:pStyle w:val="FirstParagraph"/>
      </w:pPr>
      <w:r>
        <w:t xml:space="preserve">Considere seguridad del dispositivo/cuenta, copias offline, conflictos de sync, timestamps, exactitud GPS, validación de formularios, fotos, información personal, pérdida del dispositivo, retención y autorización de upload.</w:t>
      </w:r>
    </w:p>
    <w:p>
      <w:pPr>
        <w:pStyle w:val="BodyText"/>
      </w:pPr>
      <w:r>
        <w:t xml:space="preserve">Una coordenada GPS no es automáticamente survey-grade. Conozca la exigencia de exactitud del trabajo.</w:t>
      </w:r>
    </w:p>
    <w:bookmarkEnd w:id="43"/>
    <w:bookmarkStart w:id="44" w:name="versionamiento-y-change-control"/>
    <w:p>
      <w:pPr>
        <w:pStyle w:val="Heading2"/>
      </w:pPr>
      <w:r>
        <w:t xml:space="preserve">Versionamiento y change control</w:t>
      </w:r>
    </w:p>
    <w:p>
      <w:pPr>
        <w:pStyle w:val="FirstParagraph"/>
      </w:pPr>
      <w:r>
        <w:t xml:space="preserve">Para datos autoritativos, conozca quién puede editar, aprobar o publicar. Puede haber versioning, branch workflows, edit tracking o tickets formales.</w:t>
      </w:r>
    </w:p>
    <w:p>
      <w:pPr>
        <w:pStyle w:val="BodyText"/>
      </w:pPr>
      <w:r>
        <w:t xml:space="preserve">Tener permiso técnico de escritura no significa autoridad para modificar límites oficiales, parcelas legales, redes de servicios u otros datasets controlados.</w:t>
      </w:r>
    </w:p>
    <w:bookmarkEnd w:id="44"/>
    <w:bookmarkStart w:id="45" w:name="Xb8587cbbced7c76faa5c1dbb9d273214789eaf6"/>
    <w:p>
      <w:pPr>
        <w:pStyle w:val="Heading2"/>
      </w:pPr>
      <w:r>
        <w:t xml:space="preserve">Límite con topografía y registros legales</w:t>
      </w:r>
    </w:p>
    <w:p>
      <w:pPr>
        <w:pStyle w:val="FirstParagraph"/>
      </w:pPr>
      <w:r>
        <w:t xml:space="preserve">Un técnico GIS puede usar información de survey, parcelas, ingeniería o límites legales, pero editar/visualizar en GIS no otorga autoridad profesional de topografía.</w:t>
      </w:r>
    </w:p>
    <w:p>
      <w:pPr>
        <w:pStyle w:val="BodyText"/>
      </w:pPr>
      <w:r>
        <w:t xml:space="preserve">No afirme survey-grade accuracy, altere límites legales ni certifique registros catastrales sin autoridad profesional y evidencia correspondiente. Escale interpretación legal/topográfica al profesional autorizado.</w:t>
      </w:r>
    </w:p>
    <w:bookmarkEnd w:id="45"/>
    <w:bookmarkStart w:id="46" w:name="remote-sensing-e-imágenes"/>
    <w:p>
      <w:pPr>
        <w:pStyle w:val="Heading2"/>
      </w:pPr>
      <w:r>
        <w:t xml:space="preserve">Remote sensing e imágenes</w:t>
      </w:r>
    </w:p>
    <w:p>
      <w:pPr>
        <w:pStyle w:val="FirstParagraph"/>
      </w:pPr>
      <w:r>
        <w:t xml:space="preserve">Revise fecha de adquisición, resolución, nubes/obstrucciones, corrección geométrica, CRS, método de clasificación, ground truth/referencia y nivel de incertidumbre.</w:t>
      </w:r>
    </w:p>
    <w:p>
      <w:pPr>
        <w:pStyle w:val="BodyText"/>
      </w:pPr>
      <w:r>
        <w:t xml:space="preserve">La clasificación automatizada debe validarse contra referencias apropiadas antes de decisiones operativas.</w:t>
      </w:r>
    </w:p>
    <w:bookmarkEnd w:id="46"/>
    <w:bookmarkStart w:id="47" w:name="ia-responsable"/>
    <w:p>
      <w:pPr>
        <w:pStyle w:val="Heading2"/>
      </w:pPr>
      <w:r>
        <w:t xml:space="preserve">IA responsable</w:t>
      </w:r>
    </w:p>
    <w:p>
      <w:pPr>
        <w:pStyle w:val="FirstParagraph"/>
      </w:pPr>
      <w:r>
        <w:t xml:space="preserve">La IA aprobada puede ayudar con explicación de código, borradores de metadata, ideas de geoprocesamiento, revisión de geocoding, extracción de features, clasificación, documentación y datos sintéticos.</w:t>
      </w:r>
    </w:p>
    <w:p>
      <w:pPr>
        <w:pStyle w:val="BodyText"/>
      </w:pPr>
      <w:r>
        <w:t xml:space="preserve">Controles:</w:t>
      </w:r>
    </w:p>
    <w:p>
      <w:pPr>
        <w:numPr>
          <w:ilvl w:val="0"/>
          <w:numId w:val="1015"/>
        </w:numPr>
        <w:pStyle w:val="Compact"/>
      </w:pPr>
      <w:r>
        <w:t xml:space="preserve">no enviar coordenadas protegidas, locations de clientes/activos, capas propietarias, credenciales o imágenes restringidas a herramientas no aprobadas;</w:t>
      </w:r>
    </w:p>
    <w:p>
      <w:pPr>
        <w:numPr>
          <w:ilvl w:val="0"/>
          <w:numId w:val="1015"/>
        </w:numPr>
        <w:pStyle w:val="Compact"/>
      </w:pPr>
      <w:r>
        <w:t xml:space="preserve">validar código y lógica geoespacial;</w:t>
      </w:r>
    </w:p>
    <w:p>
      <w:pPr>
        <w:numPr>
          <w:ilvl w:val="0"/>
          <w:numId w:val="1015"/>
        </w:numPr>
        <w:pStyle w:val="Compact"/>
      </w:pPr>
      <w:r>
        <w:t xml:space="preserve">verificar CRS, unidades y supuestos;</w:t>
      </w:r>
    </w:p>
    <w:p>
      <w:pPr>
        <w:numPr>
          <w:ilvl w:val="0"/>
          <w:numId w:val="1015"/>
        </w:numPr>
        <w:pStyle w:val="Compact"/>
      </w:pPr>
      <w:r>
        <w:t xml:space="preserve">detectar funciones/paquetes inventados;</w:t>
      </w:r>
    </w:p>
    <w:p>
      <w:pPr>
        <w:numPr>
          <w:ilvl w:val="0"/>
          <w:numId w:val="1015"/>
        </w:numPr>
        <w:pStyle w:val="Compact"/>
      </w:pPr>
      <w:r>
        <w:t xml:space="preserve">evaluar sesgo/error de extracción/clasificación;</w:t>
      </w:r>
    </w:p>
    <w:p>
      <w:pPr>
        <w:numPr>
          <w:ilvl w:val="0"/>
          <w:numId w:val="1015"/>
        </w:numPr>
        <w:pStyle w:val="Compact"/>
      </w:pPr>
      <w:r>
        <w:t xml:space="preserve">preservar linaje;</w:t>
      </w:r>
    </w:p>
    <w:p>
      <w:pPr>
        <w:numPr>
          <w:ilvl w:val="0"/>
          <w:numId w:val="1015"/>
        </w:numPr>
        <w:pStyle w:val="Compact"/>
      </w:pPr>
      <w:r>
        <w:t xml:space="preserve">no permitir que IA invente coordenadas autoritativas, límites legales o exactitud survey-grade;</w:t>
      </w:r>
    </w:p>
    <w:p>
      <w:pPr>
        <w:numPr>
          <w:ilvl w:val="0"/>
          <w:numId w:val="1015"/>
        </w:numPr>
        <w:pStyle w:val="Compact"/>
      </w:pPr>
      <w:r>
        <w:t xml:space="preserve">mantener validación humana/de dominio.</w:t>
      </w:r>
    </w:p>
    <w:p>
      <w:pPr>
        <w:pStyle w:val="FirstParagraph"/>
      </w:pPr>
      <w:r>
        <w:t xml:space="preserve">El output de IA no es evidencia de ejecución correcta.</w:t>
      </w:r>
    </w:p>
    <w:bookmarkEnd w:id="47"/>
    <w:bookmarkStart w:id="48" w:name="accesibilidad"/>
    <w:p>
      <w:pPr>
        <w:pStyle w:val="Heading2"/>
      </w:pPr>
      <w:r>
        <w:t xml:space="preserve">Accesibilidad</w:t>
      </w:r>
    </w:p>
    <w:p>
      <w:pPr>
        <w:pStyle w:val="FirstParagraph"/>
      </w:pPr>
      <w:r>
        <w:t xml:space="preserve">Use texto legible, contraste suficiente, codificación que no dependa solo de color, leyendas/labels claros, patrones/formas cuando ayuden, contexto/alt text para mapas estáticos, alternativas de texto/tabla para información clave y controles web navegables por teclado cuando corresponda.</w:t>
      </w:r>
    </w:p>
    <w:p>
      <w:pPr>
        <w:pStyle w:val="BodyText"/>
      </w:pPr>
      <w:r>
        <w:t xml:space="preserve">Un scanner automatizado no demuestra cumplimiento legal.</w:t>
      </w:r>
    </w:p>
    <w:bookmarkEnd w:id="48"/>
    <w:bookmarkStart w:id="49" w:name="estados-unidos--educación-y-workforce"/>
    <w:p>
      <w:pPr>
        <w:pStyle w:val="Heading2"/>
      </w:pPr>
      <w:r>
        <w:t xml:space="preserve">Estados Unidos — educación y workforce</w:t>
      </w:r>
    </w:p>
    <w:p>
      <w:pPr>
        <w:pStyle w:val="FirstParagraph"/>
      </w:pPr>
      <w:r>
        <w:t xml:space="preserve">O*NET 15-1299.02 es una ocupación GIS directa, pero los requisitos varían. Las rutas pueden incluir GIS/geospatial technology, geografía, ciencias ambientales, planning, informática, surveying/mapping u otras áreas según funciones.</w:t>
      </w:r>
    </w:p>
    <w:p>
      <w:pPr>
        <w:pStyle w:val="BodyText"/>
      </w:pPr>
      <w:r>
        <w:t xml:space="preserve">CareerOneStop/American Job Centers permite investigar WIOA y recursos locales. Elegibilidad y financiamiento varían; el locator no garantiza pago de un programa.</w:t>
      </w:r>
    </w:p>
    <w:bookmarkEnd w:id="49"/>
    <w:bookmarkStart w:id="51" w:name="Xdc8e57acaa5d7a6b1ab91b3e4d0e8db23871e59"/>
    <w:p>
      <w:pPr>
        <w:pStyle w:val="Heading2"/>
      </w:pPr>
      <w:r>
        <w:t xml:space="preserve">Estados Unidos — salarios y perspectiva oficiales cruzados</w:t>
      </w:r>
    </w:p>
    <w:p>
      <w:pPr>
        <w:pStyle w:val="FirstParagraph"/>
      </w:pPr>
      <w:r>
        <w:t xml:space="preserve">O*NET usa</w:t>
      </w:r>
      <w:r>
        <w:t xml:space="preserve"> </w:t>
      </w:r>
      <w:r>
        <w:rPr>
          <w:bCs/>
          <w:b/>
        </w:rPr>
        <w:t xml:space="preserve">Computer Occupations, All Other</w:t>
      </w:r>
      <w:r>
        <w:t xml:space="preserve"> </w:t>
      </w:r>
      <w:r>
        <w:t xml:space="preserve">para los valores oficiales 2025: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Percentil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Por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$55,940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$26.89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$79,370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$38.16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$116,580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$56.05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$157,500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$188,470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$90.61</w:t>
            </w:r>
          </w:p>
        </w:tc>
      </w:tr>
    </w:tbl>
    <w:p>
      <w:pPr>
        <w:pStyle w:val="BodyText"/>
      </w:pPr>
      <w:r>
        <w:t xml:space="preserve">Perspectiva 2024–2034, también cruzada:</w:t>
      </w:r>
    </w:p>
    <w:p>
      <w:pPr>
        <w:numPr>
          <w:ilvl w:val="0"/>
          <w:numId w:val="1016"/>
        </w:numPr>
        <w:pStyle w:val="Compact"/>
      </w:pPr>
      <w:r>
        <w:t xml:space="preserve">empleo 2024:</w:t>
      </w:r>
      <w:r>
        <w:t xml:space="preserve"> </w:t>
      </w:r>
      <w:r>
        <w:rPr>
          <w:bCs/>
          <w:b/>
        </w:rPr>
        <w:t xml:space="preserve">472,000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proyectado 2034:</w:t>
      </w:r>
      <w:r>
        <w:t xml:space="preserve"> </w:t>
      </w:r>
      <w:r>
        <w:rPr>
          <w:bCs/>
          <w:b/>
        </w:rPr>
        <w:t xml:space="preserve">510,500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crecimiento:</w:t>
      </w:r>
      <w:r>
        <w:t xml:space="preserve"> </w:t>
      </w:r>
      <w:r>
        <w:rPr>
          <w:bCs/>
          <w:b/>
        </w:rPr>
        <w:t xml:space="preserve">8%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vacantes anuales:</w:t>
      </w:r>
      <w:r>
        <w:t xml:space="preserve"> </w:t>
      </w:r>
      <w:r>
        <w:rPr>
          <w:bCs/>
          <w:b/>
        </w:rPr>
        <w:t xml:space="preserve">31,300</w:t>
      </w:r>
      <w:r>
        <w:t xml:space="preserve">.</w:t>
      </w:r>
    </w:p>
    <w:p>
      <w:pPr>
        <w:pStyle w:val="FirstParagraph"/>
      </w:pPr>
      <w:r>
        <w:t xml:space="preserve">Son cifras oficiales, pero no una población salarial/ocupacional pura del título GIS Technician.</w:t>
      </w:r>
    </w:p>
    <w:bookmarkStart w:id="50" w:name="X98fcf3f898168eac675670558957ae1ba2e2c70"/>
    <w:p>
      <w:pPr>
        <w:pStyle w:val="Heading3"/>
      </w:pPr>
      <w:r>
        <w:t xml:space="preserve">Contexto no gubernamental específico del título</w:t>
      </w:r>
    </w:p>
    <w:p>
      <w:pPr>
        <w:pStyle w:val="FirstParagraph"/>
      </w:pPr>
      <w:r>
        <w:t xml:space="preserve">Indeed, actualizado</w:t>
      </w:r>
      <w:r>
        <w:t xml:space="preserve"> </w:t>
      </w:r>
      <w:r>
        <w:rPr>
          <w:bCs/>
          <w:b/>
        </w:rPr>
        <w:t xml:space="preserve">2 de agosto de 2026</w:t>
      </w:r>
      <w:r>
        <w:t xml:space="preserve">, muestra para</w:t>
      </w:r>
      <w:r>
        <w:t xml:space="preserve"> </w:t>
      </w:r>
      <w:r>
        <w:rPr>
          <w:bCs/>
          <w:b/>
        </w:rPr>
        <w:t xml:space="preserve">GIS Technician</w:t>
      </w:r>
      <w:r>
        <w:t xml:space="preserve"> </w:t>
      </w:r>
      <w:r>
        <w:t xml:space="preserve">aproximadamente: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$25.88/hora promedio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$17.60/hora bajo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$38.06/hora alto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749</w:t>
      </w:r>
      <w:r>
        <w:t xml:space="preserve"> </w:t>
      </w:r>
      <w:r>
        <w:t xml:space="preserve">observaciones;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36 meses</w:t>
      </w:r>
      <w:r>
        <w:t xml:space="preserve">.</w:t>
      </w:r>
    </w:p>
    <w:p>
      <w:pPr>
        <w:pStyle w:val="FirstParagraph"/>
      </w:pPr>
      <w:r>
        <w:t xml:space="preserve">La diferencia con O*NET se debe a poblaciones y metodologías diferentes. No promedie ambos conjuntos ni presente uno como corrección exacta del otro.</w:t>
      </w:r>
    </w:p>
    <w:bookmarkEnd w:id="50"/>
    <w:bookmarkEnd w:id="51"/>
    <w:bookmarkStart w:id="53" w:name="canadá"/>
    <w:p>
      <w:pPr>
        <w:pStyle w:val="Heading2"/>
      </w:pPr>
      <w:r>
        <w:t xml:space="preserve">Canadá</w:t>
      </w:r>
    </w:p>
    <w:p>
      <w:pPr>
        <w:pStyle w:val="FirstParagraph"/>
      </w:pPr>
      <w:r>
        <w:t xml:space="preserve">Job Bank mapea GIS Technician directamente a</w:t>
      </w:r>
      <w:r>
        <w:t xml:space="preserve"> </w:t>
      </w:r>
      <w:r>
        <w:rPr>
          <w:bCs/>
          <w:b/>
        </w:rPr>
        <w:t xml:space="preserve">NOC 22214</w:t>
      </w:r>
      <w:r>
        <w:t xml:space="preserve">.</w:t>
      </w:r>
    </w:p>
    <w:p>
      <w:pPr>
        <w:pStyle w:val="BodyText"/>
      </w:pPr>
      <w:r>
        <w:t xml:space="preserve">Salarios nacionales: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C$23.08/hora</w:t>
      </w:r>
      <w:r>
        <w:t xml:space="preserve"> </w:t>
      </w:r>
      <w:r>
        <w:t xml:space="preserve">bajo;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C$38.10/hora</w:t>
      </w:r>
      <w:r>
        <w:t xml:space="preserve"> </w:t>
      </w:r>
      <w:r>
        <w:t xml:space="preserve">mediano;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C$53.85/hora</w:t>
      </w:r>
      <w:r>
        <w:t xml:space="preserve"> </w:t>
      </w:r>
      <w:r>
        <w:t xml:space="preserve">alto.</w:t>
      </w:r>
    </w:p>
    <w:p>
      <w:pPr>
        <w:pStyle w:val="FirstParagraph"/>
      </w:pPr>
      <w:r>
        <w:t xml:space="preserve">La preparación puede incluir college en geomatics, cartography, photogrammetry, aerial survey, remote sensing, GIS o disciplinas relacionadas. El perfil actual requiere secundaria.</w:t>
      </w:r>
    </w:p>
    <w:p>
      <w:pPr>
        <w:pStyle w:val="BodyText"/>
      </w:pPr>
      <w:r>
        <w:t xml:space="preserve">En Quebec, Job Bank señala membership en el organismo regulatorio para usar el título</w:t>
      </w:r>
      <w:r>
        <w:t xml:space="preserve"> </w:t>
      </w:r>
      <w:r>
        <w:rPr>
          <w:bCs/>
          <w:b/>
        </w:rPr>
        <w:t xml:space="preserve">Professional Technologist</w:t>
      </w:r>
      <w:r>
        <w:t xml:space="preserve">. Trátelo como requisito de título/estatus profesional y no como afirmación de que todo trabajo GIS en Canadá está regulado de la misma manera.</w:t>
      </w:r>
    </w:p>
    <w:bookmarkStart w:id="52" w:name="perspectiva-de-canadá"/>
    <w:p>
      <w:pPr>
        <w:pStyle w:val="Heading3"/>
      </w:pPr>
      <w:r>
        <w:t xml:space="preserve">Perspectiva de Canadá</w:t>
      </w:r>
    </w:p>
    <w:p>
      <w:pPr>
        <w:pStyle w:val="FirstParagraph"/>
      </w:pPr>
      <w:r>
        <w:t xml:space="preserve">La proyección nacional 2024–2033 para NOC 22214 indica</w:t>
      </w:r>
      <w:r>
        <w:t xml:space="preserve"> </w:t>
      </w:r>
      <w:r>
        <w:rPr>
          <w:bCs/>
          <w:b/>
        </w:rPr>
        <w:t xml:space="preserve">strong risk of labour surplus</w:t>
      </w:r>
      <w:r>
        <w:t xml:space="preserve">. Las perspectivas a tres años varían y son Limited o Moderate en muchas provincias/territorios. Verifique la región específica.</w:t>
      </w:r>
    </w:p>
    <w:bookmarkEnd w:id="52"/>
    <w:bookmarkEnd w:id="53"/>
    <w:bookmarkStart w:id="54" w:name="colombia"/>
    <w:p>
      <w:pPr>
        <w:pStyle w:val="Heading2"/>
      </w:pPr>
      <w:r>
        <w:t xml:space="preserve">Colombia</w:t>
      </w:r>
    </w:p>
    <w:p>
      <w:pPr>
        <w:pStyle w:val="FirstParagraph"/>
      </w:pPr>
      <w:r>
        <w:rPr>
          <w:bCs/>
          <w:b/>
        </w:rPr>
        <w:t xml:space="preserve">CUOC 31123 — Técnicos en cartografía</w:t>
      </w:r>
      <w:r>
        <w:t xml:space="preserve">, nivel de competencia 3, incluye explícitamente</w:t>
      </w:r>
      <w:r>
        <w:t xml:space="preserve"> </w:t>
      </w:r>
      <w:r>
        <w:rPr>
          <w:bCs/>
          <w:b/>
        </w:rPr>
        <w:t xml:space="preserve">Técnico sistemas de información geográfica</w:t>
      </w:r>
      <w:r>
        <w:t xml:space="preserve">.</w:t>
      </w:r>
    </w:p>
    <w:p>
      <w:pPr>
        <w:pStyle w:val="BodyText"/>
      </w:pPr>
      <w:r>
        <w:t xml:space="preserve">Las funciones incluyen apoyo a diseño/contenido de mapas, recolección desde fotografías aéreas/registros/mapas, producción digital de mapas/gráficos, control de completitud/exactitud, interpretación aérea, equipos cartográficos digitales y remote sensing.</w:t>
      </w:r>
    </w:p>
    <w:p>
      <w:pPr>
        <w:pStyle w:val="BodyText"/>
      </w:pPr>
      <w:r>
        <w:t xml:space="preserve">No fabrique un salario nacional representativo cuando los indicadores históricos disponibles no tengan metodología adecuada para ese uso.</w:t>
      </w:r>
    </w:p>
    <w:bookmarkEnd w:id="54"/>
    <w:bookmarkStart w:id="58" w:name="colombia--rutas-sena"/>
    <w:p>
      <w:pPr>
        <w:pStyle w:val="Heading2"/>
      </w:pPr>
      <w:r>
        <w:t xml:space="preserve">Colombia — rutas SENA</w:t>
      </w:r>
    </w:p>
    <w:bookmarkStart w:id="55" w:name="Xc387b23415471d18a6dcbdd373ce4cf99190d8f"/>
    <w:p>
      <w:pPr>
        <w:pStyle w:val="Heading3"/>
      </w:pPr>
      <w:r>
        <w:t xml:space="preserve">Introducción a los Sistemas de Información Geográfica</w:t>
      </w:r>
    </w:p>
    <w:p>
      <w:pPr>
        <w:numPr>
          <w:ilvl w:val="0"/>
          <w:numId w:val="1019"/>
        </w:numPr>
        <w:pStyle w:val="Compact"/>
      </w:pPr>
      <w:r>
        <w:t xml:space="preserve">formación complementaria/curso especial;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80 horas</w:t>
      </w:r>
      <w:r>
        <w:t xml:space="preserve">;</w:t>
      </w:r>
    </w:p>
    <w:p>
      <w:pPr>
        <w:numPr>
          <w:ilvl w:val="0"/>
          <w:numId w:val="1019"/>
        </w:numPr>
        <w:pStyle w:val="Compact"/>
      </w:pPr>
      <w:r>
        <w:t xml:space="preserve">modalidad presencial en ofertas actuales;</w:t>
      </w:r>
    </w:p>
    <w:p>
      <w:pPr>
        <w:numPr>
          <w:ilvl w:val="0"/>
          <w:numId w:val="1019"/>
        </w:numPr>
        <w:pStyle w:val="Compact"/>
      </w:pPr>
      <w:r>
        <w:t xml:space="preserve">competencia de operar SIG según necesidades del usuario.</w:t>
      </w:r>
    </w:p>
    <w:bookmarkEnd w:id="55"/>
    <w:bookmarkStart w:id="56" w:name="sistemas-de-información-geográfica"/>
    <w:p>
      <w:pPr>
        <w:pStyle w:val="Heading3"/>
      </w:pPr>
      <w:r>
        <w:t xml:space="preserve">Sistemas de Información Geográfica</w:t>
      </w:r>
    </w:p>
    <w:p>
      <w:pPr>
        <w:numPr>
          <w:ilvl w:val="0"/>
          <w:numId w:val="1020"/>
        </w:numPr>
        <w:pStyle w:val="Compact"/>
      </w:pPr>
      <w:r>
        <w:t xml:space="preserve">curso especial complementario;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48 horas</w:t>
      </w:r>
      <w:r>
        <w:t xml:space="preserve">;</w:t>
      </w:r>
    </w:p>
    <w:p>
      <w:pPr>
        <w:numPr>
          <w:ilvl w:val="0"/>
          <w:numId w:val="1020"/>
        </w:numPr>
        <w:pStyle w:val="Compact"/>
      </w:pPr>
      <w:r>
        <w:t xml:space="preserve">ofertas presenciales 2026;</w:t>
      </w:r>
    </w:p>
    <w:p>
      <w:pPr>
        <w:numPr>
          <w:ilvl w:val="0"/>
          <w:numId w:val="1020"/>
        </w:numPr>
        <w:pStyle w:val="Compact"/>
      </w:pPr>
      <w:r>
        <w:t xml:space="preserve">algunos cohorts piden conocimientos básicos.</w:t>
      </w:r>
    </w:p>
    <w:bookmarkEnd w:id="56"/>
    <w:bookmarkStart w:id="57" w:name="X650312698451452d493f5191541b37bdd0674cf"/>
    <w:p>
      <w:pPr>
        <w:pStyle w:val="Heading3"/>
      </w:pPr>
      <w:r>
        <w:t xml:space="preserve">Aplicación de SIG en Sistemas Forestales y Agroecológicos</w:t>
      </w:r>
    </w:p>
    <w:p>
      <w:pPr>
        <w:numPr>
          <w:ilvl w:val="0"/>
          <w:numId w:val="1021"/>
        </w:numPr>
        <w:pStyle w:val="Compact"/>
      </w:pPr>
      <w:r>
        <w:t xml:space="preserve">formación complementaria virtual;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48 horas</w:t>
      </w:r>
      <w:r>
        <w:t xml:space="preserve">;</w:t>
      </w:r>
    </w:p>
    <w:p>
      <w:pPr>
        <w:numPr>
          <w:ilvl w:val="0"/>
          <w:numId w:val="1021"/>
        </w:numPr>
        <w:pStyle w:val="Compact"/>
      </w:pPr>
      <w:r>
        <w:t xml:space="preserve">estructura/captura/gestión/evaluación/calidad de datos espaciales para proyectos forestales/agroecológicos.</w:t>
      </w:r>
    </w:p>
    <w:p>
      <w:pPr>
        <w:pStyle w:val="FirstParagraph"/>
      </w:pPr>
      <w:r>
        <w:t xml:space="preserve">Son rutas útiles pero suplementarias, no una credencial profesional universal. Verifique centro, modalidad, prerequisitos, fechas y cupos vivos.</w:t>
      </w:r>
    </w:p>
    <w:bookmarkEnd w:id="57"/>
    <w:bookmarkEnd w:id="58"/>
    <w:bookmarkStart w:id="59" w:name="américa-latina-y-caribe"/>
    <w:p>
      <w:pPr>
        <w:pStyle w:val="Heading2"/>
      </w:pPr>
      <w:r>
        <w:t xml:space="preserve">América Latina y Caribe</w:t>
      </w:r>
    </w:p>
    <w:p>
      <w:pPr>
        <w:pStyle w:val="FirstParagraph"/>
      </w:pPr>
      <w:r>
        <w:t xml:space="preserve">OIT/Cinterfor ayuda a localizar instituciones nacionales de formación profesional. No garantiza programa GIS, cupos, financiamiento o admisión.</w:t>
      </w:r>
    </w:p>
    <w:bookmarkEnd w:id="59"/>
    <w:bookmarkStart w:id="60" w:name="portafolio-seguro"/>
    <w:p>
      <w:pPr>
        <w:pStyle w:val="Heading2"/>
      </w:pPr>
      <w:r>
        <w:t xml:space="preserve">Portafolio seguro</w:t>
      </w:r>
    </w:p>
    <w:p>
      <w:pPr>
        <w:pStyle w:val="FirstParagraph"/>
      </w:pPr>
      <w:r>
        <w:t xml:space="preserve">Use datos públicos/abiertos, datos personales obtenidos legalmente o sintéticos. Ejemplos:</w:t>
      </w:r>
    </w:p>
    <w:p>
      <w:pPr>
        <w:numPr>
          <w:ilvl w:val="0"/>
          <w:numId w:val="1022"/>
        </w:numPr>
        <w:pStyle w:val="Compact"/>
      </w:pPr>
      <w:r>
        <w:t xml:space="preserve">mapa temático con fuente/CRS documentados;</w:t>
      </w:r>
    </w:p>
    <w:p>
      <w:pPr>
        <w:numPr>
          <w:ilvl w:val="0"/>
          <w:numId w:val="1022"/>
        </w:numPr>
        <w:pStyle w:val="Compact"/>
      </w:pPr>
      <w:r>
        <w:t xml:space="preserve">georreferenciación con imagen no sensible;</w:t>
      </w:r>
    </w:p>
    <w:p>
      <w:pPr>
        <w:numPr>
          <w:ilvl w:val="0"/>
          <w:numId w:val="1022"/>
        </w:numPr>
        <w:pStyle w:val="Compact"/>
      </w:pPr>
      <w:r>
        <w:t xml:space="preserve">QA/topología vectorial;</w:t>
      </w:r>
    </w:p>
    <w:p>
      <w:pPr>
        <w:numPr>
          <w:ilvl w:val="0"/>
          <w:numId w:val="1022"/>
        </w:numPr>
        <w:pStyle w:val="Compact"/>
      </w:pPr>
      <w:r>
        <w:t xml:space="preserve">SQL/Python espacial con open data;</w:t>
      </w:r>
    </w:p>
    <w:p>
      <w:pPr>
        <w:numPr>
          <w:ilvl w:val="0"/>
          <w:numId w:val="1022"/>
        </w:numPr>
        <w:pStyle w:val="Compact"/>
      </w:pPr>
      <w:r>
        <w:t xml:space="preserve">mapa accesible con alternativa texto/tabla;</w:t>
      </w:r>
    </w:p>
    <w:p>
      <w:pPr>
        <w:numPr>
          <w:ilvl w:val="0"/>
          <w:numId w:val="1022"/>
        </w:numPr>
        <w:pStyle w:val="Compact"/>
      </w:pPr>
      <w:r>
        <w:t xml:space="preserve">metadata/linaje;</w:t>
      </w:r>
    </w:p>
    <w:p>
      <w:pPr>
        <w:numPr>
          <w:ilvl w:val="0"/>
          <w:numId w:val="1022"/>
        </w:numPr>
        <w:pStyle w:val="Compact"/>
      </w:pPr>
      <w:r>
        <w:t xml:space="preserve">mapa sintético de inspección de activos;</w:t>
      </w:r>
    </w:p>
    <w:p>
      <w:pPr>
        <w:numPr>
          <w:ilvl w:val="0"/>
          <w:numId w:val="1022"/>
        </w:numPr>
        <w:pStyle w:val="Compact"/>
      </w:pPr>
      <w:r>
        <w:t xml:space="preserve">ejercicio de permisos de web map con datos no sensibles.</w:t>
      </w:r>
    </w:p>
    <w:p>
      <w:pPr>
        <w:pStyle w:val="FirstParagraph"/>
      </w:pPr>
      <w:r>
        <w:t xml:space="preserve">Nunca publique capas protegidas de empleadores/clientes, direcciones privadas, localizaciones exactas de infraestructura crítica, sitios culturales/ambientales restringidos o schemas propietarios.</w:t>
      </w:r>
    </w:p>
    <w:bookmarkEnd w:id="60"/>
    <w:bookmarkStart w:id="65" w:name="plan-inicial-de-cuatro-semanas"/>
    <w:p>
      <w:pPr>
        <w:pStyle w:val="Heading2"/>
      </w:pPr>
      <w:r>
        <w:t xml:space="preserve">Plan inicial de cuatro semanas</w:t>
      </w:r>
    </w:p>
    <w:bookmarkStart w:id="61" w:name="semana-1--fundamentos-espaciales"/>
    <w:p>
      <w:pPr>
        <w:pStyle w:val="Heading3"/>
      </w:pPr>
      <w:r>
        <w:t xml:space="preserve">Semana 1 — fundamentos espaciales</w:t>
      </w:r>
    </w:p>
    <w:p>
      <w:pPr>
        <w:pStyle w:val="FirstParagraph"/>
      </w:pPr>
      <w:r>
        <w:t xml:space="preserve">Vector/raster/atributos, CRS, datums, proyecciones y metadata. Cargue open data y revise CRS/fuente.</w:t>
      </w:r>
    </w:p>
    <w:bookmarkEnd w:id="61"/>
    <w:bookmarkStart w:id="62" w:name="semana-2--edición-y-calidad"/>
    <w:p>
      <w:pPr>
        <w:pStyle w:val="Heading3"/>
      </w:pPr>
      <w:r>
        <w:t xml:space="preserve">Semana 2 — edición y calidad</w:t>
      </w:r>
    </w:p>
    <w:p>
      <w:pPr>
        <w:pStyle w:val="FirstParagraph"/>
      </w:pPr>
      <w:r>
        <w:t xml:space="preserve">Digitalización, atributos, geometry/topology, joins, georreferenciación y cartografía. Documente cambios.</w:t>
      </w:r>
    </w:p>
    <w:bookmarkEnd w:id="62"/>
    <w:bookmarkStart w:id="63" w:name="semana-3--análisis-y-automatización"/>
    <w:p>
      <w:pPr>
        <w:pStyle w:val="Heading3"/>
      </w:pPr>
      <w:r>
        <w:t xml:space="preserve">Semana 3 — análisis y automatización</w:t>
      </w:r>
    </w:p>
    <w:p>
      <w:pPr>
        <w:pStyle w:val="FirstParagraph"/>
      </w:pPr>
      <w:r>
        <w:t xml:space="preserve">Buffers, overlays, spatial joins y un workflow SQL/Python reproducible. Verifique unidades, CRS y parámetros.</w:t>
      </w:r>
    </w:p>
    <w:bookmarkEnd w:id="63"/>
    <w:bookmarkStart w:id="64" w:name="semana-4--comunicación-y-portafolio"/>
    <w:p>
      <w:pPr>
        <w:pStyle w:val="Heading3"/>
      </w:pPr>
      <w:r>
        <w:t xml:space="preserve">Semana 4 — comunicación y portafolio</w:t>
      </w:r>
    </w:p>
    <w:p>
      <w:pPr>
        <w:pStyle w:val="FirstParagraph"/>
      </w:pPr>
      <w:r>
        <w:t xml:space="preserve">Cree mapa/reporte seguro, documente fuentes/limitaciones, agregue alternativa accesible, revise sharing y prepare ejemplos de juicio de calidad.</w:t>
      </w:r>
    </w:p>
    <w:bookmarkEnd w:id="64"/>
    <w:bookmarkEnd w:id="65"/>
    <w:bookmarkStart w:id="66" w:name="preparación-para-entrevistas"/>
    <w:p>
      <w:pPr>
        <w:pStyle w:val="Heading2"/>
      </w:pPr>
      <w:r>
        <w:t xml:space="preserve">Preparación para entrevistas</w:t>
      </w:r>
    </w:p>
    <w:p>
      <w:pPr>
        <w:pStyle w:val="FirstParagraph"/>
      </w:pPr>
      <w:r>
        <w:t xml:space="preserve">Prepárese para explicar vector vs raster; CRS geográfico vs proyectado; datum/reproyección; por qué una capa visible no prueba CRS correcto; errores topológicos; validación de georreferenciación; linaje/metadata; clasificación engañosa; protección de ubicaciones; validación de scripts/IA; y por qué GIS no equivale a exactitud topográfica/legal.</w:t>
      </w:r>
    </w:p>
    <w:bookmarkEnd w:id="66"/>
    <w:bookmarkStart w:id="67" w:name="preguntas-al-empleador"/>
    <w:p>
      <w:pPr>
        <w:pStyle w:val="Heading2"/>
      </w:pPr>
      <w:r>
        <w:t xml:space="preserve">Preguntas al empleador</w:t>
      </w:r>
    </w:p>
    <w:p>
      <w:pPr>
        <w:numPr>
          <w:ilvl w:val="0"/>
          <w:numId w:val="1023"/>
        </w:numPr>
        <w:pStyle w:val="Compact"/>
      </w:pPr>
      <w:r>
        <w:t xml:space="preserve">¿Qué plataformas y bases GIS usan?</w:t>
      </w:r>
    </w:p>
    <w:p>
      <w:pPr>
        <w:numPr>
          <w:ilvl w:val="0"/>
          <w:numId w:val="1023"/>
        </w:numPr>
        <w:pStyle w:val="Compact"/>
      </w:pPr>
      <w:r>
        <w:t xml:space="preserve">¿El rol es producción, análisis, gestión de datos, soporte o desarrollo?</w:t>
      </w:r>
    </w:p>
    <w:p>
      <w:pPr>
        <w:numPr>
          <w:ilvl w:val="0"/>
          <w:numId w:val="1023"/>
        </w:numPr>
        <w:pStyle w:val="Compact"/>
      </w:pPr>
      <w:r>
        <w:t xml:space="preserve">¿Qué capas son autoritativas?</w:t>
      </w:r>
    </w:p>
    <w:p>
      <w:pPr>
        <w:numPr>
          <w:ilvl w:val="0"/>
          <w:numId w:val="1023"/>
        </w:numPr>
        <w:pStyle w:val="Compact"/>
      </w:pPr>
      <w:r>
        <w:t xml:space="preserve">¿Quién aprueba cambios oficiales?</w:t>
      </w:r>
    </w:p>
    <w:p>
      <w:pPr>
        <w:numPr>
          <w:ilvl w:val="0"/>
          <w:numId w:val="1023"/>
        </w:numPr>
        <w:pStyle w:val="Compact"/>
      </w:pPr>
      <w:r>
        <w:t xml:space="preserve">¿Qué CRS/datums son estándar?</w:t>
      </w:r>
    </w:p>
    <w:p>
      <w:pPr>
        <w:numPr>
          <w:ilvl w:val="0"/>
          <w:numId w:val="1023"/>
        </w:numPr>
        <w:pStyle w:val="Compact"/>
      </w:pPr>
      <w:r>
        <w:t xml:space="preserve">¿Qué QA/topology rules aplican?</w:t>
      </w:r>
    </w:p>
    <w:p>
      <w:pPr>
        <w:numPr>
          <w:ilvl w:val="0"/>
          <w:numId w:val="1023"/>
        </w:numPr>
        <w:pStyle w:val="Compact"/>
      </w:pPr>
      <w:r>
        <w:t xml:space="preserve">¿Se recoge field data?</w:t>
      </w:r>
    </w:p>
    <w:p>
      <w:pPr>
        <w:numPr>
          <w:ilvl w:val="0"/>
          <w:numId w:val="1023"/>
        </w:numPr>
        <w:pStyle w:val="Compact"/>
      </w:pPr>
      <w:r>
        <w:t xml:space="preserve">¿Cómo se protegen ubicaciones sensibles?</w:t>
      </w:r>
    </w:p>
    <w:p>
      <w:pPr>
        <w:numPr>
          <w:ilvl w:val="0"/>
          <w:numId w:val="1023"/>
        </w:numPr>
        <w:pStyle w:val="Compact"/>
      </w:pPr>
      <w:r>
        <w:t xml:space="preserve">¿Hay capas web públicas?</w:t>
      </w:r>
    </w:p>
    <w:p>
      <w:pPr>
        <w:numPr>
          <w:ilvl w:val="0"/>
          <w:numId w:val="1023"/>
        </w:numPr>
        <w:pStyle w:val="Compact"/>
      </w:pPr>
      <w:r>
        <w:t xml:space="preserve">¿Se espera SQL/scripting?</w:t>
      </w:r>
    </w:p>
    <w:p>
      <w:pPr>
        <w:numPr>
          <w:ilvl w:val="0"/>
          <w:numId w:val="1023"/>
        </w:numPr>
        <w:pStyle w:val="Compact"/>
      </w:pPr>
      <w:r>
        <w:t xml:space="preserve">¿Qué training ofrecen?</w:t>
      </w:r>
    </w:p>
    <w:p>
      <w:pPr>
        <w:numPr>
          <w:ilvl w:val="0"/>
          <w:numId w:val="1023"/>
        </w:numPr>
        <w:pStyle w:val="Compact"/>
      </w:pPr>
      <w:r>
        <w:t xml:space="preserve">¿Qué responsabilidades survey/legal quedan fuera del cargo?</w:t>
      </w:r>
    </w:p>
    <w:bookmarkEnd w:id="67"/>
    <w:bookmarkStart w:id="91" w:name="enlaces-de-verificación-para-lectores"/>
    <w:p>
      <w:pPr>
        <w:pStyle w:val="Heading2"/>
      </w:pPr>
      <w:r>
        <w:t xml:space="preserve">Enlaces de verificación para lectores</w:t>
      </w:r>
    </w:p>
    <w:p>
      <w:pPr>
        <w:numPr>
          <w:ilvl w:val="0"/>
          <w:numId w:val="1024"/>
        </w:numPr>
        <w:pStyle w:val="Compact"/>
      </w:pPr>
      <w:hyperlink r:id="rId68">
        <w:hyperlink r:id="rId6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4"/>
        </w:numPr>
        <w:pStyle w:val="Compact"/>
      </w:pPr>
      <w:hyperlink r:id="rId69">
        <w:hyperlink r:id="rId6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4"/>
        </w:numPr>
        <w:pStyle w:val="Compact"/>
      </w:pPr>
      <w:hyperlink r:id="rId70">
        <w:hyperlink r:id="rId7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4"/>
        </w:numPr>
        <w:pStyle w:val="Compact"/>
      </w:pPr>
      <w:hyperlink r:id="rId71">
        <w:hyperlink r:id="rId7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4"/>
        </w:numPr>
        <w:pStyle w:val="Compact"/>
      </w:pPr>
      <w:hyperlink r:id="rId72">
        <w:hyperlink r:id="rId7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4"/>
        </w:numPr>
        <w:pStyle w:val="Compact"/>
      </w:pPr>
      <w:hyperlink r:id="rId73">
        <w:hyperlink r:id="rId7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4"/>
        </w:numPr>
        <w:pStyle w:val="Compact"/>
      </w:pPr>
      <w:hyperlink r:id="rId74">
        <w:hyperlink r:id="rId74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4"/>
        </w:numPr>
        <w:pStyle w:val="Compact"/>
      </w:pPr>
      <w:hyperlink r:id="rId75">
        <w:hyperlink r:id="rId7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4"/>
        </w:numPr>
        <w:pStyle w:val="Compact"/>
      </w:pPr>
      <w:hyperlink r:id="rId76">
        <w:hyperlink r:id="rId7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4"/>
        </w:numPr>
        <w:pStyle w:val="Compact"/>
      </w:pPr>
      <w:hyperlink r:id="rId77">
        <w:hyperlink r:id="rId7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4"/>
        </w:numPr>
        <w:pStyle w:val="Compact"/>
      </w:pPr>
      <w:hyperlink r:id="rId78">
        <w:hyperlink r:id="rId7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4"/>
        </w:numPr>
        <w:pStyle w:val="Compact"/>
      </w:pPr>
      <w:hyperlink r:id="rId79">
        <w:hyperlink r:id="rId7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4"/>
        </w:numPr>
        <w:pStyle w:val="Compact"/>
      </w:pPr>
      <w:hyperlink r:id="rId80">
        <w:hyperlink r:id="rId8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4"/>
        </w:numPr>
        <w:pStyle w:val="Compact"/>
      </w:pPr>
      <w:hyperlink r:id="rId81">
        <w:hyperlink r:id="rId8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4"/>
        </w:numPr>
        <w:pStyle w:val="Compact"/>
      </w:pPr>
      <w:hyperlink r:id="rId82">
        <w:hyperlink r:id="rId8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4"/>
        </w:numPr>
        <w:pStyle w:val="Compact"/>
      </w:pPr>
      <w:hyperlink r:id="rId83">
        <w:hyperlink r:id="rId8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4"/>
        </w:numPr>
        <w:pStyle w:val="Compact"/>
      </w:pPr>
      <w:hyperlink r:id="rId84">
        <w:r>
          <w:rPr>
            <w:rStyle w:val="Hyperlink"/>
          </w:rPr>
          <w:t xml:space="preserve">https://www.oitcinterfor.org/statsfp/paises</w:t>
        </w:r>
      </w:hyperlink>
    </w:p>
    <w:p>
      <w:pPr>
        <w:numPr>
          <w:ilvl w:val="0"/>
          <w:numId w:val="1024"/>
        </w:numPr>
        <w:pStyle w:val="Compact"/>
      </w:pPr>
      <w:hyperlink r:id="rId85">
        <w:r>
          <w:rPr>
            <w:rStyle w:val="Hyperlink"/>
          </w:rPr>
          <w:t xml:space="preserve">https://www.nist.gov/privacy-framework</w:t>
        </w:r>
      </w:hyperlink>
    </w:p>
    <w:p>
      <w:pPr>
        <w:numPr>
          <w:ilvl w:val="0"/>
          <w:numId w:val="1024"/>
        </w:numPr>
        <w:pStyle w:val="Compact"/>
      </w:pPr>
      <w:hyperlink r:id="rId86">
        <w:hyperlink r:id="rId8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4"/>
        </w:numPr>
        <w:pStyle w:val="Compact"/>
      </w:pPr>
      <w:hyperlink r:id="rId87">
        <w:hyperlink r:id="rId8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4"/>
        </w:numPr>
        <w:pStyle w:val="Compact"/>
      </w:pPr>
      <w:hyperlink r:id="rId88">
        <w:r>
          <w:rPr>
            <w:rStyle w:val="Hyperlink"/>
          </w:rPr>
          <w:t xml:space="preserve">https://www.cisa.gov/secure-our-world</w:t>
        </w:r>
      </w:hyperlink>
    </w:p>
    <w:p>
      <w:pPr>
        <w:numPr>
          <w:ilvl w:val="0"/>
          <w:numId w:val="1024"/>
        </w:numPr>
        <w:pStyle w:val="Compact"/>
      </w:pPr>
      <w:hyperlink r:id="rId89">
        <w:r>
          <w:rPr>
            <w:rStyle w:val="Hyperlink"/>
          </w:rPr>
          <w:t xml:space="preserve">https://www.section508.gov/create/</w:t>
        </w:r>
      </w:hyperlink>
    </w:p>
    <w:p>
      <w:pPr>
        <w:numPr>
          <w:ilvl w:val="0"/>
          <w:numId w:val="1024"/>
        </w:numPr>
        <w:pStyle w:val="Compact"/>
      </w:pPr>
      <w:hyperlink r:id="rId90">
        <w:r>
          <w:rPr>
            <w:rStyle w:val="Hyperlink"/>
          </w:rPr>
          <w:t xml:space="preserve">https://www.w3.org/TR/WCAG22/</w:t>
        </w:r>
      </w:hyperlink>
    </w:p>
    <w:bookmarkEnd w:id="91"/>
    <w:bookmarkStart w:id="92" w:name="límites-importantes"/>
    <w:p>
      <w:pPr>
        <w:pStyle w:val="Heading2"/>
      </w:pPr>
      <w:r>
        <w:t xml:space="preserve">Límites importantes</w:t>
      </w:r>
    </w:p>
    <w:p>
      <w:pPr>
        <w:pStyle w:val="FirstParagraph"/>
      </w:pPr>
      <w:r>
        <w:t xml:space="preserve">Esta guía ofrece información educativa y de planificación profesional. No garantiza empleo, compensación, admisión, financiamiento, disponibilidad de formación, estatus profesional o promoción. No constituye certificación legal, topográfica, catastral, de privacidad, ciberseguridad, exactitud geoespacial o accesibilidad. Los datos salariales/de empleo de O*NET están cruzados desde</w:t>
      </w:r>
      <w:r>
        <w:t xml:space="preserve"> </w:t>
      </w:r>
      <w:r>
        <w:rPr>
          <w:bCs/>
          <w:b/>
        </w:rPr>
        <w:t xml:space="preserve">Computer Occupations, All Other</w:t>
      </w:r>
      <w:r>
        <w:t xml:space="preserve"> </w:t>
      </w:r>
      <w:r>
        <w:t xml:space="preserve">y no se representan como una población pura de GIS Technician. Las ediciones lingüísticas son localizaciones controladas, no traducciones certificadas.</w:t>
      </w:r>
    </w:p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3" Target="https://betowa.sena.edu.co/oferta/aplicacion-de-sig-en-sistemas-forestales-y-agroecologicos?modality=V&amp;programId=173415" TargetMode="External" /><Relationship Type="http://schemas.openxmlformats.org/officeDocument/2006/relationships/hyperlink" Id="rId81" Target="https://betowa.sena.edu.co/oferta/introduccion-a-los-sistemas-de-informacion-geografica?modality=P&amp;offertype=company&amp;programId=85021" TargetMode="External" /><Relationship Type="http://schemas.openxmlformats.org/officeDocument/2006/relationships/hyperlink" Id="rId82" Target="https://betowa.sena.edu.co/oferta/sistemas-de-informacion-geografica?modality=P&amp;offertype=company&amp;programId=164857" TargetMode="External" /><Relationship Type="http://schemas.openxmlformats.org/officeDocument/2006/relationships/hyperlink" Id="rId80" Target="https://ocupacol.mintrabajo.gov.co/Profile/OccupationalProfile/31123" TargetMode="External" /><Relationship Type="http://schemas.openxmlformats.org/officeDocument/2006/relationships/hyperlink" Id="rId79" Target="https://www.canada.ca/en/services/jobs/training.html" TargetMode="External" /><Relationship Type="http://schemas.openxmlformats.org/officeDocument/2006/relationships/hyperlink" Id="rId74" Target="https://www.careeronestop.org/LocalHelp/EmploymentAndTraining/find-WIOA-training-programs.aspx" TargetMode="External" /><Relationship Type="http://schemas.openxmlformats.org/officeDocument/2006/relationships/hyperlink" Id="rId88" Target="https://www.cisa.gov/secure-our-world" TargetMode="External" /><Relationship Type="http://schemas.openxmlformats.org/officeDocument/2006/relationships/hyperlink" Id="rId73" Target="https://www.indeed.com/career/gis-technician/salaries" TargetMode="External" /><Relationship Type="http://schemas.openxmlformats.org/officeDocument/2006/relationships/hyperlink" Id="rId78" Target="https://www.jobbank.gc.ca/marketreport/outlook-occupation/3493/ca" TargetMode="External" /><Relationship Type="http://schemas.openxmlformats.org/officeDocument/2006/relationships/hyperlink" Id="rId77" Target="https://www.jobbank.gc.ca/marketreport/requirements/3493/AB" TargetMode="External" /><Relationship Type="http://schemas.openxmlformats.org/officeDocument/2006/relationships/hyperlink" Id="rId75" Target="https://www.jobbank.gc.ca/marketreport/summary-occupation/3493/ca" TargetMode="External" /><Relationship Type="http://schemas.openxmlformats.org/officeDocument/2006/relationships/hyperlink" Id="rId76" Target="https://www.jobbank.gc.ca/marketreport/wages-occupation/3493/ca" TargetMode="External" /><Relationship Type="http://schemas.openxmlformats.org/officeDocument/2006/relationships/hyperlink" Id="rId86" Target="https://www.nist.gov/itl/ai-risk-management-framework" TargetMode="External" /><Relationship Type="http://schemas.openxmlformats.org/officeDocument/2006/relationships/hyperlink" Id="rId85" Target="https://www.nist.gov/privacy-framework" TargetMode="External" /><Relationship Type="http://schemas.openxmlformats.org/officeDocument/2006/relationships/hyperlink" Id="rId87" Target="https://www.nist.gov/publications/artificial-intelligence-risk-management-framework-generative-artificial-intelligence" TargetMode="External" /><Relationship Type="http://schemas.openxmlformats.org/officeDocument/2006/relationships/hyperlink" Id="rId84" Target="https://www.oitcinterfor.org/statsfp/paises" TargetMode="External" /><Relationship Type="http://schemas.openxmlformats.org/officeDocument/2006/relationships/hyperlink" Id="rId72" Target="https://www.onetonline.org/link/demand/15-1299.02" TargetMode="External" /><Relationship Type="http://schemas.openxmlformats.org/officeDocument/2006/relationships/hyperlink" Id="rId68" Target="https://www.onetonline.org/link/details/15-1299.02" TargetMode="External" /><Relationship Type="http://schemas.openxmlformats.org/officeDocument/2006/relationships/hyperlink" Id="rId71" Target="https://www.onetonline.org/link/localtrends/15-1299.02" TargetMode="External" /><Relationship Type="http://schemas.openxmlformats.org/officeDocument/2006/relationships/hyperlink" Id="rId70" Target="https://www.onetonline.org/link/localwages/15-1299.02" TargetMode="External" /><Relationship Type="http://schemas.openxmlformats.org/officeDocument/2006/relationships/hyperlink" Id="rId69" Target="https://www.onetonline.org/link/summary/15-1299.02" TargetMode="External" /><Relationship Type="http://schemas.openxmlformats.org/officeDocument/2006/relationships/hyperlink" Id="rId89" Target="https://www.section508.gov/create/" TargetMode="External" /><Relationship Type="http://schemas.openxmlformats.org/officeDocument/2006/relationships/hyperlink" Id="rId90" Target="https://www.w3.org/TR/WCAG2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https://betowa.sena.edu.co/oferta/aplicacion-de-sig-en-sistemas-forestales-y-agroecologicos?modality=V&amp;programId=173415" TargetMode="External" /><Relationship Type="http://schemas.openxmlformats.org/officeDocument/2006/relationships/hyperlink" Id="rId81" Target="https://betowa.sena.edu.co/oferta/introduccion-a-los-sistemas-de-informacion-geografica?modality=P&amp;offertype=company&amp;programId=85021" TargetMode="External" /><Relationship Type="http://schemas.openxmlformats.org/officeDocument/2006/relationships/hyperlink" Id="rId82" Target="https://betowa.sena.edu.co/oferta/sistemas-de-informacion-geografica?modality=P&amp;offertype=company&amp;programId=164857" TargetMode="External" /><Relationship Type="http://schemas.openxmlformats.org/officeDocument/2006/relationships/hyperlink" Id="rId80" Target="https://ocupacol.mintrabajo.gov.co/Profile/OccupationalProfile/31123" TargetMode="External" /><Relationship Type="http://schemas.openxmlformats.org/officeDocument/2006/relationships/hyperlink" Id="rId79" Target="https://www.canada.ca/en/services/jobs/training.html" TargetMode="External" /><Relationship Type="http://schemas.openxmlformats.org/officeDocument/2006/relationships/hyperlink" Id="rId74" Target="https://www.careeronestop.org/LocalHelp/EmploymentAndTraining/find-WIOA-training-programs.aspx" TargetMode="External" /><Relationship Type="http://schemas.openxmlformats.org/officeDocument/2006/relationships/hyperlink" Id="rId88" Target="https://www.cisa.gov/secure-our-world" TargetMode="External" /><Relationship Type="http://schemas.openxmlformats.org/officeDocument/2006/relationships/hyperlink" Id="rId73" Target="https://www.indeed.com/career/gis-technician/salaries" TargetMode="External" /><Relationship Type="http://schemas.openxmlformats.org/officeDocument/2006/relationships/hyperlink" Id="rId78" Target="https://www.jobbank.gc.ca/marketreport/outlook-occupation/3493/ca" TargetMode="External" /><Relationship Type="http://schemas.openxmlformats.org/officeDocument/2006/relationships/hyperlink" Id="rId77" Target="https://www.jobbank.gc.ca/marketreport/requirements/3493/AB" TargetMode="External" /><Relationship Type="http://schemas.openxmlformats.org/officeDocument/2006/relationships/hyperlink" Id="rId75" Target="https://www.jobbank.gc.ca/marketreport/summary-occupation/3493/ca" TargetMode="External" /><Relationship Type="http://schemas.openxmlformats.org/officeDocument/2006/relationships/hyperlink" Id="rId76" Target="https://www.jobbank.gc.ca/marketreport/wages-occupation/3493/ca" TargetMode="External" /><Relationship Type="http://schemas.openxmlformats.org/officeDocument/2006/relationships/hyperlink" Id="rId86" Target="https://www.nist.gov/itl/ai-risk-management-framework" TargetMode="External" /><Relationship Type="http://schemas.openxmlformats.org/officeDocument/2006/relationships/hyperlink" Id="rId85" Target="https://www.nist.gov/privacy-framework" TargetMode="External" /><Relationship Type="http://schemas.openxmlformats.org/officeDocument/2006/relationships/hyperlink" Id="rId87" Target="https://www.nist.gov/publications/artificial-intelligence-risk-management-framework-generative-artificial-intelligence" TargetMode="External" /><Relationship Type="http://schemas.openxmlformats.org/officeDocument/2006/relationships/hyperlink" Id="rId84" Target="https://www.oitcinterfor.org/statsfp/paises" TargetMode="External" /><Relationship Type="http://schemas.openxmlformats.org/officeDocument/2006/relationships/hyperlink" Id="rId72" Target="https://www.onetonline.org/link/demand/15-1299.02" TargetMode="External" /><Relationship Type="http://schemas.openxmlformats.org/officeDocument/2006/relationships/hyperlink" Id="rId68" Target="https://www.onetonline.org/link/details/15-1299.02" TargetMode="External" /><Relationship Type="http://schemas.openxmlformats.org/officeDocument/2006/relationships/hyperlink" Id="rId71" Target="https://www.onetonline.org/link/localtrends/15-1299.02" TargetMode="External" /><Relationship Type="http://schemas.openxmlformats.org/officeDocument/2006/relationships/hyperlink" Id="rId70" Target="https://www.onetonline.org/link/localwages/15-1299.02" TargetMode="External" /><Relationship Type="http://schemas.openxmlformats.org/officeDocument/2006/relationships/hyperlink" Id="rId69" Target="https://www.onetonline.org/link/summary/15-1299.02" TargetMode="External" /><Relationship Type="http://schemas.openxmlformats.org/officeDocument/2006/relationships/hyperlink" Id="rId89" Target="https://www.section508.gov/create/" TargetMode="External" /><Relationship Type="http://schemas.openxmlformats.org/officeDocument/2006/relationships/hyperlink" Id="rId90" Target="https://www.w3.org/TR/WCAG2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2026-08-22T12:35:57Z</dcterms:created>
  <dcterms:modified xsi:type="dcterms:W3CDTF">2026-08-22T12:35:57Z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