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TEACHER ASSISTANT AND INSTRUCTIONAL AIDE</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Teacher Assistant and Instructional Aide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Teacher assistants and instructional aides work under a licensed teacher or other authorized educator to support instruction, behavior, accessibility, communication, and student participation.</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Teacher Assistant and Instructional Aide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r>
      <w:r>
        <w:rPr>
          <w:sz w:val="17"/>
        </w:rPr>
        <w:tab/>
        <w:t>2</w:t>
      </w:r>
    </w:p>
    <w:p>
      <w:pPr>
        <w:keepNext w:val="0"/>
        <w:keepLines w:val="0"/>
        <w:tabs>
          <w:tab w:pos="9288" w:val="right" w:leader="dot"/>
        </w:tabs>
        <w:spacing w:after="0" w:line="200" w:lineRule="exact" w:before="0"/>
        <w:ind w:left="0"/>
      </w:pPr>
      <w:r>
        <w:rPr>
          <w:b/>
          <w:sz w:val="17"/>
        </w:rPr>
        <w:t>Acknowledgment of AI Assistance</w:t>
      </w:r>
      <w:r>
        <w:rPr>
          <w:sz w:val="17"/>
        </w:rPr>
        <w:tab/>
        <w:t>2</w:t>
      </w:r>
    </w:p>
    <w:p>
      <w:pPr>
        <w:keepNext w:val="0"/>
        <w:keepLines w:val="0"/>
        <w:tabs>
          <w:tab w:pos="9288" w:val="right" w:leader="dot"/>
        </w:tabs>
        <w:spacing w:after="0" w:line="200" w:lineRule="exact" w:before="0"/>
        <w:ind w:left="0"/>
      </w:pPr>
      <w:r>
        <w:rPr>
          <w:b/>
          <w:sz w:val="17"/>
        </w:rPr>
        <w:t>Ethical and Practical Limits</w:t>
      </w:r>
      <w:r>
        <w:rPr>
          <w:sz w:val="17"/>
        </w:rPr>
        <w:tab/>
        <w:t>2</w:t>
      </w:r>
    </w:p>
    <w:p>
      <w:pPr>
        <w:keepNext w:val="0"/>
        <w:keepLines w:val="0"/>
        <w:tabs>
          <w:tab w:pos="9288" w:val="right" w:leader="dot"/>
        </w:tabs>
        <w:spacing w:after="0" w:line="200" w:lineRule="exact" w:before="0"/>
        <w:ind w:left="0"/>
      </w:pPr>
      <w:r>
        <w:rPr>
          <w:b/>
          <w:sz w:val="17"/>
        </w:rPr>
        <w:t>1. How to Use This Guide</w:t>
        <w:tab/>
        <w:t>2</w:t>
      </w:r>
      <w:r>
        <w:rPr>
          <w:sz w:val="17"/>
        </w:rPr>
      </w:r>
    </w:p>
    <w:p>
      <w:pPr>
        <w:keepNext w:val="0"/>
        <w:keepLines w:val="0"/>
        <w:tabs>
          <w:tab w:pos="9288" w:val="right" w:leader="dot"/>
        </w:tabs>
        <w:spacing w:after="0" w:line="200" w:lineRule="exact" w:before="0"/>
        <w:ind w:left="403"/>
      </w:pPr>
      <w:r>
        <w:rPr>
          <w:b w:val="0"/>
          <w:sz w:val="17"/>
        </w:rPr>
        <w:t>A careful decision process</w:t>
        <w:tab/>
        <w:t>2</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Teacher assistants and instructional aides work under a licensed teacher or other authorized educator to support instruction, behavior, accessibility, communication, and student participation.</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public and private elementary or secondary schools</w:t>
            </w:r>
          </w:p>
        </w:tc>
      </w:tr>
      <w:tr>
        <w:trPr/>
        <w:tc>
          <w:tcPr>
            <w:tcW w:type="dxa" w:w="10166"/>
            <w:vAlign w:val="top"/>
          </w:tcPr>
          <w:p>
            <w:pPr>
              <w:spacing w:after="20" w:before="0" w:line="240" w:lineRule="auto"/>
            </w:pPr>
            <w:r>
              <w:rPr>
                <w:sz w:val="17"/>
              </w:rPr>
              <w:t>special-education classrooms</w:t>
            </w:r>
          </w:p>
        </w:tc>
      </w:tr>
      <w:tr>
        <w:trPr/>
        <w:tc>
          <w:tcPr>
            <w:tcW w:type="dxa" w:w="10166"/>
            <w:vAlign w:val="top"/>
          </w:tcPr>
          <w:p>
            <w:pPr>
              <w:spacing w:after="20" w:before="0" w:line="240" w:lineRule="auto"/>
            </w:pPr>
            <w:r>
              <w:rPr>
                <w:sz w:val="17"/>
              </w:rPr>
              <w:t>preschool and early-intervention programs</w:t>
            </w:r>
          </w:p>
        </w:tc>
      </w:tr>
      <w:tr>
        <w:trPr/>
        <w:tc>
          <w:tcPr>
            <w:tcW w:type="dxa" w:w="10166"/>
            <w:vAlign w:val="top"/>
          </w:tcPr>
          <w:p>
            <w:pPr>
              <w:spacing w:after="20" w:before="0" w:line="240" w:lineRule="auto"/>
            </w:pPr>
            <w:r>
              <w:rPr>
                <w:sz w:val="17"/>
              </w:rPr>
              <w:t>career and technical education programs</w:t>
            </w:r>
          </w:p>
        </w:tc>
      </w:tr>
      <w:tr>
        <w:trPr/>
        <w:tc>
          <w:tcPr>
            <w:tcW w:type="dxa" w:w="10166"/>
            <w:vAlign w:val="top"/>
          </w:tcPr>
          <w:p>
            <w:pPr>
              <w:spacing w:after="20" w:before="0" w:line="240" w:lineRule="auto"/>
            </w:pPr>
            <w:r>
              <w:rPr>
                <w:sz w:val="17"/>
              </w:rPr>
              <w:t>after-school and tutoring programs</w:t>
            </w:r>
          </w:p>
        </w:tc>
      </w:tr>
    </w:tbl>
    <w:p>
      <w:pPr>
        <w:pStyle w:val="Heading2"/>
        <w:keepNext/>
      </w:pPr>
      <w:r>
        <w:t>Daily, weekly, and high-consequence work</w:t>
      </w:r>
    </w:p>
    <w:p>
      <w:pPr>
        <w:pStyle w:val="ListBullet"/>
        <w:spacing w:before="0" w:after="20" w:line="240" w:lineRule="auto"/>
        <w:ind w:left="403" w:hanging="259"/>
      </w:pPr>
      <w:r>
        <w:t>Reinforce lessons and directions prepared by the teacher.</w:t>
      </w:r>
    </w:p>
    <w:p>
      <w:pPr>
        <w:pStyle w:val="ListBullet"/>
        <w:spacing w:before="0" w:after="20" w:line="240" w:lineRule="auto"/>
        <w:ind w:left="403" w:hanging="259"/>
      </w:pPr>
      <w:r>
        <w:t>Support individuals or small groups.</w:t>
      </w:r>
    </w:p>
    <w:p>
      <w:pPr>
        <w:pStyle w:val="ListBullet"/>
        <w:spacing w:before="0" w:after="20" w:line="240" w:lineRule="auto"/>
        <w:ind w:left="403" w:hanging="259"/>
      </w:pPr>
      <w:r>
        <w:t>Assist with classroom routines, materials, technology, and accessibility.</w:t>
      </w:r>
    </w:p>
    <w:p>
      <w:pPr>
        <w:pStyle w:val="ListBullet"/>
        <w:spacing w:before="0" w:after="20" w:line="240" w:lineRule="auto"/>
        <w:ind w:left="403" w:hanging="259"/>
      </w:pPr>
      <w:r>
        <w:t>Observe and document student performance as directed.</w:t>
      </w:r>
    </w:p>
    <w:p>
      <w:pPr>
        <w:pStyle w:val="ListBullet"/>
        <w:spacing w:before="0" w:after="20" w:line="240" w:lineRule="auto"/>
        <w:ind w:left="403" w:hanging="259"/>
      </w:pPr>
      <w:r>
        <w:t>Support behavior and safety plans within training.</w:t>
      </w:r>
    </w:p>
    <w:p>
      <w:pPr>
        <w:pStyle w:val="ListBullet"/>
        <w:spacing w:before="0" w:after="20" w:line="240" w:lineRule="auto"/>
        <w:ind w:left="403" w:hanging="259"/>
      </w:pPr>
      <w:r>
        <w:t>Communicate concerns to the teacher or appropriate professional.</w:t>
      </w:r>
    </w:p>
    <w:p>
      <w:pPr>
        <w:pStyle w:val="ListBullet"/>
        <w:spacing w:before="0" w:after="20" w:line="240" w:lineRule="auto"/>
        <w:ind w:left="403" w:hanging="259"/>
      </w:pPr>
      <w:r>
        <w:t>Protect educational records and student dignity.</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Reinforce lessons and directions prepared by the teacher.</w:t>
      </w:r>
    </w:p>
    <w:p>
      <w:pPr>
        <w:pStyle w:val="ListBullet"/>
        <w:spacing w:before="0" w:after="20" w:line="240" w:lineRule="auto"/>
        <w:ind w:left="403" w:hanging="259"/>
      </w:pPr>
      <w:r>
        <w:t>Support individuals or small groups.</w:t>
      </w:r>
    </w:p>
    <w:p>
      <w:pPr>
        <w:pStyle w:val="ListBullet"/>
        <w:spacing w:before="0" w:after="20" w:line="240" w:lineRule="auto"/>
        <w:ind w:left="403" w:hanging="259"/>
      </w:pPr>
      <w:r>
        <w:t>Assist with classroom routines, materials, technology, and accessibility.</w:t>
      </w:r>
    </w:p>
    <w:p>
      <w:pPr>
        <w:pStyle w:val="ListBullet"/>
        <w:spacing w:before="0" w:after="20" w:line="240" w:lineRule="auto"/>
        <w:ind w:left="403" w:hanging="259"/>
      </w:pPr>
      <w:r>
        <w:t>Observe and document student performance as directed.</w:t>
      </w:r>
    </w:p>
    <w:p>
      <w:pPr>
        <w:pStyle w:val="ListBullet"/>
        <w:spacing w:before="0" w:after="20" w:line="240" w:lineRule="auto"/>
        <w:ind w:left="403" w:hanging="259"/>
      </w:pPr>
      <w:r>
        <w:t>Support behavior and safety plans within training.</w:t>
      </w:r>
    </w:p>
    <w:p>
      <w:pPr>
        <w:pStyle w:val="ListBullet"/>
        <w:spacing w:before="0" w:after="20" w:line="240" w:lineRule="auto"/>
        <w:ind w:left="403" w:hanging="259"/>
      </w:pPr>
      <w:r>
        <w:t>Communicate concerns to the teacher or appropriate professional.</w:t>
      </w:r>
    </w:p>
    <w:p>
      <w:pPr>
        <w:pStyle w:val="ListBullet"/>
        <w:spacing w:before="0" w:after="20" w:line="240" w:lineRule="auto"/>
        <w:ind w:left="403" w:hanging="259"/>
      </w:pPr>
      <w:r>
        <w:t>Protect educational records and student dignity.</w:t>
      </w:r>
    </w:p>
    <w:p>
      <w:pPr>
        <w:pStyle w:val="Heading2"/>
        <w:keepNext/>
      </w:pPr>
      <w:r>
        <w:t>Tools and records</w:t>
      </w:r>
    </w:p>
    <w:p>
      <w:pPr>
        <w:pStyle w:val="ListBullet"/>
        <w:spacing w:before="0" w:after="20" w:line="240" w:lineRule="auto"/>
        <w:ind w:left="403" w:hanging="259"/>
      </w:pPr>
      <w:r>
        <w:t>Learning-management and student-information systems.</w:t>
      </w:r>
    </w:p>
    <w:p>
      <w:pPr>
        <w:pStyle w:val="ListBullet"/>
        <w:spacing w:before="0" w:after="20" w:line="240" w:lineRule="auto"/>
        <w:ind w:left="403" w:hanging="259"/>
      </w:pPr>
      <w:r>
        <w:t>Assistive technology and communication devices.</w:t>
      </w:r>
    </w:p>
    <w:p>
      <w:pPr>
        <w:pStyle w:val="ListBullet"/>
        <w:spacing w:before="0" w:after="20" w:line="240" w:lineRule="auto"/>
        <w:ind w:left="403" w:hanging="259"/>
      </w:pPr>
      <w:r>
        <w:t>Instructional materials and manipulatives.</w:t>
      </w:r>
    </w:p>
    <w:p>
      <w:pPr>
        <w:pStyle w:val="ListBullet"/>
        <w:spacing w:before="0" w:after="20" w:line="240" w:lineRule="auto"/>
        <w:ind w:left="403" w:hanging="259"/>
      </w:pPr>
      <w:r>
        <w:t>Behavior, attendance, and progress forms.</w:t>
      </w:r>
    </w:p>
    <w:p>
      <w:pPr>
        <w:pStyle w:val="ListBullet"/>
        <w:spacing w:before="0" w:after="20" w:line="240" w:lineRule="auto"/>
        <w:ind w:left="403" w:hanging="259"/>
      </w:pPr>
      <w:r>
        <w:t>Mobility and personal-care equipment where trained.</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independently design or change a student’s individualized education program.</w:t>
      </w:r>
    </w:p>
    <w:p>
      <w:pPr>
        <w:pStyle w:val="ListBullet"/>
        <w:spacing w:before="0" w:after="20" w:line="240" w:lineRule="auto"/>
        <w:ind w:left="403" w:hanging="259"/>
      </w:pPr>
      <w:r>
        <w:t>Do not restrain, seclude, transport, medicate, or provide personal care without required training and authorization.</w:t>
      </w:r>
    </w:p>
    <w:p>
      <w:pPr>
        <w:pStyle w:val="ListBullet"/>
        <w:spacing w:before="0" w:after="20" w:line="240" w:lineRule="auto"/>
        <w:ind w:left="403" w:hanging="259"/>
      </w:pPr>
      <w:r>
        <w:t>Do not discuss student information outside authorized educational purposes.</w:t>
      </w:r>
    </w:p>
    <w:p>
      <w:pPr>
        <w:pStyle w:val="ListBullet"/>
        <w:spacing w:before="0" w:after="20" w:line="240" w:lineRule="auto"/>
        <w:ind w:left="403" w:hanging="259"/>
      </w:pPr>
      <w:r>
        <w:t>Escalate abuse concerns, threats, medical changes, missing students, and unsafe staffing.</w:t>
      </w:r>
    </w:p>
    <w:p>
      <w:pPr>
        <w:pStyle w:val="Heading2"/>
        <w:keepNext/>
      </w:pPr>
      <w:r>
        <w:t>Health and psychological safety</w:t>
      </w:r>
    </w:p>
    <w:p>
      <w:pPr>
        <w:pStyle w:val="ListBullet"/>
        <w:spacing w:before="0" w:after="20" w:line="240" w:lineRule="auto"/>
        <w:ind w:left="403" w:hanging="259"/>
      </w:pPr>
      <w:r>
        <w:t>Student aggression or elopement.</w:t>
      </w:r>
    </w:p>
    <w:p>
      <w:pPr>
        <w:pStyle w:val="ListBullet"/>
        <w:spacing w:before="0" w:after="20" w:line="240" w:lineRule="auto"/>
        <w:ind w:left="403" w:hanging="259"/>
      </w:pPr>
      <w:r>
        <w:t>Lifting and personal-care demands.</w:t>
      </w:r>
    </w:p>
    <w:p>
      <w:pPr>
        <w:pStyle w:val="ListBullet"/>
        <w:spacing w:before="0" w:after="20" w:line="240" w:lineRule="auto"/>
        <w:ind w:left="403" w:hanging="259"/>
      </w:pPr>
      <w:r>
        <w:t>Infection exposure and high noise.</w:t>
      </w:r>
    </w:p>
    <w:p>
      <w:pPr>
        <w:pStyle w:val="ListBullet"/>
        <w:spacing w:before="0" w:after="20" w:line="240" w:lineRule="auto"/>
        <w:ind w:left="403" w:hanging="259"/>
      </w:pPr>
      <w:r>
        <w:t>Emotional strain, role ambiguity, and school-year income gaps.</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$35,240 for teacher assistants.</w:t>
      </w:r>
    </w:p>
    <w:p>
      <w:pPr/>
      <w:r>
        <w:t>BLS projects teacher-assistant employment to decline 1 percent from 2024 to 2034, but replacement openings and local funding needs remain important.</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Public-school requirements vary by state and district. Title I schools may require two years of college, an associate degree, or a state or local assessment. Some positions accept a high school diploma plus training.</w:t>
      </w:r>
    </w:p>
    <w:p>
      <w:pPr/>
      <w:r>
        <w:t>Verify state paraprofessional requirements, district hiring rules, background checks, substitute permits, language requirements, and specialized training for special education or personal care.</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Classroom aide or substitute paraprofessional.</w:t>
      </w:r>
    </w:p>
    <w:p>
      <w:pPr>
        <w:pStyle w:val="ListBullet"/>
        <w:spacing w:before="0" w:after="20" w:line="240" w:lineRule="auto"/>
        <w:ind w:left="403" w:hanging="259"/>
      </w:pPr>
      <w:r>
        <w:t>Instructional or special-education assistant.</w:t>
      </w:r>
    </w:p>
    <w:p>
      <w:pPr>
        <w:pStyle w:val="ListBullet"/>
        <w:spacing w:before="0" w:after="20" w:line="240" w:lineRule="auto"/>
        <w:ind w:left="403" w:hanging="259"/>
      </w:pPr>
      <w:r>
        <w:t>Lead paraprofessional or behavior-support aide.</w:t>
      </w:r>
    </w:p>
    <w:p>
      <w:pPr>
        <w:pStyle w:val="ListBullet"/>
        <w:spacing w:before="0" w:after="20" w:line="240" w:lineRule="auto"/>
        <w:ind w:left="403" w:hanging="259"/>
      </w:pPr>
      <w:r>
        <w:t>Teacher preparation, interpreter, therapy-support, or school-office pathways after qualification.</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https://www.bls.gov/ooh/education-training-and-library/teacher-assistants.htm</w:t>
        </w:r>
      </w:hyperlink>
    </w:p>
    <w:p>
      <w:pPr>
        <w:pStyle w:val="ListBullet"/>
        <w:spacing w:before="0" w:after="20" w:line="240" w:lineRule="auto"/>
      </w:pPr>
      <w:hyperlink r:id="rId12">
        <w:r>
          <w:rPr>
            <w:color w:val="0563C1"/>
            <w:u w:val="single"/>
          </w:rPr>
          <w:t>https://www.ed.gov/laws-and-policy/individuals-disabilities/idea</w:t>
        </w:r>
      </w:hyperlink>
    </w:p>
    <w:p>
      <w:pPr>
        <w:pStyle w:val="ListBullet"/>
        <w:spacing w:before="0" w:after="20" w:line="240" w:lineRule="auto"/>
      </w:pPr>
      <w:hyperlink r:id="rId13">
        <w:r>
          <w:rPr>
            <w:color w:val="0563C1"/>
            <w:u w:val="single"/>
          </w:rPr>
          <w:t>https://www.irs.gov/credits-deductions/individuals/education-credits-aotc-and-llc</w:t>
        </w:r>
      </w:hyperlink>
    </w:p>
    <w:p>
      <w:pPr>
        <w:pStyle w:val="ListBullet"/>
        <w:spacing w:before="0" w:after="20" w:line="240" w:lineRule="auto"/>
      </w:pPr>
      <w:hyperlink r:id="rId14">
        <w:r>
          <w:rPr>
            <w:color w:val="0563C1"/>
            <w:u w:val="single"/>
          </w:rPr>
          <w:t>https://www.irs.gov/newsroom/irs-updates-frequently-asked-questions-about-section-127-educational-assistance-programs</w:t>
        </w:r>
      </w:hyperlink>
    </w:p>
    <w:p>
      <w:pPr>
        <w:pStyle w:val="ListBullet"/>
        <w:spacing w:before="0" w:after="20" w:line="240" w:lineRule="auto"/>
      </w:pPr>
      <w:hyperlink r:id="rId15">
        <w:r>
          <w:rPr>
            <w:color w:val="0563C1"/>
            <w:u w:val="single"/>
          </w:rPr>
          <w:t>https://www.apprenticeship.gov/</w:t>
        </w:r>
      </w:hyperlink>
    </w:p>
    <w:p>
      <w:pPr>
        <w:pStyle w:val="ListBullet"/>
        <w:spacing w:before="0" w:after="20" w:line="240" w:lineRule="auto"/>
      </w:pPr>
      <w:hyperlink r:id="rId16">
        <w:r>
          <w:rPr>
            <w:color w:val="0563C1"/>
            <w:u w:val="single"/>
          </w:rPr>
          <w:t>https://www.ed.gov/laws-and-policy/civil-rights-laws/disability-discrimination</w:t>
        </w:r>
      </w:hyperlink>
    </w:p>
    <w:p>
      <w:pPr>
        <w:pStyle w:val="ListBullet"/>
        <w:spacing w:before="0" w:after="20" w:line="240" w:lineRule="auto"/>
      </w:pPr>
      <w:hyperlink r:id="rId17">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Teacher Assistant and Instructional Aide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education-training-and-library/teacher-assistants.htm" TargetMode="External"/><Relationship Id="rId12" Type="http://schemas.openxmlformats.org/officeDocument/2006/relationships/hyperlink" Target="https://www.ed.gov/laws-and-policy/individuals-disabilities/idea" TargetMode="External"/><Relationship Id="rId13" Type="http://schemas.openxmlformats.org/officeDocument/2006/relationships/hyperlink" Target="https://www.irs.gov/credits-deductions/individuals/education-credits-aotc-and-llc" TargetMode="External"/><Relationship Id="rId14" Type="http://schemas.openxmlformats.org/officeDocument/2006/relationships/hyperlink" Target="https://www.irs.gov/newsroom/irs-updates-frequently-asked-questions-about-section-127-educational-assistance-programs" TargetMode="External"/><Relationship Id="rId15" Type="http://schemas.openxmlformats.org/officeDocument/2006/relationships/hyperlink" Target="https://www.apprenticeship.gov/" TargetMode="External"/><Relationship Id="rId16" Type="http://schemas.openxmlformats.org/officeDocument/2006/relationships/hyperlink" Target="https://www.ed.gov/laws-and-policy/civil-rights-laws/disability-discrimination" TargetMode="External"/><Relationship Id="rId17"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Teacher Assistant and Instructional Aide Guide English v1.0</dc:title>
  <dc:subject>Career guide for Teacher Assistant and Instructional Aide</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