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COMMUNITY SERVICE PROGRAM COORDINATOR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Community Service Program Coordinator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Community service program coordinators organize activities, schedules, records, volunteers, vendors, communications, and outcome tracking for programs that support public well-being.</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Community Service Program Coordinator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r>
      <w:r>
        <w:rPr>
          <w:sz w:val="17"/>
        </w:rPr>
        <w:tab/>
        <w:t>2</w:t>
      </w:r>
    </w:p>
    <w:p>
      <w:pPr>
        <w:keepNext w:val="0"/>
        <w:keepLines w:val="0"/>
        <w:tabs>
          <w:tab w:pos="9288" w:val="right" w:leader="dot"/>
        </w:tabs>
        <w:spacing w:after="0" w:line="200" w:lineRule="exact" w:before="0"/>
        <w:ind w:left="0"/>
      </w:pPr>
      <w:r>
        <w:rPr>
          <w:b/>
          <w:sz w:val="17"/>
        </w:rPr>
        <w:t>Acknowledgment of AI Assistance</w:t>
      </w:r>
      <w:r>
        <w:rPr>
          <w:sz w:val="17"/>
        </w:rPr>
        <w:tab/>
        <w:t>2</w:t>
      </w:r>
    </w:p>
    <w:p>
      <w:pPr>
        <w:keepNext w:val="0"/>
        <w:keepLines w:val="0"/>
        <w:tabs>
          <w:tab w:pos="9288" w:val="right" w:leader="dot"/>
        </w:tabs>
        <w:spacing w:after="0" w:line="200" w:lineRule="exact" w:before="0"/>
        <w:ind w:left="0"/>
      </w:pPr>
      <w:r>
        <w:rPr>
          <w:b/>
          <w:sz w:val="17"/>
        </w:rPr>
        <w:t>Ethical and Practical Limits</w:t>
      </w:r>
      <w:r>
        <w:rPr>
          <w:sz w:val="17"/>
        </w:rPr>
        <w:tab/>
        <w:t>2</w:t>
      </w:r>
    </w:p>
    <w:p>
      <w:pPr>
        <w:keepNext w:val="0"/>
        <w:keepLines w:val="0"/>
        <w:tabs>
          <w:tab w:pos="9288" w:val="right" w:leader="dot"/>
        </w:tabs>
        <w:spacing w:after="0" w:line="200" w:lineRule="exact" w:before="0"/>
        <w:ind w:left="0"/>
      </w:pPr>
      <w:r>
        <w:rPr>
          <w:b/>
          <w:sz w:val="17"/>
        </w:rPr>
        <w:t>1. How to Use This Guide</w:t>
        <w:tab/>
        <w:t>2</w:t>
      </w:r>
      <w:r>
        <w:rPr>
          <w:sz w:val="17"/>
        </w:rPr>
      </w:r>
    </w:p>
    <w:p>
      <w:pPr>
        <w:keepNext w:val="0"/>
        <w:keepLines w:val="0"/>
        <w:tabs>
          <w:tab w:pos="9288" w:val="right" w:leader="dot"/>
        </w:tabs>
        <w:spacing w:after="0" w:line="200" w:lineRule="exact" w:before="0"/>
        <w:ind w:left="403"/>
      </w:pPr>
      <w:r>
        <w:rPr>
          <w:b w:val="0"/>
          <w:sz w:val="17"/>
        </w:rPr>
        <w:t>A careful decision process</w:t>
        <w:tab/>
        <w:t>2</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Community service program coordinators organize activities, schedules, records, volunteers, vendors, communications, and outcome tracking for programs that support public well-being.</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nonprofit organizations</w:t>
            </w:r>
          </w:p>
        </w:tc>
      </w:tr>
      <w:tr>
        <w:trPr/>
        <w:tc>
          <w:tcPr>
            <w:tcW w:type="dxa" w:w="10166"/>
            <w:vAlign w:val="top"/>
          </w:tcPr>
          <w:p>
            <w:pPr>
              <w:spacing w:after="20" w:before="0" w:line="240" w:lineRule="auto"/>
            </w:pPr>
            <w:r>
              <w:rPr>
                <w:sz w:val="17"/>
              </w:rPr>
              <w:t>local government</w:t>
            </w:r>
          </w:p>
        </w:tc>
      </w:tr>
      <w:tr>
        <w:trPr/>
        <w:tc>
          <w:tcPr>
            <w:tcW w:type="dxa" w:w="10166"/>
            <w:vAlign w:val="top"/>
          </w:tcPr>
          <w:p>
            <w:pPr>
              <w:spacing w:after="20" w:before="0" w:line="240" w:lineRule="auto"/>
            </w:pPr>
            <w:r>
              <w:rPr>
                <w:sz w:val="17"/>
              </w:rPr>
              <w:t>health and human-service agencies</w:t>
            </w:r>
          </w:p>
        </w:tc>
      </w:tr>
      <w:tr>
        <w:trPr/>
        <w:tc>
          <w:tcPr>
            <w:tcW w:type="dxa" w:w="10166"/>
            <w:vAlign w:val="top"/>
          </w:tcPr>
          <w:p>
            <w:pPr>
              <w:spacing w:after="20" w:before="0" w:line="240" w:lineRule="auto"/>
            </w:pPr>
            <w:r>
              <w:rPr>
                <w:sz w:val="17"/>
              </w:rPr>
              <w:t>faith-based and neighborhood organizations</w:t>
            </w:r>
          </w:p>
        </w:tc>
      </w:tr>
      <w:tr>
        <w:trPr/>
        <w:tc>
          <w:tcPr>
            <w:tcW w:type="dxa" w:w="10166"/>
            <w:vAlign w:val="top"/>
          </w:tcPr>
          <w:p>
            <w:pPr>
              <w:spacing w:after="20" w:before="0" w:line="240" w:lineRule="auto"/>
            </w:pPr>
            <w:r>
              <w:rPr>
                <w:sz w:val="17"/>
              </w:rPr>
              <w:t>foundations and public-private partnerships</w:t>
            </w:r>
          </w:p>
        </w:tc>
      </w:tr>
    </w:tbl>
    <w:p>
      <w:pPr>
        <w:pStyle w:val="Heading2"/>
        <w:keepNext/>
      </w:pPr>
      <w:r>
        <w:t>Daily, weekly, and high-consequence work</w:t>
      </w:r>
    </w:p>
    <w:p>
      <w:pPr>
        <w:pStyle w:val="ListBullet"/>
        <w:spacing w:before="0" w:after="20" w:line="240" w:lineRule="auto"/>
        <w:ind w:left="403" w:hanging="259"/>
      </w:pPr>
      <w:r>
        <w:t>Coordinate program calendars, enrollment, communications, and logistics.</w:t>
      </w:r>
    </w:p>
    <w:p>
      <w:pPr>
        <w:pStyle w:val="ListBullet"/>
        <w:spacing w:before="0" w:after="20" w:line="240" w:lineRule="auto"/>
        <w:ind w:left="403" w:hanging="259"/>
      </w:pPr>
      <w:r>
        <w:t>Track participation, services, outputs, and deadlines.</w:t>
      </w:r>
    </w:p>
    <w:p>
      <w:pPr>
        <w:pStyle w:val="ListBullet"/>
        <w:spacing w:before="0" w:after="20" w:line="240" w:lineRule="auto"/>
        <w:ind w:left="403" w:hanging="259"/>
      </w:pPr>
      <w:r>
        <w:t>Support grant, contract, purchasing, and reporting records.</w:t>
      </w:r>
    </w:p>
    <w:p>
      <w:pPr>
        <w:pStyle w:val="ListBullet"/>
        <w:spacing w:before="0" w:after="20" w:line="240" w:lineRule="auto"/>
        <w:ind w:left="403" w:hanging="259"/>
      </w:pPr>
      <w:r>
        <w:t>Recruit, orient, schedule, and support volunteers.</w:t>
      </w:r>
    </w:p>
    <w:p>
      <w:pPr>
        <w:pStyle w:val="ListBullet"/>
        <w:spacing w:before="0" w:after="20" w:line="240" w:lineRule="auto"/>
        <w:ind w:left="403" w:hanging="259"/>
      </w:pPr>
      <w:r>
        <w:t>Maintain resource directories and referral relationships.</w:t>
      </w:r>
    </w:p>
    <w:p>
      <w:pPr>
        <w:pStyle w:val="ListBullet"/>
        <w:spacing w:before="0" w:after="20" w:line="240" w:lineRule="auto"/>
        <w:ind w:left="403" w:hanging="259"/>
      </w:pPr>
      <w:r>
        <w:t>Identify access barriers and escalate client or program risks.</w:t>
      </w:r>
    </w:p>
    <w:p>
      <w:pPr>
        <w:pStyle w:val="ListBullet"/>
        <w:spacing w:before="0" w:after="20" w:line="240" w:lineRule="auto"/>
        <w:ind w:left="403" w:hanging="259"/>
      </w:pPr>
      <w:r>
        <w:t>Prepare meetings, outreach materials, and improvement summaries.</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Coordinate program calendars, enrollment, communications, and logistics.</w:t>
      </w:r>
    </w:p>
    <w:p>
      <w:pPr>
        <w:pStyle w:val="ListBullet"/>
        <w:spacing w:before="0" w:after="20" w:line="240" w:lineRule="auto"/>
        <w:ind w:left="403" w:hanging="259"/>
      </w:pPr>
      <w:r>
        <w:t>Track participation, services, outputs, and deadlines.</w:t>
      </w:r>
    </w:p>
    <w:p>
      <w:pPr>
        <w:pStyle w:val="ListBullet"/>
        <w:spacing w:before="0" w:after="20" w:line="240" w:lineRule="auto"/>
        <w:ind w:left="403" w:hanging="259"/>
      </w:pPr>
      <w:r>
        <w:t>Support grant, contract, purchasing, and reporting records.</w:t>
      </w:r>
    </w:p>
    <w:p>
      <w:pPr>
        <w:pStyle w:val="ListBullet"/>
        <w:spacing w:before="0" w:after="20" w:line="240" w:lineRule="auto"/>
        <w:ind w:left="403" w:hanging="259"/>
      </w:pPr>
      <w:r>
        <w:t>Recruit, orient, schedule, and support volunteers.</w:t>
      </w:r>
    </w:p>
    <w:p>
      <w:pPr>
        <w:pStyle w:val="ListBullet"/>
        <w:spacing w:before="0" w:after="20" w:line="240" w:lineRule="auto"/>
        <w:ind w:left="403" w:hanging="259"/>
      </w:pPr>
      <w:r>
        <w:t>Maintain resource directories and referral relationships.</w:t>
      </w:r>
    </w:p>
    <w:p>
      <w:pPr>
        <w:pStyle w:val="ListBullet"/>
        <w:spacing w:before="0" w:after="20" w:line="240" w:lineRule="auto"/>
        <w:ind w:left="403" w:hanging="259"/>
      </w:pPr>
      <w:r>
        <w:t>Identify access barriers and escalate client or program risks.</w:t>
      </w:r>
    </w:p>
    <w:p>
      <w:pPr>
        <w:pStyle w:val="ListBullet"/>
        <w:spacing w:before="0" w:after="20" w:line="240" w:lineRule="auto"/>
        <w:ind w:left="403" w:hanging="259"/>
      </w:pPr>
      <w:r>
        <w:t>Prepare meetings, outreach materials, and improvement summaries.</w:t>
      </w:r>
    </w:p>
    <w:p>
      <w:pPr>
        <w:pStyle w:val="Heading2"/>
        <w:keepNext/>
      </w:pPr>
      <w:r>
        <w:t>Tools and records</w:t>
      </w:r>
    </w:p>
    <w:p>
      <w:pPr>
        <w:pStyle w:val="ListBullet"/>
        <w:spacing w:before="0" w:after="20" w:line="240" w:lineRule="auto"/>
        <w:ind w:left="403" w:hanging="259"/>
      </w:pPr>
      <w:r>
        <w:t>Spreadsheets and project-management systems.</w:t>
      </w:r>
    </w:p>
    <w:p>
      <w:pPr>
        <w:pStyle w:val="ListBullet"/>
        <w:spacing w:before="0" w:after="20" w:line="240" w:lineRule="auto"/>
        <w:ind w:left="403" w:hanging="259"/>
      </w:pPr>
      <w:r>
        <w:t>Case, donor, volunteer, or customer-relationship databases.</w:t>
      </w:r>
    </w:p>
    <w:p>
      <w:pPr>
        <w:pStyle w:val="ListBullet"/>
        <w:spacing w:before="0" w:after="20" w:line="240" w:lineRule="auto"/>
        <w:ind w:left="403" w:hanging="259"/>
      </w:pPr>
      <w:r>
        <w:t>Survey and reporting tools.</w:t>
      </w:r>
    </w:p>
    <w:p>
      <w:pPr>
        <w:pStyle w:val="ListBullet"/>
        <w:spacing w:before="0" w:after="20" w:line="240" w:lineRule="auto"/>
        <w:ind w:left="403" w:hanging="259"/>
      </w:pPr>
      <w:r>
        <w:t>Budgets, calendars, consent forms, and grant records.</w:t>
      </w:r>
    </w:p>
    <w:p>
      <w:pPr>
        <w:pStyle w:val="ListBullet"/>
        <w:spacing w:before="0" w:after="20" w:line="240" w:lineRule="auto"/>
        <w:ind w:left="403" w:hanging="259"/>
      </w:pPr>
      <w:r>
        <w:t>Secure communication and document-sharing platforms.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promise eligibility, funding, housing, treatment, or legal outcomes.</w:t>
      </w:r>
    </w:p>
    <w:p>
      <w:pPr>
        <w:pStyle w:val="ListBullet"/>
        <w:spacing w:before="0" w:after="20" w:line="240" w:lineRule="auto"/>
        <w:ind w:left="403" w:hanging="259"/>
      </w:pPr>
      <w:r>
        <w:t>Do not collect personal information without a defined purpose and protection.</w:t>
      </w:r>
    </w:p>
    <w:p>
      <w:pPr>
        <w:pStyle w:val="ListBullet"/>
        <w:spacing w:before="0" w:after="20" w:line="240" w:lineRule="auto"/>
        <w:ind w:left="403" w:hanging="259"/>
      </w:pPr>
      <w:r>
        <w:t>Do not sign contracts or spend funds outside delegated authority.</w:t>
      </w:r>
    </w:p>
    <w:p>
      <w:pPr>
        <w:pStyle w:val="ListBullet"/>
        <w:spacing w:before="0" w:after="20" w:line="240" w:lineRule="auto"/>
        <w:ind w:left="403" w:hanging="259"/>
      </w:pPr>
      <w:r>
        <w:t>Escalate safeguarding, fraud, discrimination, grant-compliance, and urgent client concerns.</w:t>
      </w:r>
    </w:p>
    <w:p>
      <w:pPr>
        <w:pStyle w:val="Heading2"/>
        <w:keepNext/>
      </w:pPr>
      <w:r>
        <w:t>Health and psychological safety</w:t>
      </w:r>
    </w:p>
    <w:p>
      <w:pPr>
        <w:pStyle w:val="ListBullet"/>
        <w:spacing w:before="0" w:after="20" w:line="240" w:lineRule="auto"/>
        <w:ind w:left="403" w:hanging="259"/>
      </w:pPr>
      <w:r>
        <w:t>Grant or contract deadlines.</w:t>
      </w:r>
    </w:p>
    <w:p>
      <w:pPr>
        <w:pStyle w:val="ListBullet"/>
        <w:spacing w:before="0" w:after="20" w:line="240" w:lineRule="auto"/>
        <w:ind w:left="403" w:hanging="259"/>
      </w:pPr>
      <w:r>
        <w:t>Client crises and secondary trauma.</w:t>
      </w:r>
    </w:p>
    <w:p>
      <w:pPr>
        <w:pStyle w:val="ListBullet"/>
        <w:spacing w:before="0" w:after="20" w:line="240" w:lineRule="auto"/>
        <w:ind w:left="403" w:hanging="259"/>
      </w:pPr>
      <w:r>
        <w:t>Privacy and consent errors.</w:t>
      </w:r>
    </w:p>
    <w:p>
      <w:pPr>
        <w:pStyle w:val="ListBullet"/>
        <w:spacing w:before="0" w:after="20" w:line="240" w:lineRule="auto"/>
        <w:ind w:left="403" w:hanging="259"/>
      </w:pPr>
      <w:r>
        <w:t>Unstable funding, role overload, and volunteer-management challenges.</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does not report this exact title in one national profile. Social and human service assistant data may fit some entry roles; social and community service manager data fit higher-responsibility roles. Verify duties before using either wage.</w:t>
      </w:r>
    </w:p>
    <w:p>
      <w:pPr/>
      <w:r>
        <w:t>BLS projects 6 percent growth from 2024 to 2034 for social and community service managers. Program-coordinator demand depends heavily on grants, contracts, public budgets, and community priorities.</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Coordinator roles vary from high school plus substantial experience to associate or bachelor’s degrees. Employers may value community knowledge, languages, project coordination, data skills, and grant experience.</w:t>
      </w:r>
    </w:p>
    <w:p>
      <w:pPr/>
      <w:r>
        <w:t>No single credential governs this title. Verify employer requirements before paying for nonprofit, project-management, volunteer-management, or grant certificates.</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Program or outreach assistant.</w:t>
      </w:r>
    </w:p>
    <w:p>
      <w:pPr>
        <w:pStyle w:val="ListBullet"/>
        <w:spacing w:before="0" w:after="20" w:line="240" w:lineRule="auto"/>
        <w:ind w:left="403" w:hanging="259"/>
      </w:pPr>
      <w:r>
        <w:t>Community service program coordinator.</w:t>
      </w:r>
    </w:p>
    <w:p>
      <w:pPr>
        <w:pStyle w:val="ListBullet"/>
        <w:spacing w:before="0" w:after="20" w:line="240" w:lineRule="auto"/>
        <w:ind w:left="403" w:hanging="259"/>
      </w:pPr>
      <w:r>
        <w:t>Senior coordinator, grant specialist, or program manager.</w:t>
      </w:r>
    </w:p>
    <w:p>
      <w:pPr>
        <w:pStyle w:val="ListBullet"/>
        <w:spacing w:before="0" w:after="20" w:line="240" w:lineRule="auto"/>
        <w:ind w:left="403" w:hanging="259"/>
      </w:pPr>
      <w:r>
        <w:t>Director, evaluator, partnership lead, or further qualified social-service role.</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https://www.bls.gov/ooh/management/social-and-community-service-managers.htm</w:t>
        </w:r>
      </w:hyperlink>
    </w:p>
    <w:p>
      <w:pPr>
        <w:pStyle w:val="ListBullet"/>
        <w:spacing w:before="0" w:after="20" w:line="240" w:lineRule="auto"/>
      </w:pPr>
      <w:hyperlink r:id="rId12">
        <w:r>
          <w:rPr>
            <w:color w:val="0563C1"/>
            <w:u w:val="single"/>
          </w:rPr>
          <w:t>https://www.bls.gov/ooh/community-and-social-service/social-and-human-service-assistants.htm</w:t>
        </w:r>
      </w:hyperlink>
    </w:p>
    <w:p>
      <w:pPr>
        <w:pStyle w:val="ListBullet"/>
        <w:spacing w:before="0" w:after="20" w:line="240" w:lineRule="auto"/>
      </w:pPr>
      <w:hyperlink r:id="rId13">
        <w:r>
          <w:rPr>
            <w:color w:val="0563C1"/>
            <w:u w:val="single"/>
          </w:rPr>
          <w:t>https://www.irs.gov/credits-deductions/individuals/education-credits-aotc-and-llc</w:t>
        </w:r>
      </w:hyperlink>
    </w:p>
    <w:p>
      <w:pPr>
        <w:pStyle w:val="ListBullet"/>
        <w:spacing w:before="0" w:after="20" w:line="240" w:lineRule="auto"/>
      </w:pPr>
      <w:hyperlink r:id="rId14">
        <w:r>
          <w:rPr>
            <w:color w:val="0563C1"/>
            <w:u w:val="single"/>
          </w:rPr>
          <w:t>https://www.irs.gov/newsroom/irs-updates-frequently-asked-questions-about-section-127-educational-assistance-programs</w:t>
        </w:r>
      </w:hyperlink>
    </w:p>
    <w:p>
      <w:pPr>
        <w:pStyle w:val="ListBullet"/>
        <w:spacing w:before="0" w:after="20" w:line="240" w:lineRule="auto"/>
      </w:pPr>
      <w:hyperlink r:id="rId15">
        <w:r>
          <w:rPr>
            <w:color w:val="0563C1"/>
            <w:u w:val="single"/>
          </w:rPr>
          <w:t>https://www.apprenticeship.gov/</w:t>
        </w:r>
      </w:hyperlink>
    </w:p>
    <w:p>
      <w:pPr>
        <w:pStyle w:val="ListBullet"/>
        <w:spacing w:before="0" w:after="20" w:line="240" w:lineRule="auto"/>
      </w:pPr>
      <w:hyperlink r:id="rId16">
        <w:r>
          <w:rPr>
            <w:color w:val="0563C1"/>
            <w:u w:val="single"/>
          </w:rPr>
          <w:t>https://www.ed.gov/laws-and-policy/civil-rights-laws/disability-discrimination</w:t>
        </w:r>
      </w:hyperlink>
    </w:p>
    <w:p>
      <w:pPr>
        <w:pStyle w:val="ListBullet"/>
        <w:spacing w:before="0" w:after="20" w:line="240" w:lineRule="auto"/>
      </w:pPr>
      <w:hyperlink r:id="rId17">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Community Service Program Coordinator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management/social-and-community-service-managers.htm" TargetMode="External"/><Relationship Id="rId12" Type="http://schemas.openxmlformats.org/officeDocument/2006/relationships/hyperlink" Target="https://www.bls.gov/ooh/community-and-social-service/social-and-human-service-assistants.htm" TargetMode="External"/><Relationship Id="rId13" Type="http://schemas.openxmlformats.org/officeDocument/2006/relationships/hyperlink" Target="https://www.irs.gov/credits-deductions/individuals/education-credits-aotc-and-llc" TargetMode="External"/><Relationship Id="rId14" Type="http://schemas.openxmlformats.org/officeDocument/2006/relationships/hyperlink" Target="https://www.irs.gov/newsroom/irs-updates-frequently-asked-questions-about-section-127-educational-assistance-programs" TargetMode="External"/><Relationship Id="rId15" Type="http://schemas.openxmlformats.org/officeDocument/2006/relationships/hyperlink" Target="https://www.apprenticeship.gov/" TargetMode="External"/><Relationship Id="rId16" Type="http://schemas.openxmlformats.org/officeDocument/2006/relationships/hyperlink" Target="https://www.ed.gov/laws-and-policy/civil-rights-laws/disability-discrimination" TargetMode="External"/><Relationship Id="rId17"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Community Service Program Coordinator Guide English v1.0</dc:title>
  <dc:subject>Career guide for Community Service Program Coordinator</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