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6"/>
        </w:rPr>
        <w:t>LIFELONG OPPORTUNITY</w:t>
      </w:r>
    </w:p>
    <w:p>
      <w:pPr>
        <w:pStyle w:val="Title"/>
        <w:jc w:val="center"/>
      </w:pPr>
      <w:r>
        <w:t>FOOD SERVICE MANAGER TRAINEE AND RESTAURANT SUPERVISOR</w:t>
      </w:r>
    </w:p>
    <w:p>
      <w:pPr>
        <w:jc w:val="center"/>
      </w:pPr>
      <w:r>
        <w:rPr>
          <w:b/>
          <w:sz w:val="28"/>
        </w:rPr>
        <w:t>A Free Guide to Career Fit, Affordable Education, Accessibility,</w:t>
        <w:br/>
        <w:t>Ethical Employment, and Lifelong Reinvention</w:t>
      </w:r>
    </w:p>
    <w:p>
      <w:pPr>
        <w:jc w:val="center"/>
      </w:pPr>
      <w:r>
        <w:t>For people of all ages, abilities, backgrounds, and income levels</w:t>
      </w:r>
    </w:p>
    <w:p>
      <w:pPr>
        <w:jc w:val="center"/>
      </w:pPr>
      <w:r>
        <w:t>Alberto (Al) Leiva</w:t>
      </w:r>
    </w:p>
    <w:p>
      <w:pPr>
        <w:jc w:val="center"/>
      </w:pPr>
      <w:r>
        <w:t>Created and directed by Alberto (Al) Leiva</w:t>
      </w:r>
    </w:p>
    <w:p>
      <w:pPr>
        <w:jc w:val="center"/>
      </w:pPr>
      <w:r>
        <w:t>Research, organization, editing, and document preparation assisted by ChatGPT, OpenAI</w:t>
      </w:r>
    </w:p>
    <w:p>
      <w:pPr>
        <w:jc w:val="center"/>
      </w:pPr>
      <w:r>
        <w:t>English Edition • Version 1.0 • July 2026</w:t>
      </w:r>
    </w:p>
    <w:p>
      <w:pPr>
        <w:pStyle w:val="Note"/>
        <w:jc w:val="center"/>
      </w:pPr>
      <w:r>
        <w:rPr>
          <w:b/>
        </w:rPr>
        <w:t xml:space="preserve">The promise of this guide: </w:t>
      </w:r>
      <w:r>
        <w:t>This guide does not promise that Food Service Manager Trainee and Restaurant Supervisor work is right for everyone, that education will be free, or that a credential will lead to employment. It helps readers understand the work, verify requirements, compare pathways, and take one honest next step.</w:t>
      </w:r>
    </w:p>
    <w:p>
      <w:pPr>
        <w:spacing w:before="0" w:after="0" w:line="240" w:lineRule="auto"/>
      </w:pPr>
      <w:r/>
    </w:p>
    <w:p>
      <w:pPr>
        <w:pStyle w:val="Heading1"/>
        <w:keepNext/>
      </w:pPr>
      <w:r>
        <w:t>Why I Created This Guide</w:t>
      </w:r>
    </w:p>
    <w:p>
      <w:pPr/>
      <w:r>
        <w:t>I created the Lifelong Opportunity Guides to help people find realistic paths into education and meaningful work without being excluded by age, disability, income, location, or a nontraditional life history. I live with dysgraphia and am on the autism spectrum. I began this project at age 70. These experiences strengthened my commitment to plain language, accessibility, patience, ethical guidance, and respect for ability that may be hidden behind barriers.</w:t>
      </w:r>
    </w:p>
    <w:p>
      <w:pPr/>
      <w:r>
        <w:t>Food service manager trainees and restaurant supervisors coordinate people, food safety, service, cash, inventory, schedules, and customer recovery while developing management competence.</w:t>
      </w:r>
    </w:p>
    <w:p>
      <w:pPr>
        <w:pStyle w:val="Heading1"/>
        <w:keepNext/>
      </w:pPr>
      <w:r>
        <w:t>Acknowledgment of AI Assistance</w:t>
      </w:r>
    </w:p>
    <w:p>
      <w:pPr/>
      <w:r>
        <w:t>I conceived, directed, and take responsibility for this guide. I used ChatGPT by OpenAI as a collaborative tool to help research public resources, organize ideas, improve spelling and grammar, strengthen clarity, and prepare the document. AI assistance does not replace official sources, qualified professionals, human judgment, or the reader’s responsibility to verify important information.</w:t>
      </w:r>
    </w:p>
    <w:p>
      <w:pPr>
        <w:pStyle w:val="Heading1"/>
        <w:keepNext/>
      </w:pPr>
      <w:r>
        <w:t>Ethical and Practical Limits</w:t>
      </w:r>
    </w:p>
    <w:p>
      <w:pPr>
        <w:pStyle w:val="ListBullet"/>
        <w:spacing w:before="0" w:after="20" w:line="240" w:lineRule="auto"/>
        <w:ind w:left="403" w:hanging="259"/>
      </w:pPr>
      <w:r>
        <w:t>No career assessment can guarantee that you will enjoy Food Service Manager Trainee and Restaurant Supervisor work.</w:t>
      </w:r>
    </w:p>
    <w:p>
      <w:pPr>
        <w:pStyle w:val="ListBullet"/>
        <w:spacing w:before="0" w:after="20" w:line="240" w:lineRule="auto"/>
        <w:ind w:left="403" w:hanging="259"/>
      </w:pPr>
      <w:r>
        <w:t>No school, credential, apprenticeship, government program, recruiter, or employer can guarantee employment, funding, promotion, licensing, or a particular salary.</w:t>
      </w:r>
    </w:p>
    <w:p>
      <w:pPr>
        <w:pStyle w:val="ListBullet"/>
        <w:spacing w:before="0" w:after="20" w:line="240" w:lineRule="auto"/>
        <w:ind w:left="403" w:hanging="259"/>
      </w:pPr>
      <w:r>
        <w:t>Requirements vary by employer, jurisdiction, work setting, and assigned duties.</w:t>
      </w:r>
    </w:p>
    <w:p>
      <w:pPr>
        <w:pStyle w:val="ListBullet"/>
        <w:spacing w:before="0" w:after="20" w:line="240" w:lineRule="auto"/>
        <w:ind w:left="403" w:hanging="259"/>
      </w:pPr>
      <w:r>
        <w:t>This guide is educational and does not provide individualized legal, medical, tax, immigration, financial, or licensed vocational advice.</w:t>
      </w:r>
    </w:p>
    <w:p>
      <w:pPr>
        <w:pStyle w:val="ListBullet"/>
        <w:spacing w:before="0" w:after="20" w:line="240" w:lineRule="auto"/>
        <w:ind w:left="403" w:hanging="259"/>
      </w:pPr>
      <w:r>
        <w:t>Never pay a large nonrefundable fee or borrow money because a school or recruiter pressures you to act immediately.</w:t>
      </w:r>
    </w:p>
    <w:p>
      <w:pPr>
        <w:spacing w:before="0" w:after="0" w:line="240" w:lineRule="auto"/>
      </w:pPr>
      <w:r/>
    </w:p>
    <w:p>
      <w:pPr>
        <w:spacing w:before="180" w:after="80"/>
      </w:pPr>
      <w:r>
        <w:rPr>
          <w:rFonts w:ascii="Aptos Display" w:hAnsi="Aptos Display"/>
          <w:b/>
          <w:color w:val="1F4E79"/>
          <w:sz w:val="30"/>
        </w:rPr>
        <w:t>Table of Contents</w:t>
      </w:r>
    </w:p>
    <w:p>
      <w:pPr>
        <w:keepNext w:val="0"/>
        <w:keepLines w:val="0"/>
        <w:tabs>
          <w:tab w:pos="9288" w:val="right" w:leader="dot"/>
        </w:tabs>
        <w:spacing w:after="0" w:line="200" w:lineRule="exact" w:before="0"/>
        <w:ind w:left="0"/>
      </w:pPr>
      <w:r>
        <w:rPr>
          <w:b/>
          <w:sz w:val="17"/>
        </w:rPr>
        <w:t>Why I Created This Guide</w:t>
        <w:tab/>
        <w:t>2</w:t>
      </w:r>
      <w:r>
        <w:rPr>
          <w:sz w:val="17"/>
        </w:rPr>
      </w:r>
    </w:p>
    <w:p>
      <w:pPr>
        <w:keepNext w:val="0"/>
        <w:keepLines w:val="0"/>
        <w:tabs>
          <w:tab w:pos="9288" w:val="right" w:leader="dot"/>
        </w:tabs>
        <w:spacing w:after="0" w:line="200" w:lineRule="exact" w:before="0"/>
        <w:ind w:left="0"/>
      </w:pPr>
      <w:r>
        <w:rPr>
          <w:b/>
          <w:sz w:val="17"/>
        </w:rPr>
        <w:t>Acknowledgment of AI Assistance</w:t>
        <w:tab/>
        <w:t>2</w:t>
      </w:r>
      <w:r>
        <w:rPr>
          <w:sz w:val="17"/>
        </w:rPr>
      </w:r>
    </w:p>
    <w:p>
      <w:pPr>
        <w:keepNext w:val="0"/>
        <w:keepLines w:val="0"/>
        <w:tabs>
          <w:tab w:pos="9288" w:val="right" w:leader="dot"/>
        </w:tabs>
        <w:spacing w:after="0" w:line="200" w:lineRule="exact" w:before="0"/>
        <w:ind w:left="0"/>
      </w:pPr>
      <w:r>
        <w:rPr>
          <w:b/>
          <w:sz w:val="17"/>
        </w:rPr>
        <w:t>Ethical and Practical Limits</w:t>
        <w:tab/>
        <w:t>2</w:t>
      </w:r>
      <w:r>
        <w:rPr>
          <w:sz w:val="17"/>
        </w:rPr>
      </w:r>
    </w:p>
    <w:p>
      <w:pPr>
        <w:keepNext w:val="0"/>
        <w:keepLines w:val="0"/>
        <w:tabs>
          <w:tab w:pos="9288" w:val="right" w:leader="dot"/>
        </w:tabs>
        <w:spacing w:after="0" w:line="200" w:lineRule="exact" w:before="0"/>
        <w:ind w:left="0"/>
      </w:pPr>
      <w:r>
        <w:rPr>
          <w:b/>
          <w:sz w:val="17"/>
        </w:rPr>
        <w:t>1. How to Use This Guide</w:t>
        <w:tab/>
        <w:t>2</w:t>
      </w:r>
      <w:r>
        <w:rPr>
          <w:sz w:val="17"/>
        </w:rPr>
      </w:r>
    </w:p>
    <w:p>
      <w:pPr>
        <w:keepNext w:val="0"/>
        <w:keepLines w:val="0"/>
        <w:tabs>
          <w:tab w:pos="9288" w:val="right" w:leader="dot"/>
        </w:tabs>
        <w:spacing w:after="0" w:line="200" w:lineRule="exact" w:before="0"/>
        <w:ind w:left="403"/>
      </w:pPr>
      <w:r>
        <w:rPr>
          <w:b w:val="0"/>
          <w:sz w:val="17"/>
        </w:rPr>
        <w:t>A careful decision process</w:t>
        <w:tab/>
        <w:t>2</w:t>
      </w:r>
      <w:r>
        <w:rPr>
          <w:sz w:val="17"/>
        </w:rPr>
      </w:r>
    </w:p>
    <w:p>
      <w:pPr>
        <w:keepNext w:val="0"/>
        <w:keepLines w:val="0"/>
        <w:tabs>
          <w:tab w:pos="9288" w:val="right" w:leader="dot"/>
        </w:tabs>
        <w:spacing w:after="0" w:line="200" w:lineRule="exact" w:before="0"/>
        <w:ind w:left="0"/>
      </w:pPr>
      <w:r>
        <w:rPr>
          <w:b/>
          <w:sz w:val="17"/>
        </w:rPr>
        <w:t>2. What the Work Involves</w:t>
        <w:tab/>
        <w:t>2</w:t>
      </w:r>
      <w:r>
        <w:rPr>
          <w:sz w:val="17"/>
        </w:rPr>
      </w:r>
    </w:p>
    <w:p>
      <w:pPr>
        <w:keepNext w:val="0"/>
        <w:keepLines w:val="0"/>
        <w:tabs>
          <w:tab w:pos="9288" w:val="right" w:leader="dot"/>
        </w:tabs>
        <w:spacing w:after="0" w:line="200" w:lineRule="exact" w:before="0"/>
        <w:ind w:left="403"/>
      </w:pPr>
      <w:r>
        <w:rPr>
          <w:b w:val="0"/>
          <w:sz w:val="17"/>
        </w:rPr>
        <w:t>Core purpose and work settings</w:t>
        <w:tab/>
        <w:t>2</w:t>
      </w:r>
      <w:r>
        <w:rPr>
          <w:sz w:val="17"/>
        </w:rPr>
      </w:r>
    </w:p>
    <w:p>
      <w:pPr>
        <w:keepNext w:val="0"/>
        <w:keepLines w:val="0"/>
        <w:tabs>
          <w:tab w:pos="9288" w:val="right" w:leader="dot"/>
        </w:tabs>
        <w:spacing w:after="0" w:line="200" w:lineRule="exact" w:before="0"/>
        <w:ind w:left="403"/>
      </w:pPr>
      <w:r>
        <w:rPr>
          <w:b w:val="0"/>
          <w:sz w:val="17"/>
        </w:rPr>
        <w:t>Daily, weekly, and high-consequence work</w:t>
        <w:tab/>
        <w:t>2</w:t>
      </w:r>
      <w:r>
        <w:rPr>
          <w:sz w:val="17"/>
        </w:rPr>
      </w:r>
    </w:p>
    <w:p>
      <w:pPr>
        <w:keepNext w:val="0"/>
        <w:keepLines w:val="0"/>
        <w:tabs>
          <w:tab w:pos="9288" w:val="right" w:leader="dot"/>
        </w:tabs>
        <w:spacing w:after="0" w:line="200" w:lineRule="exact" w:before="0"/>
        <w:ind w:left="0"/>
      </w:pPr>
      <w:r>
        <w:rPr>
          <w:b/>
          <w:sz w:val="17"/>
        </w:rPr>
        <w:t>3. Duties, Tools, and Terminology</w:t>
        <w:tab/>
        <w:t>2</w:t>
      </w:r>
      <w:r>
        <w:rPr>
          <w:sz w:val="17"/>
        </w:rPr>
      </w:r>
    </w:p>
    <w:p>
      <w:pPr>
        <w:keepNext w:val="0"/>
        <w:keepLines w:val="0"/>
        <w:tabs>
          <w:tab w:pos="9288" w:val="right" w:leader="dot"/>
        </w:tabs>
        <w:spacing w:after="0" w:line="200" w:lineRule="exact" w:before="0"/>
        <w:ind w:left="403"/>
      </w:pPr>
      <w:r>
        <w:rPr>
          <w:b w:val="0"/>
          <w:sz w:val="17"/>
        </w:rPr>
        <w:t>Common duties</w:t>
        <w:tab/>
        <w:t>2</w:t>
      </w:r>
      <w:r>
        <w:rPr>
          <w:sz w:val="17"/>
        </w:rPr>
      </w:r>
    </w:p>
    <w:p>
      <w:pPr>
        <w:keepNext w:val="0"/>
        <w:keepLines w:val="0"/>
        <w:tabs>
          <w:tab w:pos="9288" w:val="right" w:leader="dot"/>
        </w:tabs>
        <w:spacing w:after="0" w:line="200" w:lineRule="exact" w:before="0"/>
        <w:ind w:left="403"/>
      </w:pPr>
      <w:r>
        <w:rPr>
          <w:b w:val="0"/>
          <w:sz w:val="17"/>
        </w:rPr>
        <w:t>Tools and records</w:t>
        <w:tab/>
        <w:t>2</w:t>
      </w:r>
      <w:r>
        <w:rPr>
          <w:sz w:val="17"/>
        </w:rPr>
      </w:r>
    </w:p>
    <w:p>
      <w:pPr>
        <w:keepNext w:val="0"/>
        <w:keepLines w:val="0"/>
        <w:tabs>
          <w:tab w:pos="9288" w:val="right" w:leader="dot"/>
        </w:tabs>
        <w:spacing w:after="0" w:line="200" w:lineRule="exact" w:before="0"/>
        <w:ind w:left="403"/>
      </w:pPr>
      <w:r>
        <w:rPr>
          <w:b w:val="0"/>
          <w:sz w:val="17"/>
        </w:rPr>
        <w:t>Definitions</w:t>
        <w:tab/>
        <w:t>2</w:t>
      </w:r>
      <w:r>
        <w:rPr>
          <w:sz w:val="17"/>
        </w:rPr>
      </w:r>
    </w:p>
    <w:p>
      <w:pPr>
        <w:keepNext w:val="0"/>
        <w:keepLines w:val="0"/>
        <w:tabs>
          <w:tab w:pos="9288" w:val="right" w:leader="dot"/>
        </w:tabs>
        <w:spacing w:after="0" w:line="200" w:lineRule="exact" w:before="0"/>
        <w:ind w:left="0"/>
      </w:pPr>
      <w:r>
        <w:rPr>
          <w:b/>
          <w:sz w:val="17"/>
        </w:rPr>
        <w:t>4. Fit, Accessibility, and Realistic Conditions</w:t>
        <w:tab/>
        <w:t>2</w:t>
      </w:r>
      <w:r>
        <w:rPr>
          <w:sz w:val="17"/>
        </w:rPr>
      </w:r>
    </w:p>
    <w:p>
      <w:pPr>
        <w:keepNext w:val="0"/>
        <w:keepLines w:val="0"/>
        <w:tabs>
          <w:tab w:pos="9288" w:val="right" w:leader="dot"/>
        </w:tabs>
        <w:spacing w:after="0" w:line="200" w:lineRule="exact" w:before="0"/>
        <w:ind w:left="403"/>
      </w:pPr>
      <w:r>
        <w:rPr>
          <w:b w:val="0"/>
          <w:sz w:val="17"/>
        </w:rPr>
        <w:t>Career-fit questions</w:t>
        <w:tab/>
        <w:t>2</w:t>
      </w:r>
      <w:r>
        <w:rPr>
          <w:sz w:val="17"/>
        </w:rPr>
      </w:r>
    </w:p>
    <w:p>
      <w:pPr>
        <w:keepNext w:val="0"/>
        <w:keepLines w:val="0"/>
        <w:tabs>
          <w:tab w:pos="9288" w:val="right" w:leader="dot"/>
        </w:tabs>
        <w:spacing w:after="0" w:line="200" w:lineRule="exact" w:before="0"/>
        <w:ind w:left="403"/>
      </w:pPr>
      <w:r>
        <w:rPr>
          <w:b w:val="0"/>
          <w:sz w:val="17"/>
        </w:rPr>
        <w:t>Accommodations and language access</w:t>
        <w:tab/>
        <w:t>2</w:t>
      </w:r>
      <w:r>
        <w:rPr>
          <w:sz w:val="17"/>
        </w:rPr>
      </w:r>
    </w:p>
    <w:p>
      <w:pPr>
        <w:keepNext w:val="0"/>
        <w:keepLines w:val="0"/>
        <w:tabs>
          <w:tab w:pos="9288" w:val="right" w:leader="dot"/>
        </w:tabs>
        <w:spacing w:after="0" w:line="200" w:lineRule="exact" w:before="0"/>
        <w:ind w:left="0"/>
      </w:pPr>
      <w:r>
        <w:rPr>
          <w:b/>
          <w:sz w:val="17"/>
        </w:rPr>
        <w:t>5. Ethics, Safety, Boundaries, and Escalation</w:t>
        <w:tab/>
        <w:t>2</w:t>
      </w:r>
      <w:r>
        <w:rPr>
          <w:sz w:val="17"/>
        </w:rPr>
      </w:r>
    </w:p>
    <w:p>
      <w:pPr>
        <w:keepNext w:val="0"/>
        <w:keepLines w:val="0"/>
        <w:tabs>
          <w:tab w:pos="9288" w:val="right" w:leader="dot"/>
        </w:tabs>
        <w:spacing w:after="0" w:line="200" w:lineRule="exact" w:before="0"/>
        <w:ind w:left="403"/>
      </w:pPr>
      <w:r>
        <w:rPr>
          <w:b w:val="0"/>
          <w:sz w:val="17"/>
        </w:rPr>
        <w:t>Scope and stop-work rules</w:t>
        <w:tab/>
        <w:t>2</w:t>
      </w:r>
      <w:r>
        <w:rPr>
          <w:sz w:val="17"/>
        </w:rPr>
      </w:r>
    </w:p>
    <w:p>
      <w:pPr>
        <w:keepNext w:val="0"/>
        <w:keepLines w:val="0"/>
        <w:tabs>
          <w:tab w:pos="9288" w:val="right" w:leader="dot"/>
        </w:tabs>
        <w:spacing w:after="0" w:line="200" w:lineRule="exact" w:before="0"/>
        <w:ind w:left="403"/>
      </w:pPr>
      <w:r>
        <w:rPr>
          <w:b w:val="0"/>
          <w:sz w:val="17"/>
        </w:rPr>
        <w:t>Health and psychological safety</w:t>
        <w:tab/>
        <w:t>2</w:t>
      </w:r>
      <w:r>
        <w:rPr>
          <w:sz w:val="17"/>
        </w:rPr>
      </w:r>
    </w:p>
    <w:p>
      <w:pPr>
        <w:keepNext w:val="0"/>
        <w:keepLines w:val="0"/>
        <w:tabs>
          <w:tab w:pos="9288" w:val="right" w:leader="dot"/>
        </w:tabs>
        <w:spacing w:after="0" w:line="200" w:lineRule="exact" w:before="0"/>
        <w:ind w:left="0"/>
      </w:pPr>
      <w:r>
        <w:rPr>
          <w:b/>
          <w:sz w:val="17"/>
        </w:rPr>
        <w:t>6. Pay, Benefits, and Labor-Market Research</w:t>
        <w:tab/>
        <w:t>2</w:t>
      </w:r>
      <w:r>
        <w:rPr>
          <w:sz w:val="17"/>
        </w:rPr>
      </w:r>
    </w:p>
    <w:p>
      <w:pPr>
        <w:keepNext w:val="0"/>
        <w:keepLines w:val="0"/>
        <w:tabs>
          <w:tab w:pos="9288" w:val="right" w:leader="dot"/>
        </w:tabs>
        <w:spacing w:after="0" w:line="200" w:lineRule="exact" w:before="0"/>
        <w:ind w:left="403"/>
      </w:pPr>
      <w:r>
        <w:rPr>
          <w:b w:val="0"/>
          <w:sz w:val="17"/>
        </w:rPr>
        <w:t>National starting point</w:t>
        <w:tab/>
        <w:t>2</w:t>
      </w:r>
      <w:r>
        <w:rPr>
          <w:sz w:val="17"/>
        </w:rPr>
      </w:r>
    </w:p>
    <w:p>
      <w:pPr>
        <w:keepNext w:val="0"/>
        <w:keepLines w:val="0"/>
        <w:tabs>
          <w:tab w:pos="9288" w:val="right" w:leader="dot"/>
        </w:tabs>
        <w:spacing w:after="0" w:line="200" w:lineRule="exact" w:before="0"/>
        <w:ind w:left="403"/>
      </w:pPr>
      <w:r>
        <w:rPr>
          <w:b w:val="0"/>
          <w:sz w:val="17"/>
        </w:rPr>
        <w:t>Local wage and benefit research</w:t>
        <w:tab/>
        <w:t>2</w:t>
      </w:r>
      <w:r>
        <w:rPr>
          <w:sz w:val="17"/>
        </w:rPr>
      </w:r>
    </w:p>
    <w:p>
      <w:pPr>
        <w:keepNext w:val="0"/>
        <w:keepLines w:val="0"/>
        <w:tabs>
          <w:tab w:pos="9288" w:val="right" w:leader="dot"/>
        </w:tabs>
        <w:spacing w:after="0" w:line="200" w:lineRule="exact" w:before="0"/>
        <w:ind w:left="0"/>
      </w:pPr>
      <w:r>
        <w:rPr>
          <w:b/>
          <w:sz w:val="17"/>
        </w:rPr>
        <w:t>7. Education, Schools, and Credentials</w:t>
        <w:tab/>
        <w:t>2</w:t>
      </w:r>
      <w:r>
        <w:rPr>
          <w:sz w:val="17"/>
        </w:rPr>
      </w:r>
    </w:p>
    <w:p>
      <w:pPr>
        <w:keepNext w:val="0"/>
        <w:keepLines w:val="0"/>
        <w:tabs>
          <w:tab w:pos="9288" w:val="right" w:leader="dot"/>
        </w:tabs>
        <w:spacing w:after="0" w:line="200" w:lineRule="exact" w:before="0"/>
        <w:ind w:left="403"/>
      </w:pPr>
      <w:r>
        <w:rPr>
          <w:b w:val="0"/>
          <w:sz w:val="17"/>
        </w:rPr>
        <w:t>Education pathway</w:t>
        <w:tab/>
        <w:t>2</w:t>
      </w:r>
      <w:r>
        <w:rPr>
          <w:sz w:val="17"/>
        </w:rPr>
      </w:r>
      <w:r>
        <w:rPr>
          <w:sz w:val="18"/>
        </w:rPr>
      </w:r>
    </w:p>
    <w:p>
      <w:pPr>
        <w:keepNext w:val="0"/>
        <w:keepLines w:val="0"/>
        <w:tabs>
          <w:tab w:pos="9288" w:val="right" w:leader="dot"/>
        </w:tabs>
        <w:spacing w:after="0" w:line="200" w:lineRule="exact" w:before="0"/>
        <w:ind w:left="403"/>
      </w:pPr>
      <w:r>
        <w:rPr>
          <w:b w:val="0"/>
          <w:sz w:val="17"/>
        </w:rPr>
        <w:t>School and credential verification</w:t>
        <w:tab/>
        <w:t>2</w:t>
      </w:r>
      <w:r>
        <w:rPr>
          <w:sz w:val="17"/>
        </w:rPr>
      </w:r>
    </w:p>
    <w:p>
      <w:pPr>
        <w:keepNext w:val="0"/>
        <w:keepLines w:val="0"/>
        <w:tabs>
          <w:tab w:pos="9288" w:val="right" w:leader="dot"/>
        </w:tabs>
        <w:spacing w:after="0" w:line="200" w:lineRule="exact" w:before="0"/>
        <w:ind w:left="0"/>
      </w:pPr>
      <w:r>
        <w:rPr>
          <w:b/>
          <w:sz w:val="17"/>
        </w:rPr>
        <w:t>8. Employer-Supported Learning</w:t>
        <w:tab/>
        <w:t>2</w:t>
      </w:r>
      <w:r>
        <w:rPr>
          <w:sz w:val="17"/>
        </w:rPr>
      </w:r>
    </w:p>
    <w:p>
      <w:pPr>
        <w:keepNext w:val="0"/>
        <w:keepLines w:val="0"/>
        <w:tabs>
          <w:tab w:pos="9288" w:val="right" w:leader="dot"/>
        </w:tabs>
        <w:spacing w:after="0" w:line="200" w:lineRule="exact" w:before="0"/>
        <w:ind w:left="403"/>
      </w:pPr>
      <w:r>
        <w:rPr>
          <w:b w:val="0"/>
          <w:sz w:val="17"/>
        </w:rPr>
        <w:t>Tuition assistance and repayment</w:t>
        <w:tab/>
        <w:t>2</w:t>
      </w:r>
      <w:r>
        <w:rPr>
          <w:sz w:val="17"/>
        </w:rPr>
      </w:r>
    </w:p>
    <w:p>
      <w:pPr>
        <w:keepNext w:val="0"/>
        <w:keepLines w:val="0"/>
        <w:tabs>
          <w:tab w:pos="9288" w:val="right" w:leader="dot"/>
        </w:tabs>
        <w:spacing w:after="0" w:line="200" w:lineRule="exact" w:before="0"/>
        <w:ind w:left="403"/>
      </w:pPr>
      <w:r>
        <w:rPr>
          <w:b w:val="0"/>
          <w:sz w:val="17"/>
        </w:rPr>
        <w:t>Internships, apprenticeships, and career ladders</w:t>
        <w:tab/>
        <w:t>2</w:t>
      </w:r>
      <w:r>
        <w:rPr>
          <w:sz w:val="17"/>
        </w:rPr>
      </w:r>
    </w:p>
    <w:p>
      <w:pPr>
        <w:keepNext w:val="0"/>
        <w:keepLines w:val="0"/>
        <w:tabs>
          <w:tab w:pos="9288" w:val="right" w:leader="dot"/>
        </w:tabs>
        <w:spacing w:after="0" w:line="200" w:lineRule="exact" w:before="0"/>
        <w:ind w:left="0"/>
      </w:pPr>
      <w:r>
        <w:rPr>
          <w:b/>
          <w:sz w:val="17"/>
        </w:rPr>
        <w:t>9. Worker Rights, Privacy, Cybersecurity, and Ethical AI</w:t>
        <w:tab/>
        <w:t>2</w:t>
      </w:r>
      <w:r>
        <w:rPr>
          <w:sz w:val="17"/>
        </w:rPr>
      </w:r>
    </w:p>
    <w:p>
      <w:pPr>
        <w:keepNext w:val="0"/>
        <w:keepLines w:val="0"/>
        <w:tabs>
          <w:tab w:pos="9288" w:val="right" w:leader="dot"/>
        </w:tabs>
        <w:spacing w:after="0" w:line="200" w:lineRule="exact" w:before="0"/>
        <w:ind w:left="403"/>
      </w:pPr>
      <w:r>
        <w:rPr>
          <w:b w:val="0"/>
          <w:sz w:val="17"/>
        </w:rPr>
        <w:t>Employment protections</w:t>
        <w:tab/>
        <w:t>2</w:t>
      </w:r>
      <w:r>
        <w:rPr>
          <w:sz w:val="17"/>
        </w:rPr>
      </w:r>
    </w:p>
    <w:p>
      <w:pPr>
        <w:keepNext w:val="0"/>
        <w:keepLines w:val="0"/>
        <w:tabs>
          <w:tab w:pos="9288" w:val="right" w:leader="dot"/>
        </w:tabs>
        <w:spacing w:after="0" w:line="200" w:lineRule="exact" w:before="0"/>
        <w:ind w:left="403"/>
      </w:pPr>
      <w:r>
        <w:rPr>
          <w:b w:val="0"/>
          <w:sz w:val="17"/>
        </w:rPr>
        <w:t>Responsible technology</w:t>
        <w:tab/>
        <w:t>2</w:t>
      </w:r>
      <w:r>
        <w:rPr>
          <w:sz w:val="17"/>
        </w:rPr>
      </w:r>
    </w:p>
    <w:p>
      <w:pPr>
        <w:keepNext w:val="0"/>
        <w:keepLines w:val="0"/>
        <w:tabs>
          <w:tab w:pos="9288" w:val="right" w:leader="dot"/>
        </w:tabs>
        <w:spacing w:after="0" w:line="200" w:lineRule="exact" w:before="0"/>
        <w:ind w:left="0"/>
      </w:pPr>
      <w:r>
        <w:rPr>
          <w:b/>
          <w:sz w:val="17"/>
        </w:rPr>
        <w:t>10. Build Evidence and Apply</w:t>
        <w:tab/>
        <w:t>2</w:t>
      </w:r>
      <w:r>
        <w:rPr>
          <w:sz w:val="17"/>
        </w:rPr>
      </w:r>
    </w:p>
    <w:p>
      <w:pPr>
        <w:keepNext w:val="0"/>
        <w:keepLines w:val="0"/>
        <w:tabs>
          <w:tab w:pos="9288" w:val="right" w:leader="dot"/>
        </w:tabs>
        <w:spacing w:after="0" w:line="200" w:lineRule="exact" w:before="0"/>
        <w:ind w:left="403"/>
      </w:pPr>
      <w:r>
        <w:rPr>
          <w:b w:val="0"/>
          <w:sz w:val="17"/>
        </w:rPr>
        <w:t>Ethical portfolio evidence</w:t>
        <w:tab/>
        <w:t>2</w:t>
      </w:r>
      <w:r>
        <w:rPr>
          <w:sz w:val="17"/>
        </w:rPr>
      </w:r>
    </w:p>
    <w:p>
      <w:pPr>
        <w:keepNext w:val="0"/>
        <w:keepLines w:val="0"/>
        <w:tabs>
          <w:tab w:pos="9288" w:val="right" w:leader="dot"/>
        </w:tabs>
        <w:spacing w:after="0" w:line="200" w:lineRule="exact" w:before="0"/>
        <w:ind w:left="403"/>
      </w:pPr>
      <w:r>
        <w:rPr>
          <w:b w:val="0"/>
          <w:sz w:val="17"/>
        </w:rPr>
        <w:t>Résumé and interview preparation</w:t>
        <w:tab/>
        <w:t>2</w:t>
      </w:r>
      <w:r>
        <w:rPr>
          <w:sz w:val="17"/>
        </w:rPr>
      </w:r>
    </w:p>
    <w:p>
      <w:pPr>
        <w:keepNext w:val="0"/>
        <w:keepLines w:val="0"/>
        <w:tabs>
          <w:tab w:pos="9288" w:val="right" w:leader="dot"/>
        </w:tabs>
        <w:spacing w:after="0" w:line="200" w:lineRule="exact" w:before="0"/>
        <w:ind w:left="0"/>
      </w:pPr>
      <w:r>
        <w:rPr>
          <w:b/>
          <w:sz w:val="17"/>
        </w:rPr>
        <w:t>11. Advancement, Portability, and Exit Planning</w:t>
        <w:tab/>
        <w:t>2</w:t>
      </w:r>
      <w:r>
        <w:rPr>
          <w:sz w:val="17"/>
        </w:rPr>
      </w:r>
    </w:p>
    <w:p>
      <w:pPr>
        <w:keepNext w:val="0"/>
        <w:keepLines w:val="0"/>
        <w:tabs>
          <w:tab w:pos="9288" w:val="right" w:leader="dot"/>
        </w:tabs>
        <w:spacing w:after="0" w:line="200" w:lineRule="exact" w:before="0"/>
        <w:ind w:left="403"/>
      </w:pPr>
      <w:r>
        <w:rPr>
          <w:b w:val="0"/>
          <w:sz w:val="17"/>
        </w:rPr>
        <w:t>Career ladder</w:t>
        <w:tab/>
        <w:t>2</w:t>
      </w:r>
      <w:r>
        <w:rPr>
          <w:sz w:val="17"/>
        </w:rPr>
      </w:r>
    </w:p>
    <w:p>
      <w:pPr>
        <w:keepNext w:val="0"/>
        <w:keepLines w:val="0"/>
        <w:tabs>
          <w:tab w:pos="9288" w:val="right" w:leader="dot"/>
        </w:tabs>
        <w:spacing w:after="0" w:line="200" w:lineRule="exact" w:before="0"/>
        <w:ind w:left="403"/>
      </w:pPr>
      <w:r>
        <w:rPr>
          <w:b w:val="0"/>
          <w:sz w:val="17"/>
        </w:rPr>
        <w:t>Exit and transfer options</w:t>
        <w:tab/>
        <w:t>2</w:t>
      </w:r>
      <w:r>
        <w:rPr>
          <w:sz w:val="17"/>
        </w:rPr>
      </w:r>
    </w:p>
    <w:p>
      <w:pPr>
        <w:keepNext w:val="0"/>
        <w:keepLines w:val="0"/>
        <w:tabs>
          <w:tab w:pos="9288" w:val="right" w:leader="dot"/>
        </w:tabs>
        <w:spacing w:after="0" w:line="200" w:lineRule="exact" w:before="0"/>
        <w:ind w:left="0"/>
      </w:pPr>
      <w:r>
        <w:rPr>
          <w:b/>
          <w:sz w:val="17"/>
        </w:rPr>
        <w:t>12. Before You Enroll or Sign</w:t>
        <w:tab/>
        <w:t>2</w:t>
      </w:r>
      <w:r>
        <w:rPr>
          <w:sz w:val="17"/>
        </w:rPr>
      </w:r>
    </w:p>
    <w:p>
      <w:pPr>
        <w:keepNext w:val="0"/>
        <w:keepLines w:val="0"/>
        <w:tabs>
          <w:tab w:pos="9288" w:val="right" w:leader="dot"/>
        </w:tabs>
        <w:spacing w:after="0" w:line="200" w:lineRule="exact" w:before="0"/>
        <w:ind w:left="403"/>
      </w:pPr>
      <w:r>
        <w:rPr>
          <w:b w:val="0"/>
          <w:sz w:val="17"/>
        </w:rPr>
        <w:t>Verification checklist</w:t>
        <w:tab/>
        <w:t>2</w:t>
      </w:r>
      <w:r>
        <w:rPr>
          <w:sz w:val="17"/>
        </w:rPr>
      </w:r>
    </w:p>
    <w:p>
      <w:pPr>
        <w:keepNext w:val="0"/>
        <w:keepLines w:val="0"/>
        <w:tabs>
          <w:tab w:pos="9288" w:val="right" w:leader="dot"/>
        </w:tabs>
        <w:spacing w:after="0" w:line="200" w:lineRule="exact" w:before="0"/>
        <w:ind w:left="0"/>
      </w:pPr>
      <w:r>
        <w:rPr>
          <w:b/>
          <w:sz w:val="17"/>
        </w:rPr>
        <w:t>13. Twelve-Week Action Plan</w:t>
        <w:tab/>
        <w:t>2</w:t>
      </w:r>
      <w:r>
        <w:rPr>
          <w:sz w:val="17"/>
        </w:rPr>
      </w:r>
    </w:p>
    <w:p>
      <w:pPr>
        <w:keepNext w:val="0"/>
        <w:keepLines w:val="0"/>
        <w:tabs>
          <w:tab w:pos="9288" w:val="right" w:leader="dot"/>
        </w:tabs>
        <w:spacing w:after="0" w:line="200" w:lineRule="exact" w:before="0"/>
        <w:ind w:left="403"/>
      </w:pPr>
      <w:r>
        <w:rPr>
          <w:b w:val="0"/>
          <w:sz w:val="17"/>
        </w:rPr>
        <w:t>Sequential plan</w:t>
        <w:tab/>
        <w:t>2</w:t>
      </w:r>
      <w:r>
        <w:rPr>
          <w:sz w:val="17"/>
        </w:rPr>
      </w:r>
    </w:p>
    <w:p>
      <w:pPr>
        <w:keepNext w:val="0"/>
        <w:keepLines w:val="0"/>
        <w:tabs>
          <w:tab w:pos="9288" w:val="right" w:leader="dot"/>
        </w:tabs>
        <w:spacing w:after="0" w:line="200" w:lineRule="exact" w:before="0"/>
        <w:ind w:left="0"/>
      </w:pPr>
      <w:r>
        <w:rPr>
          <w:b/>
          <w:sz w:val="17"/>
        </w:rPr>
        <w:t>14. Worksheets</w:t>
        <w:tab/>
        <w:t>2</w:t>
      </w:r>
      <w:r>
        <w:rPr>
          <w:sz w:val="17"/>
        </w:rPr>
      </w:r>
    </w:p>
    <w:p>
      <w:pPr>
        <w:keepNext w:val="0"/>
        <w:keepLines w:val="0"/>
        <w:tabs>
          <w:tab w:pos="9288" w:val="right" w:leader="dot"/>
        </w:tabs>
        <w:spacing w:after="0" w:line="200" w:lineRule="exact" w:before="0"/>
        <w:ind w:left="403"/>
      </w:pPr>
      <w:r>
        <w:rPr>
          <w:b w:val="0"/>
          <w:sz w:val="17"/>
        </w:rPr>
        <w:t>Career fit</w:t>
        <w:tab/>
        <w:t>2</w:t>
      </w:r>
      <w:r>
        <w:rPr>
          <w:sz w:val="17"/>
        </w:rPr>
      </w:r>
    </w:p>
    <w:p>
      <w:pPr>
        <w:keepNext w:val="0"/>
        <w:keepLines w:val="0"/>
        <w:tabs>
          <w:tab w:pos="9288" w:val="right" w:leader="dot"/>
        </w:tabs>
        <w:spacing w:after="0" w:line="200" w:lineRule="exact" w:before="0"/>
        <w:ind w:left="403"/>
      </w:pPr>
      <w:r>
        <w:rPr>
          <w:b w:val="0"/>
          <w:sz w:val="17"/>
        </w:rPr>
        <w:t>Education cost and employer agreement</w:t>
        <w:tab/>
        <w:t>2</w:t>
      </w:r>
      <w:r>
        <w:rPr>
          <w:sz w:val="17"/>
        </w:rPr>
      </w:r>
    </w:p>
    <w:p>
      <w:pPr>
        <w:keepNext w:val="0"/>
        <w:keepLines w:val="0"/>
        <w:tabs>
          <w:tab w:pos="9288" w:val="right" w:leader="dot"/>
        </w:tabs>
        <w:spacing w:after="0" w:line="200" w:lineRule="exact" w:before="0"/>
        <w:ind w:left="0"/>
      </w:pPr>
      <w:r>
        <w:rPr>
          <w:b/>
          <w:sz w:val="17"/>
        </w:rPr>
        <w:t>15. Sources, Versioning, and Maintenance</w:t>
        <w:tab/>
        <w:t>2</w:t>
      </w:r>
      <w:r>
        <w:rPr>
          <w:sz w:val="17"/>
        </w:rPr>
      </w:r>
    </w:p>
    <w:p>
      <w:pPr>
        <w:keepNext w:val="0"/>
        <w:keepLines w:val="0"/>
        <w:tabs>
          <w:tab w:pos="9288" w:val="right" w:leader="dot"/>
        </w:tabs>
        <w:spacing w:after="0" w:line="200" w:lineRule="exact" w:before="0"/>
        <w:ind w:left="403"/>
      </w:pPr>
      <w:r>
        <w:rPr>
          <w:b w:val="0"/>
          <w:sz w:val="17"/>
        </w:rPr>
        <w:t>Official starting sources</w:t>
        <w:tab/>
        <w:t>2</w:t>
      </w:r>
      <w:r>
        <w:rPr>
          <w:sz w:val="17"/>
        </w:rPr>
      </w:r>
    </w:p>
    <w:p>
      <w:pPr>
        <w:keepNext w:val="0"/>
        <w:keepLines w:val="0"/>
        <w:tabs>
          <w:tab w:pos="9288" w:val="right" w:leader="dot"/>
        </w:tabs>
        <w:spacing w:after="0" w:line="200" w:lineRule="exact" w:before="0"/>
        <w:ind w:left="403"/>
      </w:pPr>
      <w:r>
        <w:rPr>
          <w:b w:val="0"/>
          <w:sz w:val="17"/>
        </w:rPr>
        <w:t>Release and correction policy</w:t>
        <w:tab/>
        <w:t>2</w:t>
      </w:r>
      <w:r>
        <w:rPr>
          <w:sz w:val="17"/>
        </w:rPr>
      </w:r>
      <w:r>
        <w:rPr>
          <w:sz w:val="18"/>
        </w:rPr>
      </w:r>
    </w:p>
    <w:p>
      <w:pPr>
        <w:pStyle w:val="Heading1"/>
        <w:keepNext/>
      </w:pPr>
      <w:r>
        <w:t>1. How to Use This Guide</w:t>
      </w:r>
    </w:p>
    <w:p>
      <w:pPr>
        <w:pStyle w:val="Heading2"/>
        <w:keepNext/>
      </w:pPr>
      <w:r>
        <w:t>A careful decision process</w:t>
      </w:r>
    </w:p>
    <w:p>
      <w:pPr>
        <w:pStyle w:val="ListBullet"/>
        <w:spacing w:before="0" w:after="20" w:line="240" w:lineRule="auto"/>
        <w:ind w:left="403" w:hanging="259"/>
      </w:pPr>
      <w:r>
        <w:t>Begin with the work, not the school.</w:t>
      </w:r>
    </w:p>
    <w:p>
      <w:pPr>
        <w:pStyle w:val="ListBullet"/>
        <w:spacing w:before="0" w:after="20" w:line="240" w:lineRule="auto"/>
        <w:ind w:left="403" w:hanging="259"/>
      </w:pPr>
      <w:r>
        <w:t>Verify local requirements before paying.</w:t>
      </w:r>
    </w:p>
    <w:p>
      <w:pPr>
        <w:pStyle w:val="ListBullet"/>
        <w:spacing w:before="0" w:after="20" w:line="240" w:lineRule="auto"/>
        <w:ind w:left="403" w:hanging="259"/>
      </w:pPr>
      <w:r>
        <w:t>Test interest with safe, public, fictional, or supervised activities.</w:t>
      </w:r>
    </w:p>
    <w:p>
      <w:pPr>
        <w:pStyle w:val="ListBullet"/>
        <w:spacing w:before="0" w:after="20" w:line="240" w:lineRule="auto"/>
        <w:ind w:left="403" w:hanging="259"/>
      </w:pPr>
      <w:r>
        <w:t>Keep written records of costs, promises, accommodations, credentials, and repayment terms.</w:t>
      </w:r>
    </w:p>
    <w:p>
      <w:pPr>
        <w:pStyle w:val="ListBullet"/>
        <w:spacing w:before="0" w:after="20" w:line="240" w:lineRule="auto"/>
        <w:ind w:left="403" w:hanging="259"/>
      </w:pPr>
      <w:r>
        <w:t>Pause when a major safety, debt, licensing, accessibility, family, or transportation concern is unresolved.</w:t>
      </w:r>
    </w:p>
    <w:p>
      <w:pPr>
        <w:pStyle w:val="Heading1"/>
        <w:keepNext/>
      </w:pPr>
      <w:r>
        <w:t>2. What the Work Involves</w:t>
      </w:r>
    </w:p>
    <w:p>
      <w:pPr>
        <w:pStyle w:val="Heading2"/>
        <w:keepNext/>
      </w:pPr>
      <w:r>
        <w:t>Core purpose and work settings</w:t>
      </w:r>
    </w:p>
    <w:p>
      <w:pPr/>
      <w:r>
        <w:t>Food service manager trainees and restaurant supervisors coordinate people, food safety, service, cash, inventory, schedules, and customer recovery while developing management competence.</w:t>
      </w:r>
    </w:p>
    <w:tbl>
      <w:tblPr>
        <w:tblStyle w:val="TableGrid"/>
        <w:tblW w:type="auto" w:w="0"/>
        <w:jc w:val="center"/>
        <w:tblLayout w:type="autofit"/>
        <w:tblLook w:firstColumn="1" w:firstRow="1" w:lastColumn="0" w:lastRow="0" w:noHBand="0" w:noVBand="1" w:val="04A0"/>
      </w:tblPr>
      <w:tblGrid>
        <w:gridCol w:w="10166"/>
      </w:tblGrid>
      <w:tr>
        <w:trPr>
          <w:tblHeader w:val="true"/>
        </w:trPr>
        <w:tc>
          <w:tcPr>
            <w:tcW w:type="dxa" w:w="10166"/>
            <w:shd w:fill="D9EAF7"/>
            <w:vAlign w:val="top"/>
          </w:tcPr>
          <w:p>
            <w:pPr>
              <w:spacing w:after="20" w:before="0" w:line="240" w:lineRule="auto"/>
            </w:pPr>
            <w:r>
              <w:rPr>
                <w:b/>
                <w:sz w:val="17"/>
              </w:rPr>
              <w:t>Common work settings</w:t>
            </w:r>
          </w:p>
        </w:tc>
      </w:tr>
      <w:tr>
        <w:trPr/>
        <w:tc>
          <w:tcPr>
            <w:tcW w:type="dxa" w:w="10166"/>
            <w:vAlign w:val="top"/>
          </w:tcPr>
          <w:p>
            <w:pPr>
              <w:spacing w:after="20" w:before="0" w:line="240" w:lineRule="auto"/>
            </w:pPr>
            <w:r>
              <w:rPr>
                <w:sz w:val="17"/>
              </w:rPr>
              <w:t>restaurants and cafes</w:t>
            </w:r>
          </w:p>
        </w:tc>
      </w:tr>
      <w:tr>
        <w:trPr/>
        <w:tc>
          <w:tcPr>
            <w:tcW w:type="dxa" w:w="10166"/>
            <w:vAlign w:val="top"/>
          </w:tcPr>
          <w:p>
            <w:pPr>
              <w:spacing w:after="20" w:before="0" w:line="240" w:lineRule="auto"/>
            </w:pPr>
            <w:r>
              <w:rPr>
                <w:sz w:val="17"/>
              </w:rPr>
              <w:t>institutional food service</w:t>
            </w:r>
          </w:p>
        </w:tc>
      </w:tr>
      <w:tr>
        <w:trPr/>
        <w:tc>
          <w:tcPr>
            <w:tcW w:type="dxa" w:w="10166"/>
            <w:vAlign w:val="top"/>
          </w:tcPr>
          <w:p>
            <w:pPr>
              <w:spacing w:after="20" w:before="0" w:line="240" w:lineRule="auto"/>
            </w:pPr>
            <w:r>
              <w:rPr>
                <w:sz w:val="17"/>
              </w:rPr>
              <w:t>hotels and resorts</w:t>
            </w:r>
          </w:p>
        </w:tc>
      </w:tr>
      <w:tr>
        <w:trPr/>
        <w:tc>
          <w:tcPr>
            <w:tcW w:type="dxa" w:w="10166"/>
            <w:vAlign w:val="top"/>
          </w:tcPr>
          <w:p>
            <w:pPr>
              <w:spacing w:after="20" w:before="0" w:line="240" w:lineRule="auto"/>
            </w:pPr>
            <w:r>
              <w:rPr>
                <w:sz w:val="17"/>
              </w:rPr>
              <w:t>schools and healthcare facilities</w:t>
            </w:r>
          </w:p>
        </w:tc>
      </w:tr>
      <w:tr>
        <w:trPr/>
        <w:tc>
          <w:tcPr>
            <w:tcW w:type="dxa" w:w="10166"/>
            <w:vAlign w:val="top"/>
          </w:tcPr>
          <w:p>
            <w:pPr>
              <w:spacing w:after="20" w:before="0" w:line="240" w:lineRule="auto"/>
            </w:pPr>
            <w:r>
              <w:rPr>
                <w:sz w:val="17"/>
              </w:rPr>
              <w:t>catering and contract food-service operations</w:t>
            </w:r>
          </w:p>
        </w:tc>
      </w:tr>
    </w:tbl>
    <w:p>
      <w:pPr>
        <w:pStyle w:val="Heading2"/>
        <w:keepNext/>
      </w:pPr>
      <w:r>
        <w:t>Daily, weekly, and high-consequence work</w:t>
      </w:r>
    </w:p>
    <w:p>
      <w:pPr>
        <w:pStyle w:val="ListBullet"/>
        <w:spacing w:before="0" w:after="20" w:line="240" w:lineRule="auto"/>
        <w:ind w:left="403" w:hanging="259"/>
      </w:pPr>
      <w:r>
        <w:t>Open, close, and hand over operations using checklists.</w:t>
      </w:r>
    </w:p>
    <w:p>
      <w:pPr>
        <w:pStyle w:val="ListBullet"/>
        <w:spacing w:before="0" w:after="20" w:line="240" w:lineRule="auto"/>
        <w:ind w:left="403" w:hanging="259"/>
      </w:pPr>
      <w:r>
        <w:t>Assign stations and adjust staffing during demand changes.</w:t>
      </w:r>
    </w:p>
    <w:p>
      <w:pPr>
        <w:pStyle w:val="ListBullet"/>
        <w:spacing w:before="0" w:after="20" w:line="240" w:lineRule="auto"/>
        <w:ind w:left="403" w:hanging="259"/>
      </w:pPr>
      <w:r>
        <w:t>Monitor food safety, sanitation, allergens, quality, and service.</w:t>
      </w:r>
    </w:p>
    <w:p>
      <w:pPr>
        <w:pStyle w:val="ListBullet"/>
        <w:spacing w:before="0" w:after="20" w:line="240" w:lineRule="auto"/>
        <w:ind w:left="403" w:hanging="259"/>
      </w:pPr>
      <w:r>
        <w:t>Resolve customer concerns within authority.</w:t>
      </w:r>
    </w:p>
    <w:p>
      <w:pPr>
        <w:pStyle w:val="ListBullet"/>
        <w:spacing w:before="0" w:after="20" w:line="240" w:lineRule="auto"/>
        <w:ind w:left="403" w:hanging="259"/>
      </w:pPr>
      <w:r>
        <w:t>Control cash, discounts, voids, inventory, waste, and purchasing records.</w:t>
      </w:r>
    </w:p>
    <w:p>
      <w:pPr>
        <w:pStyle w:val="ListBullet"/>
        <w:spacing w:before="0" w:after="20" w:line="240" w:lineRule="auto"/>
        <w:ind w:left="403" w:hanging="259"/>
      </w:pPr>
      <w:r>
        <w:t>Coach employees and document training or performance concerns.</w:t>
      </w:r>
    </w:p>
    <w:p>
      <w:pPr>
        <w:pStyle w:val="ListBullet"/>
        <w:spacing w:before="0" w:after="20" w:line="240" w:lineRule="auto"/>
        <w:ind w:left="403" w:hanging="259"/>
      </w:pPr>
      <w:r>
        <w:t>Respond to injuries, equipment failures, utility loss, and suspected contamination.</w:t>
      </w:r>
    </w:p>
    <w:p>
      <w:pPr/>
      <w:r>
        <w:t>A realistic week also includes documentation, supply or schedule problems, communication, quality checks, and follow-up. High-consequence decisions should follow written procedures and timely escalation.</w:t>
      </w:r>
    </w:p>
    <w:p>
      <w:pPr>
        <w:pStyle w:val="Heading1"/>
        <w:keepNext/>
      </w:pPr>
      <w:r>
        <w:t>3. Duties, Tools, and Terminology</w:t>
      </w:r>
    </w:p>
    <w:p>
      <w:pPr>
        <w:pStyle w:val="Heading2"/>
        <w:keepNext/>
      </w:pPr>
      <w:r>
        <w:t>Common duties</w:t>
      </w:r>
    </w:p>
    <w:p>
      <w:pPr>
        <w:pStyle w:val="ListBullet"/>
        <w:spacing w:before="0" w:after="20" w:line="240" w:lineRule="auto"/>
        <w:ind w:left="403" w:hanging="259"/>
      </w:pPr>
      <w:r>
        <w:t>Open, close, and hand over operations using checklists.</w:t>
      </w:r>
    </w:p>
    <w:p>
      <w:pPr>
        <w:pStyle w:val="ListBullet"/>
        <w:spacing w:before="0" w:after="20" w:line="240" w:lineRule="auto"/>
        <w:ind w:left="403" w:hanging="259"/>
      </w:pPr>
      <w:r>
        <w:t>Assign stations and adjust staffing during demand changes.</w:t>
      </w:r>
    </w:p>
    <w:p>
      <w:pPr>
        <w:pStyle w:val="ListBullet"/>
        <w:spacing w:before="0" w:after="20" w:line="240" w:lineRule="auto"/>
        <w:ind w:left="403" w:hanging="259"/>
      </w:pPr>
      <w:r>
        <w:t>Monitor food safety, sanitation, allergens, quality, and service.</w:t>
      </w:r>
    </w:p>
    <w:p>
      <w:pPr>
        <w:pStyle w:val="ListBullet"/>
        <w:spacing w:before="0" w:after="20" w:line="240" w:lineRule="auto"/>
        <w:ind w:left="403" w:hanging="259"/>
      </w:pPr>
      <w:r>
        <w:t>Resolve customer concerns within authority.</w:t>
      </w:r>
    </w:p>
    <w:p>
      <w:pPr>
        <w:pStyle w:val="ListBullet"/>
        <w:spacing w:before="0" w:after="20" w:line="240" w:lineRule="auto"/>
        <w:ind w:left="403" w:hanging="259"/>
      </w:pPr>
      <w:r>
        <w:t>Control cash, discounts, voids, inventory, waste, and purchasing records.</w:t>
      </w:r>
    </w:p>
    <w:p>
      <w:pPr>
        <w:pStyle w:val="ListBullet"/>
        <w:spacing w:before="0" w:after="20" w:line="240" w:lineRule="auto"/>
        <w:ind w:left="403" w:hanging="259"/>
      </w:pPr>
      <w:r>
        <w:t>Coach employees and document training or performance concerns.</w:t>
      </w:r>
    </w:p>
    <w:p>
      <w:pPr>
        <w:pStyle w:val="ListBullet"/>
        <w:spacing w:before="0" w:after="20" w:line="240" w:lineRule="auto"/>
        <w:ind w:left="403" w:hanging="259"/>
      </w:pPr>
      <w:r>
        <w:t>Respond to injuries, equipment failures, utility loss, and suspected contamination.</w:t>
      </w:r>
    </w:p>
    <w:p>
      <w:pPr>
        <w:pStyle w:val="Heading2"/>
        <w:keepNext/>
      </w:pPr>
      <w:r>
        <w:t>Tools and records</w:t>
      </w:r>
    </w:p>
    <w:p>
      <w:pPr>
        <w:pStyle w:val="ListBullet"/>
        <w:spacing w:before="0" w:after="20" w:line="240" w:lineRule="auto"/>
        <w:ind w:left="403" w:hanging="259"/>
      </w:pPr>
      <w:r>
        <w:t>Point-of-sale and scheduling systems.</w:t>
      </w:r>
    </w:p>
    <w:p>
      <w:pPr>
        <w:pStyle w:val="ListBullet"/>
        <w:spacing w:before="0" w:after="20" w:line="240" w:lineRule="auto"/>
        <w:ind w:left="403" w:hanging="259"/>
      </w:pPr>
      <w:r>
        <w:t>Temperature, sanitation, and allergen logs.</w:t>
      </w:r>
    </w:p>
    <w:p>
      <w:pPr>
        <w:pStyle w:val="ListBullet"/>
        <w:spacing w:before="0" w:after="20" w:line="240" w:lineRule="auto"/>
        <w:ind w:left="403" w:hanging="259"/>
      </w:pPr>
      <w:r>
        <w:t>Inventory and purchasing systems.</w:t>
      </w:r>
    </w:p>
    <w:p>
      <w:pPr>
        <w:pStyle w:val="ListBullet"/>
        <w:spacing w:before="0" w:after="20" w:line="240" w:lineRule="auto"/>
        <w:ind w:left="403" w:hanging="259"/>
      </w:pPr>
      <w:r>
        <w:t>Cash-control and incident records.</w:t>
      </w:r>
    </w:p>
    <w:p>
      <w:pPr>
        <w:pStyle w:val="ListBullet"/>
        <w:spacing w:before="0" w:after="20" w:line="240" w:lineRule="auto"/>
        <w:ind w:left="403" w:hanging="259"/>
      </w:pPr>
      <w:r>
        <w:t>Food-safety equipment and personal protective supplies.</w:t>
      </w:r>
    </w:p>
    <w:p>
      <w:pPr>
        <w:pStyle w:val="Heading2"/>
        <w:keepNext/>
      </w:pPr>
      <w:r>
        <w:t>Definitions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Term</w:t>
            </w:r>
          </w:p>
        </w:tc>
        <w:tc>
          <w:tcPr>
            <w:tcW w:type="dxa" w:w="5083"/>
            <w:shd w:fill="D9EAF7"/>
            <w:vAlign w:val="top"/>
          </w:tcPr>
          <w:p>
            <w:pPr>
              <w:spacing w:after="20" w:before="0" w:line="240" w:lineRule="auto"/>
            </w:pPr>
            <w:r>
              <w:rPr>
                <w:b/>
                <w:sz w:val="17"/>
              </w:rPr>
              <w:t>Plain-language meaning</w:t>
            </w:r>
          </w:p>
        </w:tc>
      </w:tr>
      <w:tr>
        <w:trPr/>
        <w:tc>
          <w:tcPr>
            <w:tcW w:type="dxa" w:w="5083"/>
            <w:vAlign w:val="top"/>
          </w:tcPr>
          <w:p>
            <w:pPr>
              <w:spacing w:after="20" w:before="0" w:line="240" w:lineRule="auto"/>
            </w:pPr>
            <w:r>
              <w:rPr>
                <w:sz w:val="17"/>
              </w:rPr>
              <w:t>Scope of role</w:t>
            </w:r>
          </w:p>
        </w:tc>
        <w:tc>
          <w:tcPr>
            <w:tcW w:type="dxa" w:w="5083"/>
            <w:vAlign w:val="top"/>
          </w:tcPr>
          <w:p>
            <w:pPr>
              <w:spacing w:after="20" w:before="0" w:line="240" w:lineRule="auto"/>
            </w:pPr>
            <w:r>
              <w:rPr>
                <w:sz w:val="17"/>
              </w:rPr>
              <w:t>The tasks a worker is educated, authorized, supervised, and legally permitted to perform.</w:t>
            </w:r>
          </w:p>
        </w:tc>
      </w:tr>
      <w:tr>
        <w:trPr/>
        <w:tc>
          <w:tcPr>
            <w:tcW w:type="dxa" w:w="5083"/>
            <w:vAlign w:val="top"/>
          </w:tcPr>
          <w:p>
            <w:pPr>
              <w:spacing w:after="20" w:before="0" w:line="240" w:lineRule="auto"/>
            </w:pPr>
            <w:r>
              <w:rPr>
                <w:sz w:val="17"/>
              </w:rPr>
              <w:t>Competency</w:t>
            </w:r>
          </w:p>
        </w:tc>
        <w:tc>
          <w:tcPr>
            <w:tcW w:type="dxa" w:w="5083"/>
            <w:vAlign w:val="top"/>
          </w:tcPr>
          <w:p>
            <w:pPr>
              <w:spacing w:after="20" w:before="0" w:line="240" w:lineRule="auto"/>
            </w:pPr>
            <w:r>
              <w:rPr>
                <w:sz w:val="17"/>
              </w:rPr>
              <w:t>Demonstrated ability to perform a task safely and correctly, not merely attendance at training.</w:t>
            </w:r>
          </w:p>
        </w:tc>
      </w:tr>
      <w:tr>
        <w:trPr/>
        <w:tc>
          <w:tcPr>
            <w:tcW w:type="dxa" w:w="5083"/>
            <w:vAlign w:val="top"/>
          </w:tcPr>
          <w:p>
            <w:pPr>
              <w:spacing w:after="20" w:before="0" w:line="240" w:lineRule="auto"/>
            </w:pPr>
            <w:r>
              <w:rPr>
                <w:sz w:val="17"/>
              </w:rPr>
              <w:t>Escalation</w:t>
            </w:r>
          </w:p>
        </w:tc>
        <w:tc>
          <w:tcPr>
            <w:tcW w:type="dxa" w:w="5083"/>
            <w:vAlign w:val="top"/>
          </w:tcPr>
          <w:p>
            <w:pPr>
              <w:spacing w:after="20" w:before="0" w:line="240" w:lineRule="auto"/>
            </w:pPr>
            <w:r>
              <w:rPr>
                <w:sz w:val="17"/>
              </w:rPr>
              <w:t>Promptly bringing a concern to a person with authority or expertise to act.</w:t>
            </w:r>
          </w:p>
        </w:tc>
      </w:tr>
      <w:tr>
        <w:trPr/>
        <w:tc>
          <w:tcPr>
            <w:tcW w:type="dxa" w:w="5083"/>
            <w:vAlign w:val="top"/>
          </w:tcPr>
          <w:p>
            <w:pPr>
              <w:spacing w:after="20" w:before="0" w:line="240" w:lineRule="auto"/>
            </w:pPr>
            <w:r>
              <w:rPr>
                <w:sz w:val="17"/>
              </w:rPr>
              <w:t>Documentation</w:t>
            </w:r>
          </w:p>
        </w:tc>
        <w:tc>
          <w:tcPr>
            <w:tcW w:type="dxa" w:w="5083"/>
            <w:vAlign w:val="top"/>
          </w:tcPr>
          <w:p>
            <w:pPr>
              <w:spacing w:after="20" w:before="0" w:line="240" w:lineRule="auto"/>
            </w:pPr>
            <w:r>
              <w:rPr>
                <w:sz w:val="17"/>
              </w:rPr>
              <w:t>A timely, accurate record of work, observations, decisions, and follow-up.</w:t>
            </w:r>
          </w:p>
        </w:tc>
      </w:tr>
      <w:tr>
        <w:trPr/>
        <w:tc>
          <w:tcPr>
            <w:tcW w:type="dxa" w:w="5083"/>
            <w:vAlign w:val="top"/>
          </w:tcPr>
          <w:p>
            <w:pPr>
              <w:spacing w:after="20" w:before="0" w:line="240" w:lineRule="auto"/>
            </w:pPr>
            <w:r>
              <w:rPr>
                <w:sz w:val="17"/>
              </w:rPr>
              <w:t>Credential portability</w:t>
            </w:r>
          </w:p>
        </w:tc>
        <w:tc>
          <w:tcPr>
            <w:tcW w:type="dxa" w:w="5083"/>
            <w:vAlign w:val="top"/>
          </w:tcPr>
          <w:p>
            <w:pPr>
              <w:spacing w:after="20" w:before="0" w:line="240" w:lineRule="auto"/>
            </w:pPr>
            <w:r>
              <w:rPr>
                <w:sz w:val="17"/>
              </w:rPr>
              <w:t>Whether a certificate, license, credit, or documented work hour is recognized by other employers or jurisdictions.</w:t>
            </w:r>
          </w:p>
        </w:tc>
      </w:tr>
    </w:tbl>
    <w:p>
      <w:pPr>
        <w:pStyle w:val="Heading1"/>
        <w:keepNext/>
      </w:pPr>
      <w:r>
        <w:t>4. Fit, Accessibility, and Realistic Conditions</w:t>
      </w:r>
    </w:p>
    <w:p>
      <w:pPr>
        <w:pStyle w:val="Heading2"/>
        <w:keepNext/>
      </w:pPr>
      <w:r>
        <w:t>Career-fit questions</w:t>
      </w:r>
    </w:p>
    <w:p>
      <w:pPr>
        <w:pStyle w:val="ListBullet"/>
        <w:spacing w:before="0" w:after="20" w:line="240" w:lineRule="auto"/>
        <w:ind w:left="403" w:hanging="259"/>
      </w:pPr>
      <w:r>
        <w:t>Can I perform or safely adapt the essential tasks?</w:t>
      </w:r>
    </w:p>
    <w:p>
      <w:pPr>
        <w:pStyle w:val="ListBullet"/>
        <w:spacing w:before="0" w:after="20" w:line="240" w:lineRule="auto"/>
        <w:ind w:left="403" w:hanging="259"/>
      </w:pPr>
      <w:r>
        <w:t>Can I tolerate the pace, schedule, environment, emotional demands, and physical conditions?</w:t>
      </w:r>
    </w:p>
    <w:p>
      <w:pPr>
        <w:pStyle w:val="ListBullet"/>
        <w:spacing w:before="0" w:after="20" w:line="240" w:lineRule="auto"/>
        <w:ind w:left="403" w:hanging="259"/>
      </w:pPr>
      <w:r>
        <w:t>Does likely pay support the training cost and my household needs?</w:t>
      </w:r>
    </w:p>
    <w:p>
      <w:pPr>
        <w:pStyle w:val="ListBullet"/>
        <w:spacing w:before="0" w:after="20" w:line="240" w:lineRule="auto"/>
        <w:ind w:left="403" w:hanging="259"/>
      </w:pPr>
      <w:r>
        <w:t>Can I meet transportation, caregiving, attendance, and background requirements?</w:t>
      </w:r>
    </w:p>
    <w:p>
      <w:pPr>
        <w:pStyle w:val="ListBullet"/>
        <w:spacing w:before="0" w:after="20" w:line="240" w:lineRule="auto"/>
        <w:ind w:left="403" w:hanging="259"/>
      </w:pPr>
      <w:r>
        <w:t>Do I understand the difference between this role and higher licensed or managerial roles?</w:t>
      </w:r>
    </w:p>
    <w:p>
      <w:pPr>
        <w:pStyle w:val="Heading2"/>
        <w:keepNext/>
      </w:pPr>
      <w:r>
        <w:t>Accommodations and language access</w:t>
      </w:r>
    </w:p>
    <w:p>
      <w:pPr>
        <w:pStyle w:val="ListBullet"/>
        <w:spacing w:before="0" w:after="20" w:line="240" w:lineRule="auto"/>
        <w:ind w:left="403" w:hanging="259"/>
      </w:pPr>
      <w:r>
        <w:t>Verify accommodations for admission, classes, online systems, laboratories, field or clinical placements, employer training, and examinations.</w:t>
      </w:r>
    </w:p>
    <w:p>
      <w:pPr>
        <w:pStyle w:val="ListBullet"/>
        <w:spacing w:before="0" w:after="20" w:line="240" w:lineRule="auto"/>
        <w:ind w:left="403" w:hanging="259"/>
      </w:pPr>
      <w:r>
        <w:t>Contact the school, employer, placement site, and testing body separately when they have separate processes.</w:t>
      </w:r>
    </w:p>
    <w:p>
      <w:pPr>
        <w:pStyle w:val="ListBullet"/>
        <w:spacing w:before="0" w:after="20" w:line="240" w:lineRule="auto"/>
        <w:ind w:left="403" w:hanging="259"/>
      </w:pPr>
      <w:r>
        <w:t>Ask about accessible technology, modified methods, interpreters, captioning, quiet space, ergonomic equipment, mobility support, and flexible scheduling.</w:t>
      </w:r>
    </w:p>
    <w:p>
      <w:pPr>
        <w:pStyle w:val="ListBullet"/>
        <w:spacing w:before="0" w:after="20" w:line="240" w:lineRule="auto"/>
        <w:ind w:left="403" w:hanging="259"/>
      </w:pPr>
      <w:r>
        <w:t>Admission does not prove that the full pathway is accessible.</w:t>
      </w:r>
    </w:p>
    <w:p>
      <w:pPr>
        <w:pStyle w:val="Heading1"/>
        <w:keepNext/>
      </w:pPr>
      <w:r>
        <w:t>5. Ethics, Safety, Boundaries, and Escalation</w:t>
      </w:r>
    </w:p>
    <w:p>
      <w:pPr>
        <w:pStyle w:val="Heading2"/>
        <w:keepNext/>
      </w:pPr>
      <w:r>
        <w:t>Scope and stop-work rules</w:t>
      </w:r>
    </w:p>
    <w:p>
      <w:pPr>
        <w:pStyle w:val="ListBullet"/>
        <w:spacing w:before="0" w:after="20" w:line="240" w:lineRule="auto"/>
        <w:ind w:left="403" w:hanging="259"/>
      </w:pPr>
      <w:r>
        <w:t>Do not alter time records or require unpaid work.</w:t>
      </w:r>
    </w:p>
    <w:p>
      <w:pPr>
        <w:pStyle w:val="ListBullet"/>
        <w:spacing w:before="0" w:after="20" w:line="240" w:lineRule="auto"/>
        <w:ind w:left="403" w:hanging="259"/>
      </w:pPr>
      <w:r>
        <w:t>Do not serve unsafe food or hide contamination, pest, injury, or allergen incidents.</w:t>
      </w:r>
    </w:p>
    <w:p>
      <w:pPr>
        <w:pStyle w:val="ListBullet"/>
        <w:spacing w:before="0" w:after="20" w:line="240" w:lineRule="auto"/>
        <w:ind w:left="403" w:hanging="259"/>
      </w:pPr>
      <w:r>
        <w:t>Do not discipline, hire, terminate, or spend outside delegated authority.</w:t>
      </w:r>
    </w:p>
    <w:p>
      <w:pPr>
        <w:pStyle w:val="ListBullet"/>
        <w:spacing w:before="0" w:after="20" w:line="240" w:lineRule="auto"/>
        <w:ind w:left="403" w:hanging="259"/>
      </w:pPr>
      <w:r>
        <w:t>Escalate violence, harassment, wage concerns, severe injuries, foodborne-illness reports, and regulatory visits.</w:t>
      </w:r>
    </w:p>
    <w:p>
      <w:pPr>
        <w:pStyle w:val="Heading2"/>
        <w:keepNext/>
      </w:pPr>
      <w:r>
        <w:t>Health and psychological safety</w:t>
      </w:r>
    </w:p>
    <w:p>
      <w:pPr>
        <w:pStyle w:val="ListBullet"/>
        <w:spacing w:before="0" w:after="20" w:line="240" w:lineRule="auto"/>
        <w:ind w:left="403" w:hanging="259"/>
      </w:pPr>
      <w:r>
        <w:t>Burns, cuts, slips, lifting, and heat.</w:t>
      </w:r>
    </w:p>
    <w:p>
      <w:pPr>
        <w:pStyle w:val="ListBullet"/>
        <w:spacing w:before="0" w:after="20" w:line="240" w:lineRule="auto"/>
        <w:ind w:left="403" w:hanging="259"/>
      </w:pPr>
      <w:r>
        <w:t>Foodborne illness and allergen incidents.</w:t>
      </w:r>
    </w:p>
    <w:p>
      <w:pPr>
        <w:pStyle w:val="ListBullet"/>
        <w:spacing w:before="0" w:after="20" w:line="240" w:lineRule="auto"/>
        <w:ind w:left="403" w:hanging="259"/>
      </w:pPr>
      <w:r>
        <w:t>Cash loss, theft, and timekeeping violations.</w:t>
      </w:r>
    </w:p>
    <w:p>
      <w:pPr>
        <w:pStyle w:val="ListBullet"/>
        <w:spacing w:before="0" w:after="20" w:line="240" w:lineRule="auto"/>
        <w:ind w:left="403" w:hanging="259"/>
      </w:pPr>
      <w:r>
        <w:t>Long hours, conflict, harassment, and burnout.</w:t>
      </w:r>
    </w:p>
    <w:p>
      <w:pPr/>
      <w:r>
        <w:t>Readers should learn incident reporting, emergency response, exposure procedures, workers’ compensation, anti-retaliation rules, employee assistance, and when they have authority to stop unsafe work.</w:t>
      </w:r>
    </w:p>
    <w:p>
      <w:pPr>
        <w:pStyle w:val="Heading1"/>
        <w:keepNext/>
      </w:pPr>
      <w:r>
        <w:t>6. Pay, Benefits, and Labor-Market Research</w:t>
      </w:r>
    </w:p>
    <w:p>
      <w:pPr>
        <w:pStyle w:val="Heading2"/>
        <w:keepNext/>
      </w:pPr>
      <w:r>
        <w:t>National starting point</w:t>
      </w:r>
    </w:p>
    <w:p>
      <w:pPr/>
      <w:r>
        <w:t>BLS reported a May 2024 median annual wage of $65,310 for food service managers. Trainee and first-line supervisor pay may be materially lower and should be researched separately.</w:t>
      </w:r>
    </w:p>
    <w:p>
      <w:pPr/>
      <w:r>
        <w:t>BLS projects food-service-manager employment to grow 6 percent from 2024 to 2034. Openings also reflect turnover and advancement from hourly operations roles.</w:t>
      </w:r>
    </w:p>
    <w:p>
      <w:pPr>
        <w:pStyle w:val="Heading2"/>
        <w:keepNext/>
      </w:pPr>
      <w:r>
        <w:t>Local wage and benefit research</w:t>
      </w:r>
    </w:p>
    <w:p>
      <w:pPr>
        <w:pStyle w:val="ListBullet"/>
        <w:spacing w:before="0" w:after="20" w:line="240" w:lineRule="auto"/>
        <w:ind w:left="403" w:hanging="259"/>
      </w:pPr>
      <w:r>
        <w:t>Compare at least 25 current local postings.</w:t>
      </w:r>
    </w:p>
    <w:p>
      <w:pPr>
        <w:pStyle w:val="ListBullet"/>
        <w:spacing w:before="0" w:after="20" w:line="240" w:lineRule="auto"/>
        <w:ind w:left="403" w:hanging="259"/>
      </w:pPr>
      <w:r>
        <w:t>Separate base pay from overtime, tips, bonuses, commissions, shift differentials, call pay, and per-diem rates.</w:t>
      </w:r>
    </w:p>
    <w:p>
      <w:pPr>
        <w:pStyle w:val="ListBullet"/>
        <w:spacing w:before="0" w:after="20" w:line="240" w:lineRule="auto"/>
        <w:ind w:left="403" w:hanging="259"/>
      </w:pPr>
      <w:r>
        <w:t>Estimate insurance, retirement, paid leave, tuition benefits, union benefits, uniforms, tools, licensing, parking, and unpaid travel.</w:t>
      </w:r>
    </w:p>
    <w:p>
      <w:pPr>
        <w:pStyle w:val="ListBullet"/>
        <w:spacing w:before="0" w:after="20" w:line="240" w:lineRule="auto"/>
        <w:ind w:left="403" w:hanging="259"/>
      </w:pPr>
      <w:r>
        <w:t>Record whether jobs are employee, temporary, contractor, seasonal, part-time, or self-employed roles.</w:t>
      </w:r>
    </w:p>
    <w:p>
      <w:pPr>
        <w:pStyle w:val="ListBullet"/>
        <w:spacing w:before="0" w:after="20" w:line="240" w:lineRule="auto"/>
        <w:ind w:left="403" w:hanging="259"/>
      </w:pPr>
      <w:r>
        <w:t>Use conservative estimates and never treat a national median as a guaranteed starting wage.</w:t>
      </w:r>
    </w:p>
    <w:p>
      <w:pPr>
        <w:pStyle w:val="Heading1"/>
        <w:keepNext/>
      </w:pPr>
      <w:r>
        <w:t>7. Education, Schools, and Credentials</w:t>
      </w:r>
    </w:p>
    <w:p>
      <w:pPr>
        <w:pStyle w:val="Heading2"/>
        <w:keepNext/>
      </w:pPr>
      <w:r>
        <w:t>Education pathway</w:t>
      </w:r>
    </w:p>
    <w:p>
      <w:pPr/>
      <w:r>
        <w:t>Many supervisors advance through employer training and experience. Some employers prefer hospitality, culinary, or business coursework. Manager food-safety certification may be required by jurisdiction or employer.</w:t>
      </w:r>
    </w:p>
    <w:p>
      <w:pPr/>
      <w:r>
        <w:t>Verify local food-handler and certified food-protection-manager requirements. Confirm whether alcohol-service, allergen, first-aid, or responsible-vendor training applies.</w:t>
      </w:r>
    </w:p>
    <w:p>
      <w:pPr>
        <w:pStyle w:val="Heading2"/>
        <w:keepNext/>
      </w:pPr>
      <w:r>
        <w:t>School and credential verification</w:t>
      </w:r>
    </w:p>
    <w:p>
      <w:pPr>
        <w:pStyle w:val="ListBullet"/>
        <w:spacing w:before="0" w:after="20" w:line="240" w:lineRule="auto"/>
        <w:ind w:left="403" w:hanging="259"/>
      </w:pPr>
      <w:r>
        <w:t>Verify institutional and programmatic accreditation where applicable.</w:t>
      </w:r>
    </w:p>
    <w:p>
      <w:pPr>
        <w:pStyle w:val="ListBullet"/>
        <w:spacing w:before="0" w:after="20" w:line="240" w:lineRule="auto"/>
        <w:ind w:left="403" w:hanging="259"/>
      </w:pPr>
      <w:r>
        <w:t>Confirm licensing-board or certification-exam eligibility in writing.</w:t>
      </w:r>
    </w:p>
    <w:p>
      <w:pPr>
        <w:pStyle w:val="ListBullet"/>
        <w:spacing w:before="0" w:after="20" w:line="240" w:lineRule="auto"/>
        <w:ind w:left="403" w:hanging="259"/>
      </w:pPr>
      <w:r>
        <w:t>Ask whether credits, supervised hours, apprenticeship hours, and credentials transfer.</w:t>
      </w:r>
    </w:p>
    <w:p>
      <w:pPr>
        <w:pStyle w:val="ListBullet"/>
        <w:spacing w:before="0" w:after="20" w:line="240" w:lineRule="auto"/>
        <w:ind w:left="403" w:hanging="259"/>
      </w:pPr>
      <w:r>
        <w:t>Calculate tuition, fees, books, tools, uniforms, background checks, health requirements, examinations, travel, childcare, and lost wages.</w:t>
      </w:r>
    </w:p>
    <w:p>
      <w:pPr>
        <w:pStyle w:val="ListBullet"/>
        <w:spacing w:before="0" w:after="20" w:line="240" w:lineRule="auto"/>
        <w:ind w:left="403" w:hanging="259"/>
      </w:pPr>
      <w:r>
        <w:t>Review completion, withdrawal, exam-pass, debt, placement, refund, complaint, and school-closure information.</w:t>
      </w:r>
    </w:p>
    <w:p>
      <w:pPr>
        <w:pStyle w:val="ListBullet"/>
        <w:spacing w:before="0" w:after="20" w:line="240" w:lineRule="auto"/>
        <w:ind w:left="403" w:hanging="259"/>
      </w:pPr>
      <w:r>
        <w:t>Avoid programs that guarantee jobs, hide total costs, or refuse written outcomes.</w:t>
      </w:r>
    </w:p>
    <w:p>
      <w:pPr>
        <w:pStyle w:val="Heading1"/>
        <w:keepNext/>
      </w:pPr>
      <w:r>
        <w:t>8. Employer-Supported Learning</w:t>
      </w:r>
    </w:p>
    <w:p>
      <w:pPr>
        <w:pStyle w:val="Heading2"/>
        <w:keepNext/>
      </w:pPr>
      <w:r>
        <w:t>Tuition assistance and repayment</w:t>
      </w:r>
    </w:p>
    <w:p>
      <w:pPr>
        <w:pStyle w:val="ListBullet"/>
        <w:spacing w:before="0" w:after="20" w:line="240" w:lineRule="auto"/>
        <w:ind w:left="403" w:hanging="259"/>
      </w:pPr>
      <w:r>
        <w:t>Employers may pay tuition, certification, licensing, continuing education, books, tools, uniforms, examinations, or paid training time.</w:t>
      </w:r>
    </w:p>
    <w:p>
      <w:pPr>
        <w:pStyle w:val="ListBullet"/>
        <w:spacing w:before="0" w:after="20" w:line="240" w:lineRule="auto"/>
        <w:ind w:left="403" w:hanging="259"/>
      </w:pPr>
      <w:r>
        <w:t>Obtain prior approval and the complete agreement in writing.</w:t>
      </w:r>
    </w:p>
    <w:p>
      <w:pPr>
        <w:pStyle w:val="ListBullet"/>
        <w:spacing w:before="0" w:after="20" w:line="240" w:lineRule="auto"/>
        <w:ind w:left="403" w:hanging="259"/>
      </w:pPr>
      <w:r>
        <w:t>A service commitment may require continued employment, sometimes for up to two years.</w:t>
      </w:r>
    </w:p>
    <w:p>
      <w:pPr>
        <w:pStyle w:val="ListBullet"/>
        <w:spacing w:before="0" w:after="20" w:line="240" w:lineRule="auto"/>
        <w:ind w:left="403" w:hanging="259"/>
      </w:pPr>
      <w:r>
        <w:t>Voluntary departure may trigger full or prorated repayment.</w:t>
      </w:r>
    </w:p>
    <w:p>
      <w:pPr>
        <w:pStyle w:val="ListBullet"/>
        <w:spacing w:before="0" w:after="20" w:line="240" w:lineRule="auto"/>
        <w:ind w:left="403" w:hanging="259"/>
      </w:pPr>
      <w:r>
        <w:t>The agreement should explicitly address layoff, position elimination, facility closure, restructuring, disability, military service, retirement, and employer-directed transfer.</w:t>
      </w:r>
    </w:p>
    <w:p>
      <w:pPr>
        <w:pStyle w:val="ListBullet"/>
        <w:spacing w:before="0" w:after="20" w:line="240" w:lineRule="auto"/>
        <w:ind w:left="403" w:hanging="259"/>
      </w:pPr>
      <w:r>
        <w:t>Do not assume a repayment term is lawful merely because it is written; local law controls.</w:t>
      </w:r>
    </w:p>
    <w:p>
      <w:pPr>
        <w:pStyle w:val="Heading2"/>
        <w:keepNext/>
      </w:pPr>
      <w:r>
        <w:t>Internships, apprenticeships, and career ladders</w:t>
      </w:r>
    </w:p>
    <w:p>
      <w:pPr>
        <w:pStyle w:val="ListBullet"/>
        <w:spacing w:before="0" w:after="20" w:line="240" w:lineRule="auto"/>
        <w:ind w:left="403" w:hanging="259"/>
      </w:pPr>
      <w:r>
        <w:t>Distinguish paid employment, internship, externship, practicum, field placement, residency, pre-apprenticeship, and registered apprenticeship.</w:t>
      </w:r>
    </w:p>
    <w:p>
      <w:pPr>
        <w:pStyle w:val="ListBullet"/>
        <w:spacing w:before="0" w:after="20" w:line="240" w:lineRule="auto"/>
        <w:ind w:left="403" w:hanging="259"/>
      </w:pPr>
      <w:r>
        <w:t>Verify wages, benefits, supervision, academic or licensing credit, competency checks, workers’ compensation, and credential portability.</w:t>
      </w:r>
    </w:p>
    <w:p>
      <w:pPr>
        <w:pStyle w:val="ListBullet"/>
        <w:spacing w:before="0" w:after="20" w:line="240" w:lineRule="auto"/>
        <w:ind w:left="403" w:hanging="259"/>
      </w:pPr>
      <w:r>
        <w:t>Employers may use paid internships, bridge programs, tuition partnerships, job rotation, and mentoring to develop more qualified employees.</w:t>
      </w:r>
    </w:p>
    <w:p>
      <w:pPr>
        <w:pStyle w:val="ListBullet"/>
        <w:spacing w:before="0" w:after="20" w:line="240" w:lineRule="auto"/>
        <w:ind w:left="403" w:hanging="259"/>
      </w:pPr>
      <w:r>
        <w:t>Mentoring and job shadowing supplement but do not replace required supervision or licensed education.</w:t>
      </w:r>
    </w:p>
    <w:p>
      <w:pPr>
        <w:pStyle w:val="Heading1"/>
        <w:keepNext/>
      </w:pPr>
      <w:r>
        <w:t>9. Worker Rights, Privacy, Cybersecurity, and Ethical AI</w:t>
      </w:r>
    </w:p>
    <w:p>
      <w:pPr>
        <w:pStyle w:val="Heading2"/>
        <w:keepNext/>
      </w:pPr>
      <w:r>
        <w:t>Employment protections</w:t>
      </w:r>
    </w:p>
    <w:p>
      <w:pPr>
        <w:pStyle w:val="ListBullet"/>
        <w:spacing w:before="0" w:after="20" w:line="240" w:lineRule="auto"/>
        <w:ind w:left="403" w:hanging="259"/>
      </w:pPr>
      <w:r>
        <w:t>Verify whether required training, travel between work sites, on-call time, uniform changing, and overtime are compensable.</w:t>
      </w:r>
    </w:p>
    <w:p>
      <w:pPr>
        <w:pStyle w:val="ListBullet"/>
        <w:spacing w:before="0" w:after="20" w:line="240" w:lineRule="auto"/>
        <w:ind w:left="403" w:hanging="259"/>
      </w:pPr>
      <w:r>
        <w:t>Understand employee, contractor, temporary, seasonal, internship, and self-employed classifications.</w:t>
      </w:r>
    </w:p>
    <w:p>
      <w:pPr>
        <w:pStyle w:val="ListBullet"/>
        <w:spacing w:before="0" w:after="20" w:line="240" w:lineRule="auto"/>
        <w:ind w:left="403" w:hanging="259"/>
      </w:pPr>
      <w:r>
        <w:t>Confirm background, health, driving, fingerprinting, and work-authorization requirements before spending money.</w:t>
      </w:r>
    </w:p>
    <w:p>
      <w:pPr>
        <w:pStyle w:val="ListBullet"/>
        <w:spacing w:before="0" w:after="20" w:line="240" w:lineRule="auto"/>
        <w:ind w:left="403" w:hanging="259"/>
      </w:pPr>
      <w:r>
        <w:t>Know complaint and appeal pathways for discrimination, retaliation, wage violations, unsafe work, or inaccessible training.</w:t>
      </w:r>
    </w:p>
    <w:p>
      <w:pPr>
        <w:pStyle w:val="Heading2"/>
        <w:keepNext/>
      </w:pPr>
      <w:r>
        <w:t>Responsible technology</w:t>
      </w:r>
    </w:p>
    <w:p>
      <w:pPr>
        <w:pStyle w:val="ListBullet"/>
        <w:spacing w:before="0" w:after="20" w:line="240" w:lineRule="auto"/>
        <w:ind w:left="403" w:hanging="259"/>
      </w:pPr>
      <w:r>
        <w:t>Use only authorized systems and the minimum necessary personal information.</w:t>
      </w:r>
    </w:p>
    <w:p>
      <w:pPr>
        <w:pStyle w:val="ListBullet"/>
        <w:spacing w:before="0" w:after="20" w:line="240" w:lineRule="auto"/>
        <w:ind w:left="403" w:hanging="259"/>
      </w:pPr>
      <w:r>
        <w:t>Do not place student, child, guest, client, traveler, employee, or proprietary information into public AI tools.</w:t>
      </w:r>
    </w:p>
    <w:p>
      <w:pPr>
        <w:pStyle w:val="ListBullet"/>
        <w:spacing w:before="0" w:after="20" w:line="240" w:lineRule="auto"/>
        <w:ind w:left="403" w:hanging="259"/>
      </w:pPr>
      <w:r>
        <w:t>Verify AI output and never fabricate credentials, notes, records, references, menus, reservations, or work samples.</w:t>
      </w:r>
    </w:p>
    <w:p>
      <w:pPr>
        <w:pStyle w:val="ListBullet"/>
        <w:spacing w:before="0" w:after="20" w:line="240" w:lineRule="auto"/>
        <w:ind w:left="403" w:hanging="259"/>
      </w:pPr>
      <w:r>
        <w:t>Protect passwords, multifactor authentication, portable devices, payment data, records, and secure communications.</w:t>
      </w:r>
    </w:p>
    <w:p>
      <w:pPr>
        <w:pStyle w:val="ListBullet"/>
        <w:spacing w:before="0" w:after="20" w:line="240" w:lineRule="auto"/>
        <w:ind w:left="403" w:hanging="259"/>
      </w:pPr>
      <w:r>
        <w:t>Report suspected phishing, unauthorized access, record alteration, or privacy incidents promptly.</w:t>
      </w:r>
    </w:p>
    <w:p>
      <w:pPr>
        <w:pStyle w:val="Heading1"/>
        <w:keepNext/>
      </w:pPr>
      <w:r>
        <w:t>10. Build Evidence and Apply</w:t>
      </w:r>
    </w:p>
    <w:p>
      <w:pPr>
        <w:pStyle w:val="Heading2"/>
        <w:keepNext/>
      </w:pPr>
      <w:r>
        <w:t>Ethical portfolio evidence</w:t>
      </w:r>
    </w:p>
    <w:p>
      <w:pPr>
        <w:pStyle w:val="ListBullet"/>
        <w:spacing w:before="0" w:after="20" w:line="240" w:lineRule="auto"/>
        <w:ind w:left="403" w:hanging="259"/>
      </w:pPr>
      <w:r>
        <w:t>Use fictional, public, or fully sanitized information.</w:t>
      </w:r>
    </w:p>
    <w:p>
      <w:pPr>
        <w:pStyle w:val="ListBullet"/>
        <w:spacing w:before="0" w:after="20" w:line="240" w:lineRule="auto"/>
        <w:ind w:left="403" w:hanging="259"/>
      </w:pPr>
      <w:r>
        <w:t>Create a workflow map, safety checklist, activity plan, lesson-support tool, service-recovery script, production record, or resource directory appropriate to the occupation.</w:t>
      </w:r>
    </w:p>
    <w:p>
      <w:pPr>
        <w:pStyle w:val="ListBullet"/>
        <w:spacing w:before="0" w:after="20" w:line="240" w:lineRule="auto"/>
        <w:ind w:left="403" w:hanging="259"/>
      </w:pPr>
      <w:r>
        <w:t>Explain what you did, what evidence you used, what you would escalate, and what remained outside your authority.</w:t>
      </w:r>
    </w:p>
    <w:p>
      <w:pPr>
        <w:pStyle w:val="ListBullet"/>
        <w:spacing w:before="0" w:after="20" w:line="240" w:lineRule="auto"/>
        <w:ind w:left="403" w:hanging="259"/>
      </w:pPr>
      <w:r>
        <w:t>Never use confidential records, proprietary forms, copyrighted manuals, or real client information without permission.</w:t>
      </w:r>
    </w:p>
    <w:p>
      <w:pPr>
        <w:pStyle w:val="Heading2"/>
        <w:keepNext/>
      </w:pPr>
      <w:r>
        <w:t>Résumé and interview preparation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Evidence area</w:t>
            </w:r>
          </w:p>
        </w:tc>
        <w:tc>
          <w:tcPr>
            <w:tcW w:type="dxa" w:w="5083"/>
            <w:shd w:fill="D9EAF7"/>
            <w:vAlign w:val="top"/>
          </w:tcPr>
          <w:p>
            <w:pPr>
              <w:spacing w:after="20" w:before="0" w:line="240" w:lineRule="auto"/>
            </w:pPr>
            <w:r>
              <w:rPr>
                <w:b/>
                <w:sz w:val="17"/>
              </w:rPr>
              <w:t>Example</w:t>
            </w:r>
          </w:p>
        </w:tc>
      </w:tr>
      <w:tr>
        <w:trPr/>
        <w:tc>
          <w:tcPr>
            <w:tcW w:type="dxa" w:w="5083"/>
            <w:vAlign w:val="top"/>
          </w:tcPr>
          <w:p>
            <w:pPr>
              <w:spacing w:after="20" w:before="0" w:line="240" w:lineRule="auto"/>
            </w:pPr>
            <w:r>
              <w:rPr>
                <w:sz w:val="17"/>
              </w:rPr>
              <w:t>Reliability</w:t>
            </w:r>
          </w:p>
        </w:tc>
        <w:tc>
          <w:tcPr>
            <w:tcW w:type="dxa" w:w="5083"/>
            <w:vAlign w:val="top"/>
          </w:tcPr>
          <w:p>
            <w:pPr>
              <w:spacing w:after="20" w:before="0" w:line="240" w:lineRule="auto"/>
            </w:pPr>
            <w:r>
              <w:rPr>
                <w:sz w:val="17"/>
              </w:rPr>
              <w:t>Completed scheduled tasks and documented exceptions promptly.</w:t>
            </w:r>
          </w:p>
        </w:tc>
      </w:tr>
      <w:tr>
        <w:trPr/>
        <w:tc>
          <w:tcPr>
            <w:tcW w:type="dxa" w:w="5083"/>
            <w:vAlign w:val="top"/>
          </w:tcPr>
          <w:p>
            <w:pPr>
              <w:spacing w:after="20" w:before="0" w:line="240" w:lineRule="auto"/>
            </w:pPr>
            <w:r>
              <w:rPr>
                <w:sz w:val="17"/>
              </w:rPr>
              <w:t>Safety</w:t>
            </w:r>
          </w:p>
        </w:tc>
        <w:tc>
          <w:tcPr>
            <w:tcW w:type="dxa" w:w="5083"/>
            <w:vAlign w:val="top"/>
          </w:tcPr>
          <w:p>
            <w:pPr>
              <w:spacing w:after="20" w:before="0" w:line="240" w:lineRule="auto"/>
            </w:pPr>
            <w:r>
              <w:rPr>
                <w:sz w:val="17"/>
              </w:rPr>
              <w:t>Identified a hazard, protected people or work, and escalated correctly.</w:t>
            </w:r>
          </w:p>
        </w:tc>
      </w:tr>
      <w:tr>
        <w:trPr/>
        <w:tc>
          <w:tcPr>
            <w:tcW w:type="dxa" w:w="5083"/>
            <w:vAlign w:val="top"/>
          </w:tcPr>
          <w:p>
            <w:pPr>
              <w:spacing w:after="20" w:before="0" w:line="240" w:lineRule="auto"/>
            </w:pPr>
            <w:r>
              <w:rPr>
                <w:sz w:val="17"/>
              </w:rPr>
              <w:t>Accuracy</w:t>
            </w:r>
          </w:p>
        </w:tc>
        <w:tc>
          <w:tcPr>
            <w:tcW w:type="dxa" w:w="5083"/>
            <w:vAlign w:val="top"/>
          </w:tcPr>
          <w:p>
            <w:pPr>
              <w:spacing w:after="20" w:before="0" w:line="240" w:lineRule="auto"/>
            </w:pPr>
            <w:r>
              <w:rPr>
                <w:sz w:val="17"/>
              </w:rPr>
              <w:t>Used a checklist or reconciliation process and corrected a discrepancy.</w:t>
            </w:r>
          </w:p>
        </w:tc>
      </w:tr>
      <w:tr>
        <w:trPr/>
        <w:tc>
          <w:tcPr>
            <w:tcW w:type="dxa" w:w="5083"/>
            <w:vAlign w:val="top"/>
          </w:tcPr>
          <w:p>
            <w:pPr>
              <w:spacing w:after="20" w:before="0" w:line="240" w:lineRule="auto"/>
            </w:pPr>
            <w:r>
              <w:rPr>
                <w:sz w:val="17"/>
              </w:rPr>
              <w:t>Communication</w:t>
            </w:r>
          </w:p>
        </w:tc>
        <w:tc>
          <w:tcPr>
            <w:tcW w:type="dxa" w:w="5083"/>
            <w:vAlign w:val="top"/>
          </w:tcPr>
          <w:p>
            <w:pPr>
              <w:spacing w:after="20" w:before="0" w:line="240" w:lineRule="auto"/>
            </w:pPr>
            <w:r>
              <w:rPr>
                <w:sz w:val="17"/>
              </w:rPr>
              <w:t>Explained a concern clearly and confirmed follow-up.</w:t>
            </w:r>
          </w:p>
        </w:tc>
      </w:tr>
      <w:tr>
        <w:trPr/>
        <w:tc>
          <w:tcPr>
            <w:tcW w:type="dxa" w:w="5083"/>
            <w:vAlign w:val="top"/>
          </w:tcPr>
          <w:p>
            <w:pPr>
              <w:spacing w:after="20" w:before="0" w:line="240" w:lineRule="auto"/>
            </w:pPr>
            <w:r>
              <w:rPr>
                <w:sz w:val="17"/>
              </w:rPr>
              <w:t>Learning</w:t>
            </w:r>
          </w:p>
        </w:tc>
        <w:tc>
          <w:tcPr>
            <w:tcW w:type="dxa" w:w="5083"/>
            <w:vAlign w:val="top"/>
          </w:tcPr>
          <w:p>
            <w:pPr>
              <w:spacing w:after="20" w:before="0" w:line="240" w:lineRule="auto"/>
            </w:pPr>
            <w:r>
              <w:rPr>
                <w:sz w:val="17"/>
              </w:rPr>
              <w:t>Completed employer or recognized training and demonstrated competency.</w:t>
            </w:r>
          </w:p>
        </w:tc>
      </w:tr>
    </w:tbl>
    <w:p>
      <w:pPr>
        <w:pStyle w:val="ListBullet"/>
        <w:spacing w:before="0" w:after="20" w:line="240" w:lineRule="auto"/>
        <w:ind w:left="403" w:hanging="259"/>
      </w:pPr>
      <w:r>
        <w:t>Describe a time you noticed a safety or quality problem. What did you do?</w:t>
      </w:r>
    </w:p>
    <w:p>
      <w:pPr>
        <w:pStyle w:val="ListBullet"/>
        <w:spacing w:before="0" w:after="20" w:line="240" w:lineRule="auto"/>
        <w:ind w:left="403" w:hanging="259"/>
      </w:pPr>
      <w:r>
        <w:t>How do you protect confidential information?</w:t>
      </w:r>
    </w:p>
    <w:p>
      <w:pPr>
        <w:pStyle w:val="ListBullet"/>
        <w:spacing w:before="0" w:after="20" w:line="240" w:lineRule="auto"/>
        <w:ind w:left="403" w:hanging="259"/>
      </w:pPr>
      <w:r>
        <w:t>How do you respond when asked to perform a task outside your training?</w:t>
      </w:r>
    </w:p>
    <w:p>
      <w:pPr>
        <w:pStyle w:val="ListBullet"/>
        <w:spacing w:before="0" w:after="20" w:line="240" w:lineRule="auto"/>
        <w:ind w:left="403" w:hanging="259"/>
      </w:pPr>
      <w:r>
        <w:t>How do you organize competing priorities?</w:t>
      </w:r>
    </w:p>
    <w:p>
      <w:pPr>
        <w:pStyle w:val="ListBullet"/>
        <w:spacing w:before="0" w:after="20" w:line="240" w:lineRule="auto"/>
        <w:ind w:left="403" w:hanging="259"/>
      </w:pPr>
      <w:r>
        <w:t>What would you verify before enrolling in further education?</w:t>
      </w:r>
    </w:p>
    <w:p>
      <w:pPr>
        <w:pStyle w:val="Heading1"/>
        <w:keepNext/>
      </w:pPr>
      <w:r>
        <w:t>11. Advancement, Portability, and Exit Planning</w:t>
      </w:r>
    </w:p>
    <w:p>
      <w:pPr>
        <w:pStyle w:val="Heading2"/>
        <w:keepNext/>
      </w:pPr>
      <w:r>
        <w:t>Career ladder</w:t>
      </w:r>
    </w:p>
    <w:p>
      <w:pPr>
        <w:pStyle w:val="ListBullet"/>
        <w:spacing w:before="0" w:after="20" w:line="240" w:lineRule="auto"/>
        <w:ind w:left="403" w:hanging="259"/>
      </w:pPr>
      <w:r>
        <w:t>Crew member, cook, server, or host.</w:t>
      </w:r>
    </w:p>
    <w:p>
      <w:pPr>
        <w:pStyle w:val="ListBullet"/>
        <w:spacing w:before="0" w:after="20" w:line="240" w:lineRule="auto"/>
        <w:ind w:left="403" w:hanging="259"/>
      </w:pPr>
      <w:r>
        <w:t>Shift leader or manager trainee.</w:t>
      </w:r>
    </w:p>
    <w:p>
      <w:pPr>
        <w:pStyle w:val="ListBullet"/>
        <w:spacing w:before="0" w:after="20" w:line="240" w:lineRule="auto"/>
        <w:ind w:left="403" w:hanging="259"/>
      </w:pPr>
      <w:r>
        <w:t>Assistant manager or food service manager.</w:t>
      </w:r>
    </w:p>
    <w:p>
      <w:pPr>
        <w:pStyle w:val="ListBullet"/>
        <w:spacing w:before="0" w:after="20" w:line="240" w:lineRule="auto"/>
        <w:ind w:left="403" w:hanging="259"/>
      </w:pPr>
      <w:r>
        <w:t>General manager, multiunit leader, trainer, or operations specialist.</w:t>
      </w:r>
    </w:p>
    <w:p>
      <w:pPr>
        <w:pStyle w:val="Heading2"/>
        <w:keepNext/>
      </w:pPr>
      <w:r>
        <w:t>Exit and transfer options</w:t>
      </w:r>
    </w:p>
    <w:p>
      <w:pPr>
        <w:pStyle w:val="ListBullet"/>
        <w:spacing w:before="0" w:after="20" w:line="240" w:lineRule="auto"/>
        <w:ind w:left="403" w:hanging="259"/>
      </w:pPr>
      <w:r>
        <w:t>Keep transcripts, credentials, competency records, evaluations, continuing-education records, and employment agreements.</w:t>
      </w:r>
    </w:p>
    <w:p>
      <w:pPr>
        <w:pStyle w:val="ListBullet"/>
        <w:spacing w:before="0" w:after="20" w:line="240" w:lineRule="auto"/>
        <w:ind w:left="403" w:hanging="259"/>
      </w:pPr>
      <w:r>
        <w:t>Confirm whether completed credits or documented hours expire or transfer.</w:t>
      </w:r>
    </w:p>
    <w:p>
      <w:pPr>
        <w:pStyle w:val="ListBullet"/>
        <w:spacing w:before="0" w:after="20" w:line="240" w:lineRule="auto"/>
        <w:ind w:left="403" w:hanging="259"/>
      </w:pPr>
      <w:r>
        <w:t>Identify adjacent careers using the same skills with different physical, emotional, schedule, or licensing demands.</w:t>
      </w:r>
    </w:p>
    <w:p>
      <w:pPr>
        <w:pStyle w:val="ListBullet"/>
        <w:spacing w:before="0" w:after="20" w:line="240" w:lineRule="auto"/>
        <w:ind w:left="403" w:hanging="259"/>
      </w:pPr>
      <w:r>
        <w:t>Understand remaining debt and employer repayment obligations before leaving.</w:t>
      </w:r>
    </w:p>
    <w:p>
      <w:pPr>
        <w:pStyle w:val="ListBullet"/>
        <w:spacing w:before="0" w:after="20" w:line="240" w:lineRule="auto"/>
        <w:ind w:left="403" w:hanging="259"/>
      </w:pPr>
      <w:r>
        <w:t>Do not remain in unsafe or exploitative work solely because of an unclear training-cost threat; seek qualified help.</w:t>
      </w:r>
    </w:p>
    <w:p>
      <w:pPr>
        <w:pStyle w:val="Heading1"/>
        <w:keepNext/>
      </w:pPr>
      <w:r>
        <w:t>12. Before You Enroll or Sign</w:t>
      </w:r>
    </w:p>
    <w:p>
      <w:pPr>
        <w:pStyle w:val="Heading2"/>
        <w:keepNext/>
      </w:pPr>
      <w:r>
        <w:t>Verification checklist</w:t>
      </w:r>
    </w:p>
    <w:p>
      <w:pPr>
        <w:pStyle w:val="ListBullet"/>
        <w:spacing w:before="0" w:after="20" w:line="240" w:lineRule="auto"/>
        <w:ind w:left="403" w:hanging="259"/>
      </w:pPr>
      <w:r>
        <w:t>I verified the occupation’s legal requirements and common employer preferences.</w:t>
      </w:r>
    </w:p>
    <w:p>
      <w:pPr>
        <w:pStyle w:val="ListBullet"/>
        <w:spacing w:before="0" w:after="20" w:line="240" w:lineRule="auto"/>
        <w:ind w:left="403" w:hanging="259"/>
      </w:pPr>
      <w:r>
        <w:t>I verified accreditation, program approval, exam eligibility, and credential portability.</w:t>
      </w:r>
    </w:p>
    <w:p>
      <w:pPr>
        <w:pStyle w:val="ListBullet"/>
        <w:spacing w:before="0" w:after="20" w:line="240" w:lineRule="auto"/>
        <w:ind w:left="403" w:hanging="259"/>
      </w:pPr>
      <w:r>
        <w:t>I calculated the complete cost, including lost wages and caregiving.</w:t>
      </w:r>
    </w:p>
    <w:p>
      <w:pPr>
        <w:pStyle w:val="ListBullet"/>
        <w:spacing w:before="0" w:after="20" w:line="240" w:lineRule="auto"/>
        <w:ind w:left="403" w:hanging="259"/>
      </w:pPr>
      <w:r>
        <w:t>I reviewed program outcomes, refund rules, complaints, and school-closure protection.</w:t>
      </w:r>
    </w:p>
    <w:p>
      <w:pPr>
        <w:pStyle w:val="ListBullet"/>
        <w:spacing w:before="0" w:after="20" w:line="240" w:lineRule="auto"/>
        <w:ind w:left="403" w:hanging="259"/>
      </w:pPr>
      <w:r>
        <w:t>I understand internship, apprenticeship, field-placement, and supervision terms.</w:t>
      </w:r>
    </w:p>
    <w:p>
      <w:pPr>
        <w:pStyle w:val="ListBullet"/>
        <w:spacing w:before="0" w:after="20" w:line="240" w:lineRule="auto"/>
        <w:ind w:left="403" w:hanging="259"/>
      </w:pPr>
      <w:r>
        <w:t>I obtained employer funding, service, repayment, and layoff terms in writing.</w:t>
      </w:r>
    </w:p>
    <w:p>
      <w:pPr>
        <w:pStyle w:val="ListBullet"/>
        <w:spacing w:before="0" w:after="20" w:line="240" w:lineRule="auto"/>
        <w:ind w:left="403" w:hanging="259"/>
      </w:pPr>
      <w:r>
        <w:t>I verified accessibility across the entire pathway.</w:t>
      </w:r>
    </w:p>
    <w:p>
      <w:pPr>
        <w:pStyle w:val="ListBullet"/>
        <w:spacing w:before="0" w:after="20" w:line="240" w:lineRule="auto"/>
        <w:ind w:left="403" w:hanging="259"/>
      </w:pPr>
      <w:r>
        <w:t>I have a realistic employment and exit plan.</w:t>
      </w:r>
    </w:p>
    <w:p>
      <w:pPr>
        <w:pStyle w:val="Heading1"/>
        <w:keepNext/>
      </w:pPr>
      <w:r>
        <w:t>13. Twelve-Week Action Plan</w:t>
      </w:r>
    </w:p>
    <w:p>
      <w:pPr>
        <w:pStyle w:val="Heading2"/>
        <w:keepNext/>
      </w:pPr>
      <w:r>
        <w:t>Sequential plan</w:t>
      </w:r>
    </w:p>
    <w:p>
      <w:pPr>
        <w:pStyle w:val="ListNumber"/>
        <w:numPr>
          <w:ilvl w:val="0"/>
          <w:numId w:val="10"/>
        </w:numPr>
        <w:spacing w:before="0" w:after="20" w:line="240" w:lineRule="auto"/>
      </w:pPr>
      <w:r>
        <w:t>Weeks 1–2: Describe your situation, strengths, constraints, access needs, and nonnegotiable conditions.</w:t>
      </w:r>
    </w:p>
    <w:p>
      <w:pPr>
        <w:pStyle w:val="ListNumber"/>
        <w:numPr>
          <w:ilvl w:val="0"/>
          <w:numId w:val="10"/>
        </w:numPr>
        <w:spacing w:before="0" w:after="20" w:line="240" w:lineRule="auto"/>
      </w:pPr>
      <w:r>
        <w:t>Weeks 3–4: Study duties, work settings, tools, risks, boundaries, and local regulation.</w:t>
      </w:r>
    </w:p>
    <w:p>
      <w:pPr>
        <w:pStyle w:val="ListNumber"/>
        <w:numPr>
          <w:ilvl w:val="0"/>
          <w:numId w:val="10"/>
        </w:numPr>
        <w:spacing w:before="0" w:after="20" w:line="240" w:lineRule="auto"/>
      </w:pPr>
      <w:r>
        <w:t>Weeks 5–6: Review local postings, wages, schedules, benefits, and employer requirements.</w:t>
      </w:r>
    </w:p>
    <w:p>
      <w:pPr>
        <w:pStyle w:val="ListNumber"/>
        <w:numPr>
          <w:ilvl w:val="0"/>
          <w:numId w:val="10"/>
        </w:numPr>
        <w:spacing w:before="0" w:after="20" w:line="240" w:lineRule="auto"/>
      </w:pPr>
      <w:r>
        <w:t>Weeks 7–8: Compare schools, employer pathways, apprenticeships, credentials, and total cost.</w:t>
      </w:r>
    </w:p>
    <w:p>
      <w:pPr>
        <w:pStyle w:val="ListNumber"/>
        <w:numPr>
          <w:ilvl w:val="0"/>
          <w:numId w:val="10"/>
        </w:numPr>
        <w:spacing w:before="0" w:after="20" w:line="240" w:lineRule="auto"/>
      </w:pPr>
      <w:r>
        <w:t>Weeks 9–10: Verify funding, repayment, tax, accommodations, background, and portability issues.</w:t>
      </w:r>
    </w:p>
    <w:p>
      <w:pPr>
        <w:pStyle w:val="ListNumber"/>
        <w:numPr>
          <w:ilvl w:val="0"/>
          <w:numId w:val="10"/>
        </w:numPr>
        <w:spacing w:before="0" w:after="20" w:line="240" w:lineRule="auto"/>
      </w:pPr>
      <w:r>
        <w:t>Weeks 11–12: Complete an ethical work sample, prepare application evidence, and decide whether to proceed, pause, or change direction.</w:t>
      </w:r>
    </w:p>
    <w:p>
      <w:pPr>
        <w:pStyle w:val="Heading1"/>
        <w:keepNext/>
      </w:pPr>
      <w:r>
        <w:t>14. Worksheets</w:t>
      </w:r>
    </w:p>
    <w:p>
      <w:pPr>
        <w:pStyle w:val="Heading2"/>
        <w:keepNext/>
      </w:pPr>
      <w:r>
        <w:t>Career fit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Prompt</w:t>
            </w:r>
          </w:p>
        </w:tc>
        <w:tc>
          <w:tcPr>
            <w:tcW w:type="dxa" w:w="5083"/>
            <w:shd w:fill="D9EAF7"/>
            <w:vAlign w:val="top"/>
          </w:tcPr>
          <w:p>
            <w:pPr>
              <w:spacing w:after="20" w:before="0" w:line="240" w:lineRule="auto"/>
            </w:pPr>
            <w:r>
              <w:rPr>
                <w:b/>
                <w:sz w:val="17"/>
              </w:rPr>
              <w:t>Your notes</w:t>
            </w:r>
          </w:p>
        </w:tc>
      </w:tr>
      <w:tr>
        <w:trPr/>
        <w:tc>
          <w:tcPr>
            <w:tcW w:type="dxa" w:w="5083"/>
            <w:vAlign w:val="top"/>
          </w:tcPr>
          <w:p>
            <w:pPr>
              <w:spacing w:after="20" w:before="0" w:line="240" w:lineRule="auto"/>
            </w:pPr>
            <w:r>
              <w:rPr>
                <w:sz w:val="17"/>
              </w:rPr>
              <w:t>Tasks I can perform safely</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Conditions I should avoid or accommodate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Schedule and transportation limits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Caregiving responsibilities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Evidence this career fits me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Major unresolved concern</w:t>
            </w:r>
          </w:p>
        </w:tc>
        <w:tc>
          <w:tcPr>
            <w:tcW w:type="dxa" w:w="5083"/>
            <w:vAlign w:val="top"/>
          </w:tcPr>
          <w:p>
            <w:pPr>
              <w:spacing w:after="20" w:before="0" w:line="240" w:lineRule="auto"/>
            </w:pPr>
            <w:r>
              <w:rPr>
                <w:sz w:val="17"/>
              </w:rPr>
            </w:r>
          </w:p>
        </w:tc>
      </w:tr>
    </w:tbl>
    <w:p>
      <w:pPr>
        <w:pStyle w:val="Heading2"/>
        <w:keepNext/>
      </w:pPr>
      <w:r>
        <w:t>Education cost and employer agreement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D9EAF7"/>
            <w:vAlign w:val="top"/>
          </w:tcPr>
          <w:p>
            <w:pPr>
              <w:spacing w:after="20" w:before="0" w:line="240" w:lineRule="auto"/>
            </w:pPr>
            <w:r>
              <w:rPr>
                <w:b/>
                <w:sz w:val="17"/>
              </w:rPr>
              <w:t>Item</w:t>
            </w:r>
          </w:p>
        </w:tc>
        <w:tc>
          <w:tcPr>
            <w:tcW w:type="dxa" w:w="5083"/>
            <w:shd w:fill="D9EAF7"/>
            <w:vAlign w:val="top"/>
          </w:tcPr>
          <w:p>
            <w:pPr>
              <w:spacing w:after="20" w:before="0" w:line="240" w:lineRule="auto"/>
            </w:pPr>
            <w:r>
              <w:rPr>
                <w:b/>
                <w:sz w:val="17"/>
              </w:rPr>
              <w:t>Amount or written term</w:t>
            </w:r>
          </w:p>
        </w:tc>
      </w:tr>
      <w:tr>
        <w:trPr/>
        <w:tc>
          <w:tcPr>
            <w:tcW w:type="dxa" w:w="5083"/>
            <w:vAlign w:val="top"/>
          </w:tcPr>
          <w:p>
            <w:pPr>
              <w:spacing w:after="20" w:before="0" w:line="240" w:lineRule="auto"/>
            </w:pPr>
            <w:r>
              <w:rPr>
                <w:sz w:val="17"/>
              </w:rPr>
              <w:t>Tuition and fees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Books, tools, uniforms, and equipment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Exams, licenses, health checks, and background checks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Travel, childcare, housing, and lost wages</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Employer amount covered</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Service period and start date</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Prorated repayment formula</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Layoff and position-elimination treatment</w:t>
            </w:r>
          </w:p>
        </w:tc>
        <w:tc>
          <w:tcPr>
            <w:tcW w:type="dxa" w:w="5083"/>
            <w:vAlign w:val="top"/>
          </w:tcPr>
          <w:p>
            <w:pPr>
              <w:spacing w:after="20" w:before="0" w:line="240" w:lineRule="auto"/>
            </w:pPr>
            <w:r>
              <w:rPr>
                <w:sz w:val="17"/>
              </w:rPr>
            </w:r>
          </w:p>
        </w:tc>
      </w:tr>
      <w:tr>
        <w:trPr/>
        <w:tc>
          <w:tcPr>
            <w:tcW w:type="dxa" w:w="5083"/>
            <w:vAlign w:val="top"/>
          </w:tcPr>
          <w:p>
            <w:pPr>
              <w:spacing w:after="20" w:before="0" w:line="240" w:lineRule="auto"/>
            </w:pPr>
            <w:r>
              <w:rPr>
                <w:sz w:val="17"/>
              </w:rPr>
              <w:t>Credential and record ownership</w:t>
            </w:r>
          </w:p>
        </w:tc>
        <w:tc>
          <w:tcPr>
            <w:tcW w:type="dxa" w:w="5083"/>
            <w:vAlign w:val="top"/>
          </w:tcPr>
          <w:p>
            <w:pPr>
              <w:spacing w:after="20" w:before="0" w:line="240" w:lineRule="auto"/>
            </w:pPr>
            <w:r>
              <w:rPr>
                <w:sz w:val="17"/>
              </w:rPr>
            </w:r>
          </w:p>
        </w:tc>
      </w:tr>
    </w:tbl>
    <w:p>
      <w:pPr>
        <w:pStyle w:val="Heading1"/>
        <w:keepNext/>
      </w:pPr>
      <w:r>
        <w:t>15. Sources, Versioning, and Maintenance</w:t>
      </w:r>
    </w:p>
    <w:p>
      <w:pPr>
        <w:pStyle w:val="Heading2"/>
        <w:keepNext/>
      </w:pPr>
      <w:r>
        <w:t>Official starting sources</w:t>
      </w:r>
    </w:p>
    <w:p>
      <w:pPr>
        <w:pStyle w:val="ListBullet"/>
        <w:spacing w:before="0" w:after="20" w:line="240" w:lineRule="auto"/>
      </w:pPr>
      <w:hyperlink r:id="rId11">
        <w:r>
          <w:rPr>
            <w:color w:val="0563C1"/>
            <w:u w:val="single"/>
          </w:rPr>
          <w:t>https://www.bls.gov/ooh/management/food-service-managers.htm</w:t>
        </w:r>
      </w:hyperlink>
    </w:p>
    <w:p>
      <w:pPr>
        <w:pStyle w:val="ListBullet"/>
        <w:spacing w:before="0" w:after="20" w:line="240" w:lineRule="auto"/>
      </w:pPr>
      <w:hyperlink r:id="rId12">
        <w:r>
          <w:rPr>
            <w:color w:val="0563C1"/>
            <w:u w:val="single"/>
          </w:rPr>
          <w:t>https://www.fda.gov/food/fda-food-code/food-code-2022</w:t>
        </w:r>
      </w:hyperlink>
    </w:p>
    <w:p>
      <w:pPr>
        <w:pStyle w:val="ListBullet"/>
        <w:spacing w:before="0" w:after="20" w:line="240" w:lineRule="auto"/>
      </w:pPr>
      <w:hyperlink r:id="rId13">
        <w:r>
          <w:rPr>
            <w:color w:val="0563C1"/>
            <w:u w:val="single"/>
          </w:rPr>
          <w:t>https://www.irs.gov/credits-deductions/individuals/education-credits-aotc-and-llc</w:t>
        </w:r>
      </w:hyperlink>
    </w:p>
    <w:p>
      <w:pPr>
        <w:pStyle w:val="ListBullet"/>
        <w:spacing w:before="0" w:after="20" w:line="240" w:lineRule="auto"/>
      </w:pPr>
      <w:hyperlink r:id="rId14">
        <w:r>
          <w:rPr>
            <w:color w:val="0563C1"/>
            <w:u w:val="single"/>
          </w:rPr>
          <w:t>https://www.irs.gov/newsroom/irs-updates-frequently-asked-questions-about-section-127-educational-assistance-programs</w:t>
        </w:r>
      </w:hyperlink>
    </w:p>
    <w:p>
      <w:pPr>
        <w:pStyle w:val="ListBullet"/>
        <w:spacing w:before="0" w:after="20" w:line="240" w:lineRule="auto"/>
      </w:pPr>
      <w:hyperlink r:id="rId15">
        <w:r>
          <w:rPr>
            <w:color w:val="0563C1"/>
            <w:u w:val="single"/>
          </w:rPr>
          <w:t>https://www.apprenticeship.gov/</w:t>
        </w:r>
      </w:hyperlink>
    </w:p>
    <w:p>
      <w:pPr>
        <w:pStyle w:val="ListBullet"/>
        <w:spacing w:before="0" w:after="20" w:line="240" w:lineRule="auto"/>
      </w:pPr>
      <w:hyperlink r:id="rId16">
        <w:r>
          <w:rPr>
            <w:color w:val="0563C1"/>
            <w:u w:val="single"/>
          </w:rPr>
          <w:t>https://www.ed.gov/laws-and-policy/civil-rights-laws/disability-discrimination</w:t>
        </w:r>
      </w:hyperlink>
    </w:p>
    <w:p>
      <w:pPr>
        <w:pStyle w:val="ListBullet"/>
        <w:spacing w:before="0" w:after="20" w:line="240" w:lineRule="auto"/>
      </w:pPr>
      <w:hyperlink r:id="rId17">
        <w:r>
          <w:rPr>
            <w:color w:val="0563C1"/>
            <w:u w:val="single"/>
          </w:rPr>
          <w:t>https://www.dol.gov/agencies/whd</w:t>
        </w:r>
      </w:hyperlink>
    </w:p>
    <w:p>
      <w:pPr>
        <w:pStyle w:val="Heading2"/>
        <w:keepNext/>
      </w:pPr>
      <w:r>
        <w:t>Release and correction policy</w:t>
      </w:r>
    </w:p>
    <w:p>
      <w:pPr>
        <w:pStyle w:val="ListBullet"/>
        <w:spacing w:before="0" w:after="20" w:line="240" w:lineRule="auto"/>
        <w:ind w:left="403" w:hanging="259"/>
      </w:pPr>
      <w:r>
        <w:t>Status: Release candidate pending owner review.</w:t>
      </w:r>
    </w:p>
    <w:p>
      <w:pPr>
        <w:pStyle w:val="ListBullet"/>
        <w:spacing w:before="0" w:after="20" w:line="240" w:lineRule="auto"/>
        <w:ind w:left="403" w:hanging="259"/>
      </w:pPr>
      <w:r>
        <w:t>Version: v1.0 first public edition after approval.</w:t>
      </w:r>
    </w:p>
    <w:p>
      <w:pPr>
        <w:pStyle w:val="ListBullet"/>
        <w:spacing w:before="0" w:after="20" w:line="240" w:lineRule="auto"/>
        <w:ind w:left="403" w:hanging="259"/>
      </w:pPr>
      <w:r>
        <w:t>Factual review date: July 2026.</w:t>
      </w:r>
    </w:p>
    <w:p>
      <w:pPr>
        <w:pStyle w:val="ListBullet"/>
        <w:spacing w:before="0" w:after="20" w:line="240" w:lineRule="auto"/>
        <w:ind w:left="403" w:hanging="259"/>
      </w:pPr>
      <w:r>
        <w:t>Next scheduled review: July 2027 or sooner after a material regulatory, wage, licensing, tax, or credential change.</w:t>
      </w:r>
    </w:p>
    <w:p>
      <w:pPr>
        <w:pStyle w:val="ListBullet"/>
        <w:spacing w:before="0" w:after="20" w:line="240" w:lineRule="auto"/>
        <w:ind w:left="403" w:hanging="259"/>
      </w:pPr>
      <w:r>
        <w:t>Corrections should identify the guide, page or section, source, and requested change.</w:t>
      </w:r>
    </w:p>
    <w:p>
      <w:pPr>
        <w:pStyle w:val="Note"/>
      </w:pPr>
      <w:r>
        <w:rPr>
          <w:b/>
        </w:rPr>
        <w:t xml:space="preserve">Final governing principle: </w:t>
      </w:r>
      <w:r>
        <w:t>When speed and completeness conflict, completeness wins. Uncertainty is disclosed. The reader’s safety, dignity, and informed choice come before institutional convenience.</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Free educational resource • Alberto (Al) Leiva • CC BY-NC-SA 4.0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Lifelong Opportunity Guides | Food Service Manager Trainee and Restaurant Supervisor Guide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before="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160" w:after="6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pageBreakBefore w:val="0"/>
      <w:spacing w:before="100" w:after="40"/>
      <w:outlineLvl w:val="1"/>
    </w:pPr>
    <w:rPr>
      <w:rFonts w:asciiTheme="majorHAnsi" w:eastAsiaTheme="majorEastAsia" w:hAnsiTheme="majorHAnsi" w:cstheme="majorBidi" w:ascii="Aptos Display" w:hAnsi="Aptos Display"/>
      <w:b/>
      <w:bCs/>
      <w:color w:val="3F3F3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0"/>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20" w:line="240" w:lineRule="auto"/>
      <w:contextualSpacing/>
    </w:pPr>
  </w:style>
  <w:style w:type="paragraph" w:styleId="ListBullet2">
    <w:name w:val="List Bullet 2"/>
    <w:basedOn w:val="Normal"/>
    <w:uiPriority w:val="99"/>
    <w:unhideWhenUsed/>
    <w:rsid w:val="00326F90"/>
    <w:pPr>
      <w:numPr>
        <w:numId w:val="2"/>
      </w:numPr>
      <w:spacing w:before="0" w:after="20" w:line="240"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20" w:line="240" w:lineRule="auto"/>
      <w:contextualSpacing/>
    </w:pPr>
  </w:style>
  <w:style w:type="paragraph" w:styleId="ListNumber2">
    <w:name w:val="List Number 2"/>
    <w:basedOn w:val="Normal"/>
    <w:uiPriority w:val="99"/>
    <w:unhideWhenUsed/>
    <w:rsid w:val="0029639D"/>
    <w:pPr>
      <w:numPr>
        <w:numId w:val="6"/>
      </w:numPr>
      <w:spacing w:before="0" w:after="20" w:line="240" w:lineRule="auto"/>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te">
    <w:name w:val="Note"/>
    <w:pPr>
      <w:ind w:left="288" w:right="288"/>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ls.gov/ooh/management/food-service-managers.htm" TargetMode="External"/><Relationship Id="rId12" Type="http://schemas.openxmlformats.org/officeDocument/2006/relationships/hyperlink" Target="https://www.fda.gov/food/fda-food-code/food-code-2022" TargetMode="External"/><Relationship Id="rId13" Type="http://schemas.openxmlformats.org/officeDocument/2006/relationships/hyperlink" Target="https://www.irs.gov/credits-deductions/individuals/education-credits-aotc-and-llc" TargetMode="External"/><Relationship Id="rId14" Type="http://schemas.openxmlformats.org/officeDocument/2006/relationships/hyperlink" Target="https://www.irs.gov/newsroom/irs-updates-frequently-asked-questions-about-section-127-educational-assistance-programs" TargetMode="External"/><Relationship Id="rId15" Type="http://schemas.openxmlformats.org/officeDocument/2006/relationships/hyperlink" Target="https://www.apprenticeship.gov/" TargetMode="External"/><Relationship Id="rId16" Type="http://schemas.openxmlformats.org/officeDocument/2006/relationships/hyperlink" Target="https://www.ed.gov/laws-and-policy/civil-rights-laws/disability-discrimination" TargetMode="External"/><Relationship Id="rId17" Type="http://schemas.openxmlformats.org/officeDocument/2006/relationships/hyperlink" Target="https://www.dol.gov/agencies/wh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Lifelong Opportunity Food Service Manager Trainee and Restaurant Supervisor Guide English v1.0</dc:title>
  <dc:subject>Career guide for Food Service Manager Trainee and Restaurant Supervisor</dc:subject>
  <dc:creator>Alberto (Al) Leiva</dc:creator>
  <cp:keywords>career guide, education, accessibility, employer tuition assistance, ethical AI, worker safety</cp:keywords>
  <dc:description>generated by python-docx</dc:description>
  <cp:lastModifiedBy/>
  <cp:revision>1</cp:revision>
  <dcterms:created xsi:type="dcterms:W3CDTF">2013-12-23T23:15:00Z</dcterms:created>
  <dcterms:modified xsi:type="dcterms:W3CDTF">2013-12-23T23:15:00Z</dcterms:modified>
  <cp:category/>
</cp:coreProperties>
</file>