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226fbbac348924e74d72bff31a2d16e91b1a115"/>
    <w:p>
      <w:pPr>
        <w:pStyle w:val="Heading1"/>
      </w:pPr>
      <w:r>
        <w:t xml:space="preserve">Guía de Oportunidades para Toda la Vida 68 — Panadero/a y trabajador/a de producción de pastelería</w:t>
      </w:r>
    </w:p>
    <w:p>
      <w:pPr>
        <w:pStyle w:val="FirstParagraph"/>
      </w:pPr>
      <w:r>
        <w:rPr>
          <w:bCs/>
          <w:b/>
        </w:rPr>
        <w:t xml:space="preserve">Versión:</w:t>
      </w:r>
      <w:r>
        <w:t xml:space="preserve"> </w:t>
      </w:r>
      <w:r>
        <w:t xml:space="preserve">2.0, maestro de trabajo controlado</w:t>
      </w:r>
      <w:r>
        <w:br/>
      </w:r>
      <w:r>
        <w:rPr>
          <w:bCs/>
          <w:b/>
        </w:rPr>
        <w:t xml:space="preserve">Idioma:</w:t>
      </w:r>
      <w:r>
        <w:t xml:space="preserve"> </w:t>
      </w:r>
      <w:r>
        <w:t xml:space="preserve">español neutro de América Latina (</w:t>
      </w:r>
      <w:r>
        <w:rPr>
          <w:rStyle w:val="VerbatimChar"/>
        </w:rPr>
        <w:t xml:space="preserve">es-419</w:t>
      </w:r>
      <w:r>
        <w:t xml:space="preserve">)</w:t>
      </w:r>
      <w:r>
        <w:br/>
      </w:r>
      <w:r>
        <w:rPr>
          <w:bCs/>
          <w:b/>
        </w:rPr>
        <w:t xml:space="preserve">Referencia ocupacional:</w:t>
      </w:r>
      <w:r>
        <w:t xml:space="preserve"> </w:t>
      </w:r>
      <w:r>
        <w:t xml:space="preserve">O*NET-SOC 51-3011.00 — Bakers</w:t>
      </w:r>
      <w:r>
        <w:br/>
      </w:r>
      <w:r>
        <w:rPr>
          <w:bCs/>
          <w:b/>
        </w:rPr>
        <w:t xml:space="preserve">Comparación con Canadá:</w:t>
      </w:r>
      <w:r>
        <w:t xml:space="preserve"> </w:t>
      </w:r>
      <w:r>
        <w:t xml:space="preserve">NOC 63202 — Bakers</w:t>
      </w:r>
      <w:r>
        <w:br/>
      </w:r>
      <w:r>
        <w:rPr>
          <w:bCs/>
          <w:b/>
        </w:rPr>
        <w:t xml:space="preserve">Fecha de revisión:</w:t>
      </w:r>
      <w:r>
        <w:t xml:space="preserve"> </w:t>
      </w:r>
      <w:r>
        <w:t xml:space="preserve">2026-08-21</w:t>
      </w:r>
    </w:p>
    <w:bookmarkStart w:id="20" w:name="en-qué-consiste-esta-carrera"/>
    <w:p>
      <w:pPr>
        <w:pStyle w:val="Heading2"/>
      </w:pPr>
      <w:r>
        <w:t xml:space="preserve">En qué consiste esta carrera</w:t>
      </w:r>
    </w:p>
    <w:p>
      <w:pPr>
        <w:pStyle w:val="FirstParagraph"/>
      </w:pPr>
      <w:r>
        <w:t xml:space="preserve">Los panaderos y trabajadores de producción de pastelería preparan panes, panecillos, galletas, tortas, tartas, pasteles y otros productos horneados. El trabajo puede realizarse en panaderías minoristas, supermercados, restaurantes, hoteles, hospitales, cocinas institucionales, servicios de catering, panaderías mayoristas y plantas de fabricación de alimentos.</w:t>
      </w:r>
    </w:p>
    <w:p>
      <w:pPr>
        <w:pStyle w:val="BodyText"/>
      </w:pPr>
      <w:r>
        <w:t xml:space="preserve">El título heredado</w:t>
      </w:r>
      <w:r>
        <w:t xml:space="preserve"> </w:t>
      </w:r>
      <w:r>
        <w:rPr>
          <w:bCs/>
          <w:b/>
        </w:rPr>
        <w:t xml:space="preserve">Panadero/a y trabajador/a de producción de pastelería</w:t>
      </w:r>
      <w:r>
        <w:t xml:space="preserve"> </w:t>
      </w:r>
      <w:r>
        <w:t xml:space="preserve">es deliberadamente amplio. Un/a panadero/a puede trabajar con fórmulas o recetas, pesar ingredientes, mezclar y formar masas, preparar rellenos o glaseados, operar hornos y mezcladoras, decorar productos, inspeccionar la calidad, limpiar equipos, rotar ingredientes y mantener registros de producción. Un trabajador de producción puede concentrarse en una parte de un proceso de mayor volumen. Un especialista en pastelería puede encargarse de acabados más detallados o desarrollo de productos.</w:t>
      </w:r>
    </w:p>
    <w:p>
      <w:pPr>
        <w:pStyle w:val="BodyText"/>
      </w:pPr>
      <w:r>
        <w:t xml:space="preserve">El título</w:t>
      </w:r>
      <w:r>
        <w:t xml:space="preserve"> </w:t>
      </w:r>
      <w:r>
        <w:rPr>
          <w:bCs/>
          <w:b/>
        </w:rPr>
        <w:t xml:space="preserve">no</w:t>
      </w:r>
      <w:r>
        <w:t xml:space="preserve"> </w:t>
      </w:r>
      <w:r>
        <w:t xml:space="preserve">significa automáticamente chef pastelero, chef ejecutivo, gerente de panadería, gerente de servicios de alimentos, dietista, nutricionista, científico de alimentos ni otra función de mayor autoridad o regulada. Los empleadores definen las funciones de manera diferente.</w:t>
      </w:r>
    </w:p>
    <w:p>
      <w:pPr>
        <w:pStyle w:val="BodyText"/>
      </w:pPr>
      <w:r>
        <w:t xml:space="preserve">Esta guía utiliza</w:t>
      </w:r>
      <w:r>
        <w:t xml:space="preserve"> </w:t>
      </w:r>
      <w:r>
        <w:rPr>
          <w:bCs/>
          <w:b/>
        </w:rPr>
        <w:t xml:space="preserve">O*NET-SOC 51-3011.00 — Bakers</w:t>
      </w:r>
      <w:r>
        <w:t xml:space="preserve"> </w:t>
      </w:r>
      <w:r>
        <w:t xml:space="preserve">como principal referencia ocupacional de Estados Unidos.</w:t>
      </w:r>
    </w:p>
    <w:bookmarkEnd w:id="20"/>
    <w:bookmarkStart w:id="21" w:name="X3a3cab30941c2ad5eeb9511d280b51b45a20256"/>
    <w:p>
      <w:pPr>
        <w:pStyle w:val="Heading2"/>
      </w:pPr>
      <w:r>
        <w:t xml:space="preserve">Por qué este puesto puede representar una oportunidad</w:t>
      </w:r>
    </w:p>
    <w:p>
      <w:pPr>
        <w:pStyle w:val="FirstParagraph"/>
      </w:pPr>
      <w:r>
        <w:t xml:space="preserve">La panadería combina habilidades prácticas de producción, medición, control del tiempo, control de calidad, creatividad, repetición y trabajo en equipo. Puede ser un punto de entrada para personas que aprenden bien haciendo y también puede conducir hacia producción especializada de pan, pastelería, decoración de tortas, producción comercial, supervisión, emprendimiento, educación culinaria u operaciones de servicios de alimentos.</w:t>
      </w:r>
    </w:p>
    <w:p>
      <w:pPr>
        <w:pStyle w:val="BodyText"/>
      </w:pPr>
      <w:r>
        <w:t xml:space="preserve">Muchos empleadores capacitan a los trabajadores en el puesto. La escuela culinaria formal no es la única vía. Los programas públicos de formación profesional, los aprendizajes, la capacitación del empleador, los cursos cortos y los programas cuidadosamente seleccionados de colegios comunitarios o instituciones técnicas pueden ofrecer alternativas de menor costo.</w:t>
      </w:r>
    </w:p>
    <w:p>
      <w:pPr>
        <w:pStyle w:val="BodyText"/>
      </w:pPr>
      <w:r>
        <w:t xml:space="preserve">El trabajo es físico y está sujeto a tiempos estrictos. Los panaderos pueden comenzar muy temprano, trabajar de noche, permanecer de pie durante largos periodos, levantar ingredientes o bandejas, trabajar cerca de calor y maquinaria y repetir los mismos movimientos muchas veces. La asistencia confiable, la disciplina de saneamiento, la atención a las medidas y la calidad consistente del producto son importantes.</w:t>
      </w:r>
    </w:p>
    <w:bookmarkEnd w:id="21"/>
    <w:bookmarkStart w:id="22" w:name="responsabilidades-típicas"/>
    <w:p>
      <w:pPr>
        <w:pStyle w:val="Heading2"/>
      </w:pPr>
      <w:r>
        <w:t xml:space="preserve">Responsabilidades típicas</w:t>
      </w:r>
    </w:p>
    <w:p>
      <w:pPr>
        <w:pStyle w:val="FirstParagraph"/>
      </w:pPr>
      <w:r>
        <w:t xml:space="preserve">Según el empleador y el nivel de responsabilidad, un/a panadero/a o trabajador/a de producción de pastelería puede:</w:t>
      </w:r>
    </w:p>
    <w:p>
      <w:pPr>
        <w:numPr>
          <w:ilvl w:val="0"/>
          <w:numId w:val="1001"/>
        </w:numPr>
        <w:pStyle w:val="Compact"/>
      </w:pPr>
      <w:r>
        <w:t xml:space="preserve">revisar programas de producción, recetas, fórmulas u órdenes de trabajo;</w:t>
      </w:r>
    </w:p>
    <w:p>
      <w:pPr>
        <w:numPr>
          <w:ilvl w:val="0"/>
          <w:numId w:val="1001"/>
        </w:numPr>
        <w:pStyle w:val="Compact"/>
      </w:pPr>
      <w:r>
        <w:t xml:space="preserve">pesar y medir harina, azúcar, grasas, líquidos, agentes leudantes, saborizantes y otros ingredientes;</w:t>
      </w:r>
    </w:p>
    <w:p>
      <w:pPr>
        <w:numPr>
          <w:ilvl w:val="0"/>
          <w:numId w:val="1001"/>
        </w:numPr>
        <w:pStyle w:val="Compact"/>
      </w:pPr>
      <w:r>
        <w:t xml:space="preserve">mezclar masas, batidos, rellenos, cremas, coberturas o glaseados;</w:t>
      </w:r>
    </w:p>
    <w:p>
      <w:pPr>
        <w:numPr>
          <w:ilvl w:val="0"/>
          <w:numId w:val="1001"/>
        </w:numPr>
        <w:pStyle w:val="Compact"/>
      </w:pPr>
      <w:r>
        <w:t xml:space="preserve">amasar, estirar, dividir, escalar, cortar, formar, fermentar o porcionar masa;</w:t>
      </w:r>
    </w:p>
    <w:p>
      <w:pPr>
        <w:numPr>
          <w:ilvl w:val="0"/>
          <w:numId w:val="1001"/>
        </w:numPr>
        <w:pStyle w:val="Compact"/>
      </w:pPr>
      <w:r>
        <w:t xml:space="preserve">preparar moldes, bandejas, rejillas o líneas de producción;</w:t>
      </w:r>
    </w:p>
    <w:p>
      <w:pPr>
        <w:numPr>
          <w:ilvl w:val="0"/>
          <w:numId w:val="1001"/>
        </w:numPr>
        <w:pStyle w:val="Compact"/>
      </w:pPr>
      <w:r>
        <w:t xml:space="preserve">configurar y supervisar hornos, mezcladoras, cámaras de fermentación, marmitas, depositadores, transportadores, cortadoras, rebanadoras o equipos de empaque dentro de su capacitación y autoridad;</w:t>
      </w:r>
    </w:p>
    <w:p>
      <w:pPr>
        <w:numPr>
          <w:ilvl w:val="0"/>
          <w:numId w:val="1001"/>
        </w:numPr>
        <w:pStyle w:val="Compact"/>
      </w:pPr>
      <w:r>
        <w:t xml:space="preserve">observar color, textura, crecimiento, temperatura, tiempos y otros indicadores de calidad;</w:t>
      </w:r>
    </w:p>
    <w:p>
      <w:pPr>
        <w:numPr>
          <w:ilvl w:val="0"/>
          <w:numId w:val="1001"/>
        </w:numPr>
        <w:pStyle w:val="Compact"/>
      </w:pPr>
      <w:r>
        <w:t xml:space="preserve">aplicar glaseados, coberturas, rellenos, decoraciones, toppings o acabados;</w:t>
      </w:r>
    </w:p>
    <w:p>
      <w:pPr>
        <w:numPr>
          <w:ilvl w:val="0"/>
          <w:numId w:val="1001"/>
        </w:numPr>
        <w:pStyle w:val="Compact"/>
      </w:pPr>
      <w:r>
        <w:t xml:space="preserve">inspeccionar ingredientes y productos terminados para detectar problemas de calidad o daños;</w:t>
      </w:r>
    </w:p>
    <w:p>
      <w:pPr>
        <w:numPr>
          <w:ilvl w:val="0"/>
          <w:numId w:val="1001"/>
        </w:numPr>
        <w:pStyle w:val="Compact"/>
      </w:pPr>
      <w:r>
        <w:t xml:space="preserve">rotar inventario y reportar faltantes o problemas de calidad;</w:t>
      </w:r>
    </w:p>
    <w:p>
      <w:pPr>
        <w:numPr>
          <w:ilvl w:val="0"/>
          <w:numId w:val="1001"/>
        </w:numPr>
        <w:pStyle w:val="Compact"/>
      </w:pPr>
      <w:r>
        <w:t xml:space="preserve">recibir suministros dentro de la autoridad delegada;</w:t>
      </w:r>
    </w:p>
    <w:p>
      <w:pPr>
        <w:numPr>
          <w:ilvl w:val="0"/>
          <w:numId w:val="1001"/>
        </w:numPr>
        <w:pStyle w:val="Compact"/>
      </w:pPr>
      <w:r>
        <w:t xml:space="preserve">registrar lotes, rendimientos, temperaturas, desperdicios, inventario o información de producción;</w:t>
      </w:r>
    </w:p>
    <w:p>
      <w:pPr>
        <w:numPr>
          <w:ilvl w:val="0"/>
          <w:numId w:val="1001"/>
        </w:numPr>
        <w:pStyle w:val="Compact"/>
      </w:pPr>
      <w:r>
        <w:t xml:space="preserve">limpiar y desinfectar superficies de trabajo, herramientas y equipos según procedimientos aprobados;</w:t>
      </w:r>
    </w:p>
    <w:p>
      <w:pPr>
        <w:numPr>
          <w:ilvl w:val="0"/>
          <w:numId w:val="1001"/>
        </w:numPr>
        <w:pStyle w:val="Compact"/>
      </w:pPr>
      <w:r>
        <w:t xml:space="preserve">empacar, etiquetar o preparar productos para despacho cuando corresponda;</w:t>
      </w:r>
    </w:p>
    <w:p>
      <w:pPr>
        <w:numPr>
          <w:ilvl w:val="0"/>
          <w:numId w:val="1001"/>
        </w:numPr>
        <w:pStyle w:val="Compact"/>
      </w:pPr>
      <w:r>
        <w:t xml:space="preserve">reportar problemas de inocuidad de alimentos, alérgenos, equipos, mantenimiento o seguridad laboral;</w:t>
      </w:r>
    </w:p>
    <w:p>
      <w:pPr>
        <w:numPr>
          <w:ilvl w:val="0"/>
          <w:numId w:val="1001"/>
        </w:numPr>
        <w:pStyle w:val="Compact"/>
      </w:pPr>
      <w:r>
        <w:t xml:space="preserve">apoyar la capacitación de nuevos trabajadores o la coordinación rutinaria de producción cuando se le delegue.</w:t>
      </w:r>
    </w:p>
    <w:bookmarkEnd w:id="22"/>
    <w:bookmarkStart w:id="23" w:name="límites-de-autoridad-y-profesionales"/>
    <w:p>
      <w:pPr>
        <w:pStyle w:val="Heading2"/>
      </w:pPr>
      <w:r>
        <w:t xml:space="preserve">Límites de autoridad y profesionales</w:t>
      </w:r>
    </w:p>
    <w:p>
      <w:pPr>
        <w:pStyle w:val="FirstParagraph"/>
      </w:pPr>
      <w:r>
        <w:t xml:space="preserve">No supongas que un título de panadero/a o producción de pastelería otorga autoridad para:</w:t>
      </w:r>
    </w:p>
    <w:p>
      <w:pPr>
        <w:numPr>
          <w:ilvl w:val="0"/>
          <w:numId w:val="1002"/>
        </w:numPr>
        <w:pStyle w:val="Compact"/>
      </w:pPr>
      <w:r>
        <w:t xml:space="preserve">diagnosticar alergias alimentarias, intolerancias, necesidades nutricionales o condiciones médicas;</w:t>
      </w:r>
    </w:p>
    <w:p>
      <w:pPr>
        <w:numPr>
          <w:ilvl w:val="0"/>
          <w:numId w:val="1002"/>
        </w:numPr>
        <w:pStyle w:val="Compact"/>
      </w:pPr>
      <w:r>
        <w:t xml:space="preserve">diseñar dietas terapéuticas sin autoridad clínica calificada;</w:t>
      </w:r>
    </w:p>
    <w:p>
      <w:pPr>
        <w:numPr>
          <w:ilvl w:val="0"/>
          <w:numId w:val="1002"/>
        </w:numPr>
        <w:pStyle w:val="Compact"/>
      </w:pPr>
      <w:r>
        <w:t xml:space="preserve">declarar que un alimento es seguro cuando no se han cumplido los controles requeridos;</w:t>
      </w:r>
    </w:p>
    <w:p>
      <w:pPr>
        <w:numPr>
          <w:ilvl w:val="0"/>
          <w:numId w:val="1002"/>
        </w:numPr>
        <w:pStyle w:val="Compact"/>
      </w:pPr>
      <w:r>
        <w:t xml:space="preserve">anular requisitos de inocuidad de alimentos de la autoridad sanitaria o del empleador;</w:t>
      </w:r>
    </w:p>
    <w:p>
      <w:pPr>
        <w:numPr>
          <w:ilvl w:val="0"/>
          <w:numId w:val="1002"/>
        </w:numPr>
        <w:pStyle w:val="Compact"/>
      </w:pPr>
      <w:r>
        <w:t xml:space="preserve">cambiar recetas validadas, controles de alérgenos, etiquetas o especificaciones de producción cuando se requiere aprobación;</w:t>
      </w:r>
    </w:p>
    <w:p>
      <w:pPr>
        <w:numPr>
          <w:ilvl w:val="0"/>
          <w:numId w:val="1002"/>
        </w:numPr>
        <w:pStyle w:val="Compact"/>
      </w:pPr>
      <w:r>
        <w:t xml:space="preserve">desactivar protecciones de máquinas o procedimientos de mantenimiento/control de energía;</w:t>
      </w:r>
    </w:p>
    <w:p>
      <w:pPr>
        <w:numPr>
          <w:ilvl w:val="0"/>
          <w:numId w:val="1002"/>
        </w:numPr>
        <w:pStyle w:val="Compact"/>
      </w:pPr>
      <w:r>
        <w:t xml:space="preserve">realizar mantenimiento eléctrico, mecánico, de gas, refrigeración u otro mantenimiento especializado fuera de su capacitación y autorización;</w:t>
      </w:r>
    </w:p>
    <w:p>
      <w:pPr>
        <w:numPr>
          <w:ilvl w:val="0"/>
          <w:numId w:val="1002"/>
        </w:numPr>
        <w:pStyle w:val="Compact"/>
      </w:pPr>
      <w:r>
        <w:t xml:space="preserve">contratar, despedir, suspender o disciplinar formalmente empleados salvo que esa autoridad forme parte del cargo;</w:t>
      </w:r>
    </w:p>
    <w:p>
      <w:pPr>
        <w:numPr>
          <w:ilvl w:val="0"/>
          <w:numId w:val="1002"/>
        </w:numPr>
        <w:pStyle w:val="Compact"/>
      </w:pPr>
      <w:r>
        <w:t xml:space="preserve">modificar salarios, nómina o registros de tiempo fuera de procedimientos aprobados;</w:t>
      </w:r>
    </w:p>
    <w:p>
      <w:pPr>
        <w:numPr>
          <w:ilvl w:val="0"/>
          <w:numId w:val="1002"/>
        </w:numPr>
        <w:pStyle w:val="Compact"/>
      </w:pPr>
      <w:r>
        <w:t xml:space="preserve">firmar contratos o aprobar compras importantes sin autoridad delegada;</w:t>
      </w:r>
    </w:p>
    <w:p>
      <w:pPr>
        <w:numPr>
          <w:ilvl w:val="0"/>
          <w:numId w:val="1002"/>
        </w:numPr>
        <w:pStyle w:val="Compact"/>
      </w:pPr>
      <w:r>
        <w:t xml:space="preserve">acceder sin restricciones a información de empleados, clientes, pagos, recetas, proveedores o negocios;</w:t>
      </w:r>
    </w:p>
    <w:p>
      <w:pPr>
        <w:numPr>
          <w:ilvl w:val="0"/>
          <w:numId w:val="1002"/>
        </w:numPr>
        <w:pStyle w:val="Compact"/>
      </w:pPr>
      <w:r>
        <w:t xml:space="preserve">representar al empleador ante reguladores salvo designación formal;</w:t>
      </w:r>
    </w:p>
    <w:p>
      <w:pPr>
        <w:numPr>
          <w:ilvl w:val="0"/>
          <w:numId w:val="1002"/>
        </w:numPr>
        <w:pStyle w:val="Compact"/>
      </w:pPr>
      <w:r>
        <w:t xml:space="preserve">ocultar incidentes de inocuidad, lesiones, acoso, robo, fraude u otros hechos reportables.</w:t>
      </w:r>
    </w:p>
    <w:p>
      <w:pPr>
        <w:pStyle w:val="FirstParagraph"/>
      </w:pPr>
      <w:r>
        <w:t xml:space="preserve">Cuando la autoridad no esté clara, detente y consulta al supervisor o gerente designado.</w:t>
      </w:r>
    </w:p>
    <w:bookmarkEnd w:id="23"/>
    <w:bookmarkStart w:id="24" w:name="entorno-de-trabajo"/>
    <w:p>
      <w:pPr>
        <w:pStyle w:val="Heading2"/>
      </w:pPr>
      <w:r>
        <w:t xml:space="preserve">Entorno de trabajo</w:t>
      </w:r>
    </w:p>
    <w:p>
      <w:pPr>
        <w:pStyle w:val="FirstParagraph"/>
      </w:pPr>
      <w:r>
        <w:t xml:space="preserve">Los panaderos pueden trabajar en pequeñas tiendas minoristas, panaderías de supermercados, restaurantes, hoteles, comisariatos centrales, hospitales, escuelas, cocinas institucionales, panaderías industriales u otras instalaciones de producción de alimentos.</w:t>
      </w:r>
    </w:p>
    <w:p>
      <w:pPr>
        <w:pStyle w:val="BodyText"/>
      </w:pPr>
      <w:r>
        <w:t xml:space="preserve">El trabajo puede incluir:</w:t>
      </w:r>
    </w:p>
    <w:p>
      <w:pPr>
        <w:numPr>
          <w:ilvl w:val="0"/>
          <w:numId w:val="1003"/>
        </w:numPr>
        <w:pStyle w:val="Compact"/>
      </w:pPr>
      <w:r>
        <w:t xml:space="preserve">hornos calientes, vapor, bandejas calientes y equipos calentados;</w:t>
      </w:r>
    </w:p>
    <w:p>
      <w:pPr>
        <w:numPr>
          <w:ilvl w:val="0"/>
          <w:numId w:val="1003"/>
        </w:numPr>
        <w:pStyle w:val="Compact"/>
      </w:pPr>
      <w:r>
        <w:t xml:space="preserve">mezcladoras, rodillos, rebanadoras, transportadores y equipos de empaque motorizados;</w:t>
      </w:r>
    </w:p>
    <w:p>
      <w:pPr>
        <w:numPr>
          <w:ilvl w:val="0"/>
          <w:numId w:val="1003"/>
        </w:numPr>
        <w:pStyle w:val="Compact"/>
      </w:pPr>
      <w:r>
        <w:t xml:space="preserve">polvo de harina y partículas en el aire;</w:t>
      </w:r>
    </w:p>
    <w:p>
      <w:pPr>
        <w:numPr>
          <w:ilvl w:val="0"/>
          <w:numId w:val="1003"/>
        </w:numPr>
        <w:pStyle w:val="Compact"/>
      </w:pPr>
      <w:r>
        <w:t xml:space="preserve">pisos resbalosos;</w:t>
      </w:r>
    </w:p>
    <w:p>
      <w:pPr>
        <w:numPr>
          <w:ilvl w:val="0"/>
          <w:numId w:val="1003"/>
        </w:numPr>
        <w:pStyle w:val="Compact"/>
      </w:pPr>
      <w:r>
        <w:t xml:space="preserve">herramientas afiladas y equipos de corte;</w:t>
      </w:r>
    </w:p>
    <w:p>
      <w:pPr>
        <w:numPr>
          <w:ilvl w:val="0"/>
          <w:numId w:val="1003"/>
        </w:numPr>
        <w:pStyle w:val="Compact"/>
      </w:pPr>
      <w:r>
        <w:t xml:space="preserve">bolsas pesadas de ingredientes, rejillas, bandejas o contenedores;</w:t>
      </w:r>
    </w:p>
    <w:p>
      <w:pPr>
        <w:numPr>
          <w:ilvl w:val="0"/>
          <w:numId w:val="1003"/>
        </w:numPr>
        <w:pStyle w:val="Compact"/>
      </w:pPr>
      <w:r>
        <w:t xml:space="preserve">movimientos repetitivos de manos, muñecas, hombros y espalda;</w:t>
      </w:r>
    </w:p>
    <w:p>
      <w:pPr>
        <w:numPr>
          <w:ilvl w:val="0"/>
          <w:numId w:val="1003"/>
        </w:numPr>
        <w:pStyle w:val="Compact"/>
      </w:pPr>
      <w:r>
        <w:t xml:space="preserve">áreas de almacenamiento en frío;</w:t>
      </w:r>
    </w:p>
    <w:p>
      <w:pPr>
        <w:numPr>
          <w:ilvl w:val="0"/>
          <w:numId w:val="1003"/>
        </w:numPr>
        <w:pStyle w:val="Compact"/>
      </w:pPr>
      <w:r>
        <w:t xml:space="preserve">horarios de madrugada, nocturnos, fines de semana y días festivos;</w:t>
      </w:r>
    </w:p>
    <w:p>
      <w:pPr>
        <w:numPr>
          <w:ilvl w:val="0"/>
          <w:numId w:val="1003"/>
        </w:numPr>
        <w:pStyle w:val="Compact"/>
      </w:pPr>
      <w:r>
        <w:t xml:space="preserve">plazos de producción y picos de demanda de clientes.</w:t>
      </w:r>
    </w:p>
    <w:p>
      <w:pPr>
        <w:pStyle w:val="FirstParagraph"/>
      </w:pPr>
      <w:r>
        <w:t xml:space="preserve">Algunas personas valoran la rutina y los resultados visibles. Otras pueden encontrar difíciles el calor, los horarios, la repetición, el levantamiento de peso o el ritmo de producción. Una observación laboral realista, una visita a la instalación, un turno de prueba donde sea legal o una entrevista informativa pueden ayudar antes de comprometerse con capacitación costosa.</w:t>
      </w:r>
    </w:p>
    <w:bookmarkEnd w:id="24"/>
    <w:bookmarkStart w:id="29" w:name="habilidades-que-valoran-los-empleadores"/>
    <w:p>
      <w:pPr>
        <w:pStyle w:val="Heading2"/>
      </w:pPr>
      <w:r>
        <w:t xml:space="preserve">Habilidades que valoran los empleadores</w:t>
      </w:r>
    </w:p>
    <w:bookmarkStart w:id="25" w:name="habilidades-de-producción"/>
    <w:p>
      <w:pPr>
        <w:pStyle w:val="Heading3"/>
      </w:pPr>
      <w:r>
        <w:t xml:space="preserve">Habilidades de producción</w:t>
      </w:r>
    </w:p>
    <w:p>
      <w:pPr>
        <w:numPr>
          <w:ilvl w:val="0"/>
          <w:numId w:val="1004"/>
        </w:numPr>
        <w:pStyle w:val="Compact"/>
      </w:pPr>
      <w:r>
        <w:t xml:space="preserve">pesaje y medición precisos;</w:t>
      </w:r>
    </w:p>
    <w:p>
      <w:pPr>
        <w:numPr>
          <w:ilvl w:val="0"/>
          <w:numId w:val="1004"/>
        </w:numPr>
        <w:pStyle w:val="Compact"/>
      </w:pPr>
      <w:r>
        <w:t xml:space="preserve">lectura de recetas y fórmulas;</w:t>
      </w:r>
    </w:p>
    <w:p>
      <w:pPr>
        <w:numPr>
          <w:ilvl w:val="0"/>
          <w:numId w:val="1004"/>
        </w:numPr>
        <w:pStyle w:val="Compact"/>
      </w:pPr>
      <w:r>
        <w:t xml:space="preserve">preparación de masas y batidos;</w:t>
      </w:r>
    </w:p>
    <w:p>
      <w:pPr>
        <w:numPr>
          <w:ilvl w:val="0"/>
          <w:numId w:val="1004"/>
        </w:numPr>
        <w:pStyle w:val="Compact"/>
      </w:pPr>
      <w:r>
        <w:t xml:space="preserve">porcionado y escalado;</w:t>
      </w:r>
    </w:p>
    <w:p>
      <w:pPr>
        <w:numPr>
          <w:ilvl w:val="0"/>
          <w:numId w:val="1004"/>
        </w:numPr>
        <w:pStyle w:val="Compact"/>
      </w:pPr>
      <w:r>
        <w:t xml:space="preserve">control de fermentación y horneado;</w:t>
      </w:r>
    </w:p>
    <w:p>
      <w:pPr>
        <w:numPr>
          <w:ilvl w:val="0"/>
          <w:numId w:val="1004"/>
        </w:numPr>
        <w:pStyle w:val="Compact"/>
      </w:pPr>
      <w:r>
        <w:t xml:space="preserve">acabado y decoración;</w:t>
      </w:r>
    </w:p>
    <w:p>
      <w:pPr>
        <w:numPr>
          <w:ilvl w:val="0"/>
          <w:numId w:val="1004"/>
        </w:numPr>
        <w:pStyle w:val="Compact"/>
      </w:pPr>
      <w:r>
        <w:t xml:space="preserve">rotación básica de inventario;</w:t>
      </w:r>
    </w:p>
    <w:p>
      <w:pPr>
        <w:numPr>
          <w:ilvl w:val="0"/>
          <w:numId w:val="1004"/>
        </w:numPr>
        <w:pStyle w:val="Compact"/>
      </w:pPr>
      <w:r>
        <w:t xml:space="preserve">inspección de calidad del producto;</w:t>
      </w:r>
    </w:p>
    <w:p>
      <w:pPr>
        <w:numPr>
          <w:ilvl w:val="0"/>
          <w:numId w:val="1004"/>
        </w:numPr>
        <w:pStyle w:val="Compact"/>
      </w:pPr>
      <w:r>
        <w:t xml:space="preserve">conocimiento de empaque y etiquetado;</w:t>
      </w:r>
    </w:p>
    <w:p>
      <w:pPr>
        <w:numPr>
          <w:ilvl w:val="0"/>
          <w:numId w:val="1004"/>
        </w:numPr>
        <w:pStyle w:val="Compact"/>
      </w:pPr>
      <w:r>
        <w:t xml:space="preserve">mantenimiento de registros de producción.</w:t>
      </w:r>
    </w:p>
    <w:bookmarkEnd w:id="25"/>
    <w:bookmarkStart w:id="26" w:name="habilidades-de-seguridad-y-saneamiento"/>
    <w:p>
      <w:pPr>
        <w:pStyle w:val="Heading3"/>
      </w:pPr>
      <w:r>
        <w:t xml:space="preserve">Habilidades de seguridad y saneamiento</w:t>
      </w:r>
    </w:p>
    <w:p>
      <w:pPr>
        <w:numPr>
          <w:ilvl w:val="0"/>
          <w:numId w:val="1005"/>
        </w:numPr>
        <w:pStyle w:val="Compact"/>
      </w:pPr>
      <w:r>
        <w:t xml:space="preserve">higiene de manos;</w:t>
      </w:r>
    </w:p>
    <w:p>
      <w:pPr>
        <w:numPr>
          <w:ilvl w:val="0"/>
          <w:numId w:val="1005"/>
        </w:numPr>
        <w:pStyle w:val="Compact"/>
      </w:pPr>
      <w:r>
        <w:t xml:space="preserve">limpieza y desinfección;</w:t>
      </w:r>
    </w:p>
    <w:p>
      <w:pPr>
        <w:numPr>
          <w:ilvl w:val="0"/>
          <w:numId w:val="1005"/>
        </w:numPr>
        <w:pStyle w:val="Compact"/>
      </w:pPr>
      <w:r>
        <w:t xml:space="preserve">control de tiempo y temperatura;</w:t>
      </w:r>
    </w:p>
    <w:p>
      <w:pPr>
        <w:numPr>
          <w:ilvl w:val="0"/>
          <w:numId w:val="1005"/>
        </w:numPr>
        <w:pStyle w:val="Compact"/>
      </w:pPr>
      <w:r>
        <w:t xml:space="preserve">prevención de contaminación cruzada;</w:t>
      </w:r>
    </w:p>
    <w:p>
      <w:pPr>
        <w:numPr>
          <w:ilvl w:val="0"/>
          <w:numId w:val="1005"/>
        </w:numPr>
        <w:pStyle w:val="Compact"/>
      </w:pPr>
      <w:r>
        <w:t xml:space="preserve">disciplina de control de alérgenos;</w:t>
      </w:r>
    </w:p>
    <w:p>
      <w:pPr>
        <w:numPr>
          <w:ilvl w:val="0"/>
          <w:numId w:val="1005"/>
        </w:numPr>
        <w:pStyle w:val="Compact"/>
      </w:pPr>
      <w:r>
        <w:t xml:space="preserve">levantamiento seguro;</w:t>
      </w:r>
    </w:p>
    <w:p>
      <w:pPr>
        <w:numPr>
          <w:ilvl w:val="0"/>
          <w:numId w:val="1005"/>
        </w:numPr>
        <w:pStyle w:val="Compact"/>
      </w:pPr>
      <w:r>
        <w:t xml:space="preserve">respuesta a derrames;</w:t>
      </w:r>
    </w:p>
    <w:p>
      <w:pPr>
        <w:numPr>
          <w:ilvl w:val="0"/>
          <w:numId w:val="1005"/>
        </w:numPr>
        <w:pStyle w:val="Compact"/>
      </w:pPr>
      <w:r>
        <w:t xml:space="preserve">prevención de quemaduras y cortaduras;</w:t>
      </w:r>
    </w:p>
    <w:p>
      <w:pPr>
        <w:numPr>
          <w:ilvl w:val="0"/>
          <w:numId w:val="1005"/>
        </w:numPr>
        <w:pStyle w:val="Compact"/>
      </w:pPr>
      <w:r>
        <w:t xml:space="preserve">uso correcto de resguardos y equipos de protección;</w:t>
      </w:r>
    </w:p>
    <w:p>
      <w:pPr>
        <w:numPr>
          <w:ilvl w:val="0"/>
          <w:numId w:val="1005"/>
        </w:numPr>
        <w:pStyle w:val="Compact"/>
      </w:pPr>
      <w:r>
        <w:t xml:space="preserve">escalamiento rápido de incidentes.</w:t>
      </w:r>
    </w:p>
    <w:bookmarkEnd w:id="26"/>
    <w:bookmarkStart w:id="27" w:name="hábitos-de-trabajo"/>
    <w:p>
      <w:pPr>
        <w:pStyle w:val="Heading3"/>
      </w:pPr>
      <w:r>
        <w:t xml:space="preserve">Hábitos de trabajo</w:t>
      </w:r>
    </w:p>
    <w:p>
      <w:pPr>
        <w:numPr>
          <w:ilvl w:val="0"/>
          <w:numId w:val="1006"/>
        </w:numPr>
        <w:pStyle w:val="Compact"/>
      </w:pPr>
      <w:r>
        <w:t xml:space="preserve">atención al detalle;</w:t>
      </w:r>
    </w:p>
    <w:p>
      <w:pPr>
        <w:numPr>
          <w:ilvl w:val="0"/>
          <w:numId w:val="1006"/>
        </w:numPr>
        <w:pStyle w:val="Compact"/>
      </w:pPr>
      <w:r>
        <w:t xml:space="preserve">confiabilidad y puntualidad;</w:t>
      </w:r>
    </w:p>
    <w:p>
      <w:pPr>
        <w:numPr>
          <w:ilvl w:val="0"/>
          <w:numId w:val="1006"/>
        </w:numPr>
        <w:pStyle w:val="Compact"/>
      </w:pPr>
      <w:r>
        <w:t xml:space="preserve">capacidad de seguir procedimientos estandarizados;</w:t>
      </w:r>
    </w:p>
    <w:p>
      <w:pPr>
        <w:numPr>
          <w:ilvl w:val="0"/>
          <w:numId w:val="1006"/>
        </w:numPr>
        <w:pStyle w:val="Compact"/>
      </w:pPr>
      <w:r>
        <w:t xml:space="preserve">comunicación con compañeros y supervisores;</w:t>
      </w:r>
    </w:p>
    <w:p>
      <w:pPr>
        <w:numPr>
          <w:ilvl w:val="0"/>
          <w:numId w:val="1006"/>
        </w:numPr>
        <w:pStyle w:val="Compact"/>
      </w:pPr>
      <w:r>
        <w:t xml:space="preserve">resolución calmada de problemas;</w:t>
      </w:r>
    </w:p>
    <w:p>
      <w:pPr>
        <w:numPr>
          <w:ilvl w:val="0"/>
          <w:numId w:val="1006"/>
        </w:numPr>
        <w:pStyle w:val="Compact"/>
      </w:pPr>
      <w:r>
        <w:t xml:space="preserve">disposición para limpiar como parte del trabajo de producción;</w:t>
      </w:r>
    </w:p>
    <w:p>
      <w:pPr>
        <w:numPr>
          <w:ilvl w:val="0"/>
          <w:numId w:val="1006"/>
        </w:numPr>
        <w:pStyle w:val="Compact"/>
      </w:pPr>
      <w:r>
        <w:t xml:space="preserve">consistencia entre lotes repetidos;</w:t>
      </w:r>
    </w:p>
    <w:p>
      <w:pPr>
        <w:numPr>
          <w:ilvl w:val="0"/>
          <w:numId w:val="1006"/>
        </w:numPr>
        <w:pStyle w:val="Compact"/>
      </w:pPr>
      <w:r>
        <w:t xml:space="preserve">respeto por los controles de producción, seguridad, privacidad y calidad.</w:t>
      </w:r>
    </w:p>
    <w:bookmarkEnd w:id="27"/>
    <w:bookmarkStart w:id="28" w:name="X9250e0ab3873ac2fa7b28505b8ba39350e04089"/>
    <w:p>
      <w:pPr>
        <w:pStyle w:val="Heading3"/>
      </w:pPr>
      <w:r>
        <w:t xml:space="preserve">Habilidades básicas de negocio y tecnología</w:t>
      </w:r>
    </w:p>
    <w:p>
      <w:pPr>
        <w:pStyle w:val="FirstParagraph"/>
      </w:pPr>
      <w:r>
        <w:t xml:space="preserve">Según el empleador, pueden ser útiles las hojas de cálculo, sistemas de inventario, sistemas de punto de venta, software de planificación de producción, sistemas de pedidos, básculas digitales, impresoras de etiquetas, plataformas de programación de turnos, correo electrónico y cálculos básicos de costos y rendimiento.</w:t>
      </w:r>
    </w:p>
    <w:bookmarkEnd w:id="28"/>
    <w:bookmarkEnd w:id="29"/>
    <w:bookmarkStart w:id="30" w:name="Xb4972cc4f5477c5c173c4f9b150ed42f568bb2c"/>
    <w:p>
      <w:pPr>
        <w:pStyle w:val="Heading2"/>
      </w:pPr>
      <w:r>
        <w:t xml:space="preserve">Educación y vías de entrada — Estados Unidos</w:t>
      </w:r>
    </w:p>
    <w:p>
      <w:pPr>
        <w:pStyle w:val="FirstParagraph"/>
      </w:pPr>
      <w:r>
        <w:t xml:space="preserve">La Oficina de Estadísticas Laborales de Estados Unidos indica que los panaderos normalmente no necesitan</w:t>
      </w:r>
      <w:r>
        <w:t xml:space="preserve"> </w:t>
      </w:r>
      <w:r>
        <w:rPr>
          <w:bCs/>
          <w:b/>
        </w:rPr>
        <w:t xml:space="preserve">una credencial educativa formal</w:t>
      </w:r>
      <w:r>
        <w:t xml:space="preserve">, aunque los empleadores pueden preferir o exigir diploma de escuela secundaria. Los panaderos generalmente aprenden mediante capacitación en el trabajo. Algunos trabajadores asisten a escuelas técnicas o culinarias, y el aprendizaje registrado es otra posible vía.</w:t>
      </w:r>
    </w:p>
    <w:p>
      <w:pPr>
        <w:pStyle w:val="BodyText"/>
      </w:pPr>
      <w:r>
        <w:t xml:space="preserve">O</w:t>
      </w:r>
      <w:r>
        <w:rPr>
          <w:iCs/>
          <w:i/>
        </w:rPr>
        <w:t xml:space="preserve">NET ubica a Bakers en Job Zone 1–2, lo que significa que la preparación varía desde muy poca hasta alguna preparación según el puesto. O</w:t>
      </w:r>
      <w:r>
        <w:t xml:space="preserve">NET informa que la capacitación laboral puede variar desde algunos días hasta un año.</w:t>
      </w:r>
    </w:p>
    <w:p>
      <w:pPr>
        <w:pStyle w:val="BodyText"/>
      </w:pPr>
      <w:r>
        <w:t xml:space="preserve">Una progresión práctica y de bajo costo puede ser:</w:t>
      </w:r>
    </w:p>
    <w:p>
      <w:pPr>
        <w:numPr>
          <w:ilvl w:val="0"/>
          <w:numId w:val="1007"/>
        </w:numPr>
        <w:pStyle w:val="Compact"/>
      </w:pPr>
      <w:r>
        <w:t xml:space="preserve">aprender nociones básicas de inocuidad de alimentos, medición y seguridad en cocina;</w:t>
      </w:r>
    </w:p>
    <w:p>
      <w:pPr>
        <w:numPr>
          <w:ilvl w:val="0"/>
          <w:numId w:val="1007"/>
        </w:numPr>
        <w:pStyle w:val="Compact"/>
      </w:pPr>
      <w:r>
        <w:t xml:space="preserve">obtener experiencia inicial en producción de alimentos o panadería;</w:t>
      </w:r>
    </w:p>
    <w:p>
      <w:pPr>
        <w:numPr>
          <w:ilvl w:val="0"/>
          <w:numId w:val="1007"/>
        </w:numPr>
        <w:pStyle w:val="Compact"/>
      </w:pPr>
      <w:r>
        <w:t xml:space="preserve">practicar pesaje, mezcla, formado, fermentación, horneado, limpieza y registro;</w:t>
      </w:r>
    </w:p>
    <w:p>
      <w:pPr>
        <w:numPr>
          <w:ilvl w:val="0"/>
          <w:numId w:val="1007"/>
        </w:numPr>
        <w:pStyle w:val="Compact"/>
      </w:pPr>
      <w:r>
        <w:t xml:space="preserve">aprender las recetas, fórmulas, equipos, controles de alérgenos y estándares de calidad del empleador;</w:t>
      </w:r>
    </w:p>
    <w:p>
      <w:pPr>
        <w:numPr>
          <w:ilvl w:val="0"/>
          <w:numId w:val="1007"/>
        </w:numPr>
        <w:pStyle w:val="Compact"/>
      </w:pPr>
      <w:r>
        <w:t xml:space="preserve">tomar primero capacitación pagada por el empleador o pública antes de comprar cursos privados costosos;</w:t>
      </w:r>
    </w:p>
    <w:p>
      <w:pPr>
        <w:numPr>
          <w:ilvl w:val="0"/>
          <w:numId w:val="1007"/>
        </w:numPr>
        <w:pStyle w:val="Compact"/>
      </w:pPr>
      <w:r>
        <w:t xml:space="preserve">desarrollar evidencia de producción consistente, bajo desperdicio, trabajo seguro, confiabilidad y calidad;</w:t>
      </w:r>
    </w:p>
    <w:p>
      <w:pPr>
        <w:numPr>
          <w:ilvl w:val="0"/>
          <w:numId w:val="1007"/>
        </w:numPr>
        <w:pStyle w:val="Compact"/>
      </w:pPr>
      <w:r>
        <w:t xml:space="preserve">buscar aprendizaje, educación técnica, especialización en pastelería o desarrollo de supervisión solo cuando se ajuste al puesto objetivo.</w:t>
      </w:r>
    </w:p>
    <w:bookmarkEnd w:id="30"/>
    <w:bookmarkStart w:id="31" w:name="X7a3869fb8f48c68631bdc6b906421bcfcf9232a"/>
    <w:p>
      <w:pPr>
        <w:pStyle w:val="Heading2"/>
      </w:pPr>
      <w:r>
        <w:t xml:space="preserve">Registered Apprenticeship — Estados Unidos</w:t>
      </w:r>
    </w:p>
    <w:p>
      <w:pPr>
        <w:pStyle w:val="FirstParagraph"/>
      </w:pPr>
      <w:r>
        <w:t xml:space="preserve">O*NET lista tres títulos de ejemplo de Registered Apprenticeship para Bakers:</w:t>
      </w:r>
    </w:p>
    <w:p>
      <w:pPr>
        <w:numPr>
          <w:ilvl w:val="0"/>
          <w:numId w:val="1008"/>
        </w:numPr>
        <w:pStyle w:val="Compact"/>
      </w:pPr>
      <w:r>
        <w:rPr>
          <w:bCs/>
          <w:b/>
        </w:rPr>
        <w:t xml:space="preserve">Baker (Bake Produce)</w:t>
      </w:r>
      <w:r>
        <w:t xml:space="preserve">;</w:t>
      </w:r>
    </w:p>
    <w:p>
      <w:pPr>
        <w:numPr>
          <w:ilvl w:val="0"/>
          <w:numId w:val="1008"/>
        </w:numPr>
        <w:pStyle w:val="Compact"/>
      </w:pPr>
      <w:r>
        <w:rPr>
          <w:bCs/>
          <w:b/>
        </w:rPr>
        <w:t xml:space="preserve">Baker (Hotel &amp; Restaurant)</w:t>
      </w:r>
      <w:r>
        <w:t xml:space="preserve">;</w:t>
      </w:r>
    </w:p>
    <w:p>
      <w:pPr>
        <w:numPr>
          <w:ilvl w:val="0"/>
          <w:numId w:val="1008"/>
        </w:numPr>
        <w:pStyle w:val="Compact"/>
      </w:pPr>
      <w:r>
        <w:rPr>
          <w:bCs/>
          <w:b/>
        </w:rPr>
        <w:t xml:space="preserve">Cook, Pastry (Hotel &amp; Restaurant)</w:t>
      </w:r>
      <w:r>
        <w:t xml:space="preserve">.</w:t>
      </w:r>
    </w:p>
    <w:p>
      <w:pPr>
        <w:pStyle w:val="FirstParagraph"/>
      </w:pPr>
      <w:r>
        <w:t xml:space="preserve">Estos títulos están aprobados para uso en programas de Registered Apprenticeship, pero un título aprobado no significa que exista una vacante en todas las regiones. Busca oportunidades reales en</w:t>
      </w:r>
      <w:r>
        <w:t xml:space="preserve"> </w:t>
      </w:r>
      <w:r>
        <w:rPr>
          <w:bCs/>
          <w:b/>
        </w:rPr>
        <w:t xml:space="preserve">Apprenticeship.gov</w:t>
      </w:r>
      <w:r>
        <w:t xml:space="preserve"> </w:t>
      </w:r>
      <w:r>
        <w:t xml:space="preserve">y con socios locales de fuerza laboral.</w:t>
      </w:r>
    </w:p>
    <w:p>
      <w:pPr>
        <w:pStyle w:val="BodyText"/>
      </w:pPr>
      <w:r>
        <w:t xml:space="preserve">Antes de aceptar un aprendizaje, verifica empleador, patrocinador, progresión salarial, horas de capacitación, requisitos de aula, credencial resultante, costos, horario y que el programa esté realmente registrado.</w:t>
      </w:r>
    </w:p>
    <w:bookmarkEnd w:id="31"/>
    <w:bookmarkStart w:id="32" w:name="X058936547fce286dc72e8e3e50bb17f01a883d7"/>
    <w:p>
      <w:pPr>
        <w:pStyle w:val="Heading2"/>
      </w:pPr>
      <w:r>
        <w:t xml:space="preserve">Requisitos de inocuidad de alimentos — verificar localmente</w:t>
      </w:r>
    </w:p>
    <w:p>
      <w:pPr>
        <w:pStyle w:val="FirstParagraph"/>
      </w:pPr>
      <w:r>
        <w:t xml:space="preserve">El</w:t>
      </w:r>
      <w:r>
        <w:t xml:space="preserve"> </w:t>
      </w:r>
      <w:r>
        <w:rPr>
          <w:bCs/>
          <w:b/>
        </w:rPr>
        <w:t xml:space="preserve">Food Code 2022</w:t>
      </w:r>
      <w:r>
        <w:t xml:space="preserve"> </w:t>
      </w:r>
      <w:r>
        <w:t xml:space="preserve">de la FDA, con el suplemento de diciembre de 2024, es un modelo para la inocuidad en comercios minoristas y servicios de alimentos. No es una única ley nacional de panaderías. Las autoridades estatales, locales, tribales, territoriales y federales deciden cómo se adoptan y aplican sus disposiciones.</w:t>
      </w:r>
    </w:p>
    <w:p>
      <w:pPr>
        <w:pStyle w:val="BodyText"/>
      </w:pPr>
      <w:r>
        <w:t xml:space="preserve">Antes de pagar por capacitación de manipulador de alimentos, gerente de protección de alimentos, alérgenos o similar, verifica:</w:t>
      </w:r>
    </w:p>
    <w:p>
      <w:pPr>
        <w:numPr>
          <w:ilvl w:val="0"/>
          <w:numId w:val="1009"/>
        </w:numPr>
        <w:pStyle w:val="Compact"/>
      </w:pPr>
      <w:r>
        <w:t xml:space="preserve">la autoridad sanitaria competente;</w:t>
      </w:r>
    </w:p>
    <w:p>
      <w:pPr>
        <w:numPr>
          <w:ilvl w:val="0"/>
          <w:numId w:val="1009"/>
        </w:numPr>
        <w:pStyle w:val="Compact"/>
      </w:pPr>
      <w:r>
        <w:t xml:space="preserve">la credencial o capacitación exacta exigida para el trabajo;</w:t>
      </w:r>
    </w:p>
    <w:p>
      <w:pPr>
        <w:numPr>
          <w:ilvl w:val="0"/>
          <w:numId w:val="1009"/>
        </w:numPr>
        <w:pStyle w:val="Compact"/>
      </w:pPr>
      <w:r>
        <w:t xml:space="preserve">si el empleador paga la capacitación o tarifas de examen;</w:t>
      </w:r>
    </w:p>
    <w:p>
      <w:pPr>
        <w:numPr>
          <w:ilvl w:val="0"/>
          <w:numId w:val="1009"/>
        </w:numPr>
        <w:pStyle w:val="Compact"/>
      </w:pPr>
      <w:r>
        <w:t xml:space="preserve">los requisitos de renovación;</w:t>
      </w:r>
    </w:p>
    <w:p>
      <w:pPr>
        <w:numPr>
          <w:ilvl w:val="0"/>
          <w:numId w:val="1009"/>
        </w:numPr>
        <w:pStyle w:val="Compact"/>
      </w:pPr>
      <w:r>
        <w:t xml:space="preserve">si el requisito aplica personalmente al trabajador o a una persona designada a cargo;</w:t>
      </w:r>
    </w:p>
    <w:p>
      <w:pPr>
        <w:numPr>
          <w:ilvl w:val="0"/>
          <w:numId w:val="1009"/>
        </w:numPr>
        <w:pStyle w:val="Compact"/>
      </w:pPr>
      <w:r>
        <w:t xml:space="preserve">si una instalación de fabricación está regulada bajo un marco distinto al de una panadería minorista o restaurante.</w:t>
      </w:r>
    </w:p>
    <w:p>
      <w:pPr>
        <w:pStyle w:val="FirstParagraph"/>
      </w:pPr>
      <w:r>
        <w:t xml:space="preserve">Nunca supongas que un certificado privado satisface todos los requisitos de cada jurisdicción o tipo de establecimiento.</w:t>
      </w:r>
    </w:p>
    <w:bookmarkEnd w:id="32"/>
    <w:bookmarkStart w:id="34" w:name="Xb75736471ff860c3b6a8a60d2e9bcdbfe00f8f1"/>
    <w:p>
      <w:pPr>
        <w:pStyle w:val="Heading2"/>
      </w:pPr>
      <w:r>
        <w:t xml:space="preserve">Inocuidad de alimentos y conciencia sobre alérgenos</w:t>
      </w:r>
    </w:p>
    <w:p>
      <w:pPr>
        <w:pStyle w:val="FirstParagraph"/>
      </w:pPr>
      <w:r>
        <w:t xml:space="preserve">Trata los controles de inocuidad como requisitos operativos, no como sugerencias. Sigue los procedimientos aprobados por el empleador y las reglas aplicables para:</w:t>
      </w:r>
    </w:p>
    <w:p>
      <w:pPr>
        <w:numPr>
          <w:ilvl w:val="0"/>
          <w:numId w:val="1010"/>
        </w:numPr>
        <w:pStyle w:val="Compact"/>
      </w:pPr>
      <w:r>
        <w:t xml:space="preserve">lavado de manos e higiene personal;</w:t>
      </w:r>
    </w:p>
    <w:p>
      <w:pPr>
        <w:numPr>
          <w:ilvl w:val="0"/>
          <w:numId w:val="1010"/>
        </w:numPr>
        <w:pStyle w:val="Compact"/>
      </w:pPr>
      <w:r>
        <w:t xml:space="preserve">reporte de enfermedad de empleados;</w:t>
      </w:r>
    </w:p>
    <w:p>
      <w:pPr>
        <w:numPr>
          <w:ilvl w:val="0"/>
          <w:numId w:val="1010"/>
        </w:numPr>
        <w:pStyle w:val="Compact"/>
      </w:pPr>
      <w:r>
        <w:t xml:space="preserve">recepción y almacenamiento;</w:t>
      </w:r>
    </w:p>
    <w:p>
      <w:pPr>
        <w:numPr>
          <w:ilvl w:val="0"/>
          <w:numId w:val="1010"/>
        </w:numPr>
        <w:pStyle w:val="Compact"/>
      </w:pPr>
      <w:r>
        <w:t xml:space="preserve">rotación de existencias;</w:t>
      </w:r>
    </w:p>
    <w:p>
      <w:pPr>
        <w:numPr>
          <w:ilvl w:val="0"/>
          <w:numId w:val="1010"/>
        </w:numPr>
        <w:pStyle w:val="Compact"/>
      </w:pPr>
      <w:r>
        <w:t xml:space="preserve">controles de tiempo y temperatura;</w:t>
      </w:r>
    </w:p>
    <w:p>
      <w:pPr>
        <w:numPr>
          <w:ilvl w:val="0"/>
          <w:numId w:val="1010"/>
        </w:numPr>
        <w:pStyle w:val="Compact"/>
      </w:pPr>
      <w:r>
        <w:t xml:space="preserve">prevención de contaminación cruzada;</w:t>
      </w:r>
    </w:p>
    <w:p>
      <w:pPr>
        <w:numPr>
          <w:ilvl w:val="0"/>
          <w:numId w:val="1010"/>
        </w:numPr>
        <w:pStyle w:val="Compact"/>
      </w:pPr>
      <w:r>
        <w:t xml:space="preserve">limpieza y desinfección;</w:t>
      </w:r>
    </w:p>
    <w:p>
      <w:pPr>
        <w:numPr>
          <w:ilvl w:val="0"/>
          <w:numId w:val="1010"/>
        </w:numPr>
        <w:pStyle w:val="Compact"/>
      </w:pPr>
      <w:r>
        <w:t xml:space="preserve">control de plagas;</w:t>
      </w:r>
    </w:p>
    <w:p>
      <w:pPr>
        <w:numPr>
          <w:ilvl w:val="0"/>
          <w:numId w:val="1010"/>
        </w:numPr>
        <w:pStyle w:val="Compact"/>
      </w:pPr>
      <w:r>
        <w:t xml:space="preserve">manejo de residuos;</w:t>
      </w:r>
    </w:p>
    <w:p>
      <w:pPr>
        <w:numPr>
          <w:ilvl w:val="0"/>
          <w:numId w:val="1010"/>
        </w:numPr>
        <w:pStyle w:val="Compact"/>
      </w:pPr>
      <w:r>
        <w:t xml:space="preserve">recetas aprobadas y especificaciones de producción;</w:t>
      </w:r>
    </w:p>
    <w:p>
      <w:pPr>
        <w:numPr>
          <w:ilvl w:val="0"/>
          <w:numId w:val="1010"/>
        </w:numPr>
        <w:pStyle w:val="Compact"/>
      </w:pPr>
      <w:r>
        <w:t xml:space="preserve">controles de ingredientes y alérgenos;</w:t>
      </w:r>
    </w:p>
    <w:p>
      <w:pPr>
        <w:numPr>
          <w:ilvl w:val="0"/>
          <w:numId w:val="1010"/>
        </w:numPr>
        <w:pStyle w:val="Compact"/>
      </w:pPr>
      <w:r>
        <w:t xml:space="preserve">etiquetado cuando corresponda;</w:t>
      </w:r>
    </w:p>
    <w:p>
      <w:pPr>
        <w:numPr>
          <w:ilvl w:val="0"/>
          <w:numId w:val="1010"/>
        </w:numPr>
        <w:pStyle w:val="Compact"/>
      </w:pPr>
      <w:r>
        <w:t xml:space="preserve">reporte de incidentes y disposición del producto.</w:t>
      </w:r>
    </w:p>
    <w:bookmarkStart w:id="33" w:name="alérgenos"/>
    <w:p>
      <w:pPr>
        <w:pStyle w:val="Heading3"/>
      </w:pPr>
      <w:r>
        <w:t xml:space="preserve">Alérgenos</w:t>
      </w:r>
    </w:p>
    <w:p>
      <w:pPr>
        <w:pStyle w:val="FirstParagraph"/>
      </w:pPr>
      <w:r>
        <w:t xml:space="preserve">Las panaderías trabajan con frecuencia con ingredientes que pueden representar riesgos graves de alérgenos. No adivines sobre ingredientes, equipos compartidos, sustituciones, contacto cruzado o si un producto es seguro para un cliente específico.</w:t>
      </w:r>
    </w:p>
    <w:p>
      <w:pPr>
        <w:pStyle w:val="BodyText"/>
      </w:pPr>
      <w:r>
        <w:t xml:space="preserve">Usa listas de ingredientes, recetas, información de proveedores, etiquetas y procedimientos aprobados por el empleador. Si la información está incompleta o es incierta, escala la situación en lugar de improvisar.</w:t>
      </w:r>
    </w:p>
    <w:p>
      <w:pPr>
        <w:pStyle w:val="BodyText"/>
      </w:pPr>
      <w:r>
        <w:t xml:space="preserve">No diagnostiques alergias ni hagas afirmaciones médicas.</w:t>
      </w:r>
    </w:p>
    <w:bookmarkEnd w:id="33"/>
    <w:bookmarkEnd w:id="34"/>
    <w:bookmarkStart w:id="35" w:name="seguridad-del-trabajador"/>
    <w:p>
      <w:pPr>
        <w:pStyle w:val="Heading2"/>
      </w:pPr>
      <w:r>
        <w:t xml:space="preserve">Seguridad del trabajador</w:t>
      </w:r>
    </w:p>
    <w:p>
      <w:pPr>
        <w:pStyle w:val="FirstParagraph"/>
      </w:pPr>
      <w:r>
        <w:t xml:space="preserve">Una panadería segura depende tanto de la capacitación como de una conducta disciplinada de producción.</w:t>
      </w:r>
    </w:p>
    <w:p>
      <w:pPr>
        <w:pStyle w:val="BodyText"/>
      </w:pPr>
      <w:r>
        <w:t xml:space="preserve">Los riesgos importantes pueden incluir:</w:t>
      </w:r>
    </w:p>
    <w:p>
      <w:pPr>
        <w:numPr>
          <w:ilvl w:val="0"/>
          <w:numId w:val="1011"/>
        </w:numPr>
        <w:pStyle w:val="Compact"/>
      </w:pPr>
      <w:r>
        <w:t xml:space="preserve">quemaduras por hornos, vapor, bandejas, rejillas, azúcar caliente o rellenos calientes;</w:t>
      </w:r>
    </w:p>
    <w:p>
      <w:pPr>
        <w:numPr>
          <w:ilvl w:val="0"/>
          <w:numId w:val="1011"/>
        </w:numPr>
        <w:pStyle w:val="Compact"/>
      </w:pPr>
      <w:r>
        <w:t xml:space="preserve">cortaduras por cuchillos, rebanadoras o herramientas afiladas;</w:t>
      </w:r>
    </w:p>
    <w:p>
      <w:pPr>
        <w:numPr>
          <w:ilvl w:val="0"/>
          <w:numId w:val="1011"/>
        </w:numPr>
        <w:pStyle w:val="Compact"/>
      </w:pPr>
      <w:r>
        <w:t xml:space="preserve">riesgos de atrapamiento o enredo en mezcladoras, rodillos, transportadores y otra maquinaria motorizada;</w:t>
      </w:r>
    </w:p>
    <w:p>
      <w:pPr>
        <w:numPr>
          <w:ilvl w:val="0"/>
          <w:numId w:val="1011"/>
        </w:numPr>
        <w:pStyle w:val="Compact"/>
      </w:pPr>
      <w:r>
        <w:t xml:space="preserve">lesiones por levantar o empujar;</w:t>
      </w:r>
    </w:p>
    <w:p>
      <w:pPr>
        <w:numPr>
          <w:ilvl w:val="0"/>
          <w:numId w:val="1011"/>
        </w:numPr>
        <w:pStyle w:val="Compact"/>
      </w:pPr>
      <w:r>
        <w:t xml:space="preserve">resbalones y caídas;</w:t>
      </w:r>
    </w:p>
    <w:p>
      <w:pPr>
        <w:numPr>
          <w:ilvl w:val="0"/>
          <w:numId w:val="1011"/>
        </w:numPr>
        <w:pStyle w:val="Compact"/>
      </w:pPr>
      <w:r>
        <w:t xml:space="preserve">lesiones por movimientos repetitivos;</w:t>
      </w:r>
    </w:p>
    <w:p>
      <w:pPr>
        <w:numPr>
          <w:ilvl w:val="0"/>
          <w:numId w:val="1011"/>
        </w:numPr>
        <w:pStyle w:val="Compact"/>
      </w:pPr>
      <w:r>
        <w:t xml:space="preserve">polvo de harina y productos químicos de limpieza;</w:t>
      </w:r>
    </w:p>
    <w:p>
      <w:pPr>
        <w:numPr>
          <w:ilvl w:val="0"/>
          <w:numId w:val="1011"/>
        </w:numPr>
        <w:pStyle w:val="Compact"/>
      </w:pPr>
      <w:r>
        <w:t xml:space="preserve">riesgos de incendio o gas;</w:t>
      </w:r>
    </w:p>
    <w:p>
      <w:pPr>
        <w:numPr>
          <w:ilvl w:val="0"/>
          <w:numId w:val="1011"/>
        </w:numPr>
        <w:pStyle w:val="Compact"/>
      </w:pPr>
      <w:r>
        <w:t xml:space="preserve">mantenimiento o limpieza insegura de equipos energizados.</w:t>
      </w:r>
    </w:p>
    <w:p>
      <w:pPr>
        <w:pStyle w:val="FirstParagraph"/>
      </w:pPr>
      <w:r>
        <w:t xml:space="preserve">Nunca retires ni anules una protección de máquina para aumentar la velocidad. Sigue los procedimientos del empleador para apagado, limpieza, mantenimiento y aislamiento de energía. Las reparaciones especializadas deben ser realizadas solo por personal capacitado y autorizado.</w:t>
      </w:r>
    </w:p>
    <w:bookmarkEnd w:id="35"/>
    <w:bookmarkStart w:id="36" w:name="vía-en-canadá"/>
    <w:p>
      <w:pPr>
        <w:pStyle w:val="Heading2"/>
      </w:pPr>
      <w:r>
        <w:t xml:space="preserve">Vía en Canadá</w:t>
      </w:r>
    </w:p>
    <w:p>
      <w:pPr>
        <w:pStyle w:val="FirstParagraph"/>
      </w:pPr>
      <w:r>
        <w:t xml:space="preserve">La referencia canadiense más cercana es</w:t>
      </w:r>
      <w:r>
        <w:t xml:space="preserve"> </w:t>
      </w:r>
      <w:r>
        <w:rPr>
          <w:bCs/>
          <w:b/>
        </w:rPr>
        <w:t xml:space="preserve">NOC 63202 — Bakers</w:t>
      </w:r>
      <w:r>
        <w:t xml:space="preserve">. Job Bank describe a los panaderos como trabajadores que preparan panes, panecillos, muffins, tartas, pasteles, tortas y galletas en panaderías minoristas y mayoristas y establecimientos de comida. El grupo incluye aprendices y panaderos que son supervisores.</w:t>
      </w:r>
    </w:p>
    <w:p>
      <w:pPr>
        <w:pStyle w:val="BodyText"/>
      </w:pPr>
      <w:r>
        <w:t xml:space="preserve">Job Bank indica que:</w:t>
      </w:r>
    </w:p>
    <w:p>
      <w:pPr>
        <w:numPr>
          <w:ilvl w:val="0"/>
          <w:numId w:val="1012"/>
        </w:numPr>
        <w:pStyle w:val="Compact"/>
      </w:pPr>
      <w:r>
        <w:t xml:space="preserve">normalmente se requiere completar la escuela secundaria;</w:t>
      </w:r>
    </w:p>
    <w:p>
      <w:pPr>
        <w:numPr>
          <w:ilvl w:val="0"/>
          <w:numId w:val="1012"/>
        </w:numPr>
        <w:pStyle w:val="Compact"/>
      </w:pPr>
      <w:r>
        <w:t xml:space="preserve">puede ofrecerse capacitación en el trabajo;</w:t>
      </w:r>
    </w:p>
    <w:p>
      <w:pPr>
        <w:numPr>
          <w:ilvl w:val="0"/>
          <w:numId w:val="1012"/>
        </w:numPr>
        <w:pStyle w:val="Compact"/>
      </w:pPr>
      <w:r>
        <w:t xml:space="preserve">normalmente se requiere completar un aprendizaje de panadero de tres o cuatro años, un programa universitario u otro programa para panaderos, o varios años de experiencia comercial en panadería;</w:t>
      </w:r>
    </w:p>
    <w:p>
      <w:pPr>
        <w:numPr>
          <w:ilvl w:val="0"/>
          <w:numId w:val="1012"/>
        </w:numPr>
        <w:pStyle w:val="Compact"/>
      </w:pPr>
      <w:r>
        <w:t xml:space="preserve">la certificación del oficio está disponible pero es voluntaria en las provincias y territorios indicados;</w:t>
      </w:r>
    </w:p>
    <w:p>
      <w:pPr>
        <w:numPr>
          <w:ilvl w:val="0"/>
          <w:numId w:val="1012"/>
        </w:numPr>
        <w:pStyle w:val="Compact"/>
      </w:pPr>
      <w:r>
        <w:t xml:space="preserve">los panaderos calificados pueden obtener la certificación</w:t>
      </w:r>
      <w:r>
        <w:t xml:space="preserve"> </w:t>
      </w:r>
      <w:r>
        <w:rPr>
          <w:bCs/>
          <w:b/>
        </w:rPr>
        <w:t xml:space="preserve">Red Seal</w:t>
      </w:r>
      <w:r>
        <w:t xml:space="preserve"> </w:t>
      </w:r>
      <w:r>
        <w:t xml:space="preserve">después de aprobar el examen interprovincial.</w:t>
      </w:r>
    </w:p>
    <w:p>
      <w:pPr>
        <w:pStyle w:val="FirstParagraph"/>
      </w:pPr>
      <w:r>
        <w:t xml:space="preserve">Verifica los requisitos actuales de aprendizaje, certificación, inocuidad de alimentos, empleo y empleadores de la provincia o territorio antes de inscribirte o aceptar responsabilidades.</w:t>
      </w:r>
    </w:p>
    <w:bookmarkEnd w:id="36"/>
    <w:bookmarkStart w:id="40" w:name="vía-en-colombia"/>
    <w:p>
      <w:pPr>
        <w:pStyle w:val="Heading2"/>
      </w:pPr>
      <w:r>
        <w:t xml:space="preserve">Vía en Colombia</w:t>
      </w:r>
    </w:p>
    <w:p>
      <w:pPr>
        <w:pStyle w:val="FirstParagraph"/>
      </w:pPr>
      <w:r>
        <w:t xml:space="preserve">SENA Betowa ofrece ejemplos actuales de formación pública que pueden reducir la necesidad de educación privada costosa.</w:t>
      </w:r>
    </w:p>
    <w:bookmarkStart w:id="37" w:name="pasteleria--técnico"/>
    <w:p>
      <w:pPr>
        <w:pStyle w:val="Heading3"/>
      </w:pPr>
      <w:r>
        <w:t xml:space="preserve">PASTELERIA — Técnico</w:t>
      </w:r>
    </w:p>
    <w:p>
      <w:pPr>
        <w:pStyle w:val="FirstParagraph"/>
      </w:pPr>
      <w:r>
        <w:t xml:space="preserve">SENA actualmente lista</w:t>
      </w:r>
      <w:r>
        <w:t xml:space="preserve"> </w:t>
      </w:r>
      <w:r>
        <w:rPr>
          <w:bCs/>
          <w:b/>
        </w:rPr>
        <w:t xml:space="preserve">PASTELERIA</w:t>
      </w:r>
      <w:r>
        <w:t xml:space="preserve"> </w:t>
      </w:r>
      <w:r>
        <w:t xml:space="preserve">como programa presencial de formación titulada (</w:t>
      </w:r>
      <w:r>
        <w:rPr>
          <w:rStyle w:val="VerbatimChar"/>
        </w:rPr>
        <w:t xml:space="preserve">Titulada</w:t>
      </w:r>
      <w:r>
        <w:t xml:space="preserve">)</w:t>
      </w:r>
      <w:r>
        <w:t xml:space="preserve"> </w:t>
      </w:r>
      <w:r>
        <w:rPr>
          <w:bCs/>
          <w:b/>
        </w:rPr>
        <w:t xml:space="preserve">Técnico</w:t>
      </w:r>
      <w:r>
        <w:t xml:space="preserve">, con una duración indicada de</w:t>
      </w:r>
      <w:r>
        <w:t xml:space="preserve"> </w:t>
      </w:r>
      <w:r>
        <w:rPr>
          <w:bCs/>
          <w:b/>
        </w:rPr>
        <w:t xml:space="preserve">2,208 horas</w:t>
      </w:r>
      <w:r>
        <w:t xml:space="preserve">. El programa incluye producción de pastelería, higienización de instalaciones de alimentos, almacenamiento, seguridad y salud en el trabajo, emprendimiento, comunicación, inglés, herramientas digitales y una etapa práctica.</w:t>
      </w:r>
    </w:p>
    <w:p>
      <w:pPr>
        <w:pStyle w:val="BodyText"/>
      </w:pPr>
      <w:r>
        <w:t xml:space="preserve">La página actual del programa indica un requisito adicional de certificado de educación secundaria. Las convocatorias, ubicación, requisitos previos, horario y disponibilidad pueden cambiar, por lo que se debe verificar directamente en Betowa.</w:t>
      </w:r>
    </w:p>
    <w:bookmarkEnd w:id="37"/>
    <w:bookmarkStart w:id="38" w:name="X4752eec630320296aa609114d025b38099acce9"/>
    <w:p>
      <w:pPr>
        <w:pStyle w:val="Heading3"/>
      </w:pPr>
      <w:r>
        <w:t xml:space="preserve">PASTELERIA — formación complementaria virtual</w:t>
      </w:r>
    </w:p>
    <w:p>
      <w:pPr>
        <w:pStyle w:val="FirstParagraph"/>
      </w:pPr>
      <w:r>
        <w:t xml:space="preserve">SENA también lista un programa complementario virtual</w:t>
      </w:r>
      <w:r>
        <w:t xml:space="preserve"> </w:t>
      </w:r>
      <w:r>
        <w:rPr>
          <w:bCs/>
          <w:b/>
        </w:rPr>
        <w:t xml:space="preserve">PASTELERIA</w:t>
      </w:r>
      <w:r>
        <w:t xml:space="preserve"> </w:t>
      </w:r>
      <w:r>
        <w:t xml:space="preserve">de</w:t>
      </w:r>
      <w:r>
        <w:t xml:space="preserve"> </w:t>
      </w:r>
      <w:r>
        <w:rPr>
          <w:bCs/>
          <w:b/>
        </w:rPr>
        <w:t xml:space="preserve">40 horas</w:t>
      </w:r>
      <w:r>
        <w:t xml:space="preserve"> </w:t>
      </w:r>
      <w:r>
        <w:t xml:space="preserve">que cubre condiciones de pastelería, maquinaria/equipos, ingredientes y buenas prácticas de manufactura.</w:t>
      </w:r>
    </w:p>
    <w:bookmarkEnd w:id="38"/>
    <w:bookmarkStart w:id="39" w:name="procesos-basicos-de-panaderia"/>
    <w:p>
      <w:pPr>
        <w:pStyle w:val="Heading3"/>
      </w:pPr>
      <w:r>
        <w:t xml:space="preserve">PROCESOS BASICOS DE PANADERIA</w:t>
      </w:r>
    </w:p>
    <w:p>
      <w:pPr>
        <w:pStyle w:val="FirstParagraph"/>
      </w:pPr>
      <w:r>
        <w:t xml:space="preserve">SENA lista</w:t>
      </w:r>
      <w:r>
        <w:t xml:space="preserve"> </w:t>
      </w:r>
      <w:r>
        <w:rPr>
          <w:bCs/>
          <w:b/>
        </w:rPr>
        <w:t xml:space="preserve">PROCESOS BASICOS DE PANADERIA</w:t>
      </w:r>
      <w:r>
        <w:t xml:space="preserve"> </w:t>
      </w:r>
      <w:r>
        <w:t xml:space="preserve">como curso especial complementario presencial de</w:t>
      </w:r>
      <w:r>
        <w:t xml:space="preserve"> </w:t>
      </w:r>
      <w:r>
        <w:rPr>
          <w:bCs/>
          <w:b/>
        </w:rPr>
        <w:t xml:space="preserve">100 horas</w:t>
      </w:r>
      <w:r>
        <w:t xml:space="preserve">, centrado en preparar productos horneados de acuerdo con los requisitos de producción.</w:t>
      </w:r>
    </w:p>
    <w:p>
      <w:pPr>
        <w:pStyle w:val="BodyText"/>
      </w:pPr>
      <w:r>
        <w:t xml:space="preserve">Estos programas públicos pueden ser vías útiles de aprendizaje cuando están disponibles, pero completarlos no garantiza empleo, promoción, autorización de inocuidad de alimentos ni condición de chef.</w:t>
      </w:r>
    </w:p>
    <w:p>
      <w:pPr>
        <w:pStyle w:val="BodyText"/>
      </w:pPr>
      <w:r>
        <w:t xml:space="preserve">Esta guía no presenta una cifra salarial nacional para Colombia.</w:t>
      </w:r>
    </w:p>
    <w:bookmarkEnd w:id="39"/>
    <w:bookmarkEnd w:id="40"/>
    <w:bookmarkStart w:id="41" w:name="vía-en-américa-latina"/>
    <w:p>
      <w:pPr>
        <w:pStyle w:val="Heading2"/>
      </w:pPr>
      <w:r>
        <w:t xml:space="preserve">Vía en América Latina</w:t>
      </w:r>
    </w:p>
    <w:p>
      <w:pPr>
        <w:pStyle w:val="FirstParagraph"/>
      </w:pPr>
      <w:r>
        <w:t xml:space="preserve">Los requisitos de formación varían ampliamente en América Latina. Como puntos de partida pueden servir instituciones nacionales de formación profesional, ministerios de trabajo o educación, institutos técnicos públicos, escuelas de hotelería, academias de empleadores e instituciones vinculadas mediante</w:t>
      </w:r>
      <w:r>
        <w:t xml:space="preserve"> </w:t>
      </w:r>
      <w:r>
        <w:rPr>
          <w:bCs/>
          <w:b/>
        </w:rPr>
        <w:t xml:space="preserve">OIT/Cinterfor</w:t>
      </w:r>
      <w:r>
        <w:t xml:space="preserve">.</w:t>
      </w:r>
    </w:p>
    <w:p>
      <w:pPr>
        <w:pStyle w:val="BodyText"/>
      </w:pPr>
      <w:r>
        <w:t xml:space="preserve">OIT/Cinterfor mantiene una red regional de conocimiento sobre formación profesional y ha publicado orientación sobre seguridad y salud ocupacional para el sector de gastronomía.</w:t>
      </w:r>
    </w:p>
    <w:p>
      <w:pPr>
        <w:pStyle w:val="BodyText"/>
      </w:pPr>
      <w:r>
        <w:t xml:space="preserve">Antes de inscribirte, verifica:</w:t>
      </w:r>
    </w:p>
    <w:p>
      <w:pPr>
        <w:numPr>
          <w:ilvl w:val="0"/>
          <w:numId w:val="1013"/>
        </w:numPr>
        <w:pStyle w:val="Compact"/>
      </w:pPr>
      <w:r>
        <w:t xml:space="preserve">si el proveedor tiene reconocimiento donde este sea relevante;</w:t>
      </w:r>
    </w:p>
    <w:p>
      <w:pPr>
        <w:numPr>
          <w:ilvl w:val="0"/>
          <w:numId w:val="1013"/>
        </w:numPr>
        <w:pStyle w:val="Compact"/>
      </w:pPr>
      <w:r>
        <w:t xml:space="preserve">matrícula y todos los costos adicionales;</w:t>
      </w:r>
    </w:p>
    <w:p>
      <w:pPr>
        <w:numPr>
          <w:ilvl w:val="0"/>
          <w:numId w:val="1013"/>
        </w:numPr>
        <w:pStyle w:val="Compact"/>
      </w:pPr>
      <w:r>
        <w:t xml:space="preserve">herramientas, uniformes, ingredientes y tarifas de examen;</w:t>
      </w:r>
    </w:p>
    <w:p>
      <w:pPr>
        <w:numPr>
          <w:ilvl w:val="0"/>
          <w:numId w:val="1013"/>
        </w:numPr>
        <w:pStyle w:val="Compact"/>
      </w:pPr>
      <w:r>
        <w:t xml:space="preserve">transporte y horario;</w:t>
      </w:r>
    </w:p>
    <w:p>
      <w:pPr>
        <w:numPr>
          <w:ilvl w:val="0"/>
          <w:numId w:val="1013"/>
        </w:numPr>
        <w:pStyle w:val="Compact"/>
      </w:pPr>
      <w:r>
        <w:t xml:space="preserve">requisitos de manipulador de alimentos o documentos de salud;</w:t>
      </w:r>
    </w:p>
    <w:p>
      <w:pPr>
        <w:numPr>
          <w:ilvl w:val="0"/>
          <w:numId w:val="1013"/>
        </w:numPr>
        <w:pStyle w:val="Compact"/>
      </w:pPr>
      <w:r>
        <w:t xml:space="preserve">requisitos de etapa práctica o pasantía;</w:t>
      </w:r>
    </w:p>
    <w:p>
      <w:pPr>
        <w:numPr>
          <w:ilvl w:val="0"/>
          <w:numId w:val="1013"/>
        </w:numPr>
        <w:pStyle w:val="Compact"/>
      </w:pPr>
      <w:r>
        <w:t xml:space="preserve">accesibilidad y apoyo al estudiante;</w:t>
      </w:r>
    </w:p>
    <w:p>
      <w:pPr>
        <w:numPr>
          <w:ilvl w:val="0"/>
          <w:numId w:val="1013"/>
        </w:numPr>
        <w:pStyle w:val="Compact"/>
      </w:pPr>
      <w:r>
        <w:t xml:space="preserve">si la credencial puede utilizarse con otro empleador o en otra jurisdicción.</w:t>
      </w:r>
    </w:p>
    <w:bookmarkEnd w:id="41"/>
    <w:bookmarkStart w:id="44" w:name="X63ae4bf97a5bb19e465c3d456f8bd2b9698ba67"/>
    <w:p>
      <w:pPr>
        <w:pStyle w:val="Heading2"/>
      </w:pPr>
      <w:r>
        <w:t xml:space="preserve">Estrategia de capacitación, financiamiento y becas con prioridad en opciones gratuitas</w:t>
      </w:r>
    </w:p>
    <w:p>
      <w:pPr>
        <w:pStyle w:val="FirstParagraph"/>
      </w:pPr>
      <w:r>
        <w:t xml:space="preserve">Antes de endeudarte o pagar una escuela culinaria privada costosa, investiga rutas de menor costo.</w:t>
      </w:r>
    </w:p>
    <w:bookmarkStart w:id="42" w:name="estados-unidos"/>
    <w:p>
      <w:pPr>
        <w:pStyle w:val="Heading3"/>
      </w:pPr>
      <w:r>
        <w:t xml:space="preserve">Estados Unidos</w:t>
      </w:r>
    </w:p>
    <w:p>
      <w:pPr>
        <w:pStyle w:val="FirstParagraph"/>
      </w:pPr>
      <w:r>
        <w:t xml:space="preserve">Utiliza:</w:t>
      </w:r>
    </w:p>
    <w:p>
      <w:pPr>
        <w:numPr>
          <w:ilvl w:val="0"/>
          <w:numId w:val="1014"/>
        </w:numPr>
        <w:pStyle w:val="Compact"/>
      </w:pPr>
      <w:r>
        <w:rPr>
          <w:bCs/>
          <w:b/>
        </w:rPr>
        <w:t xml:space="preserve">CareerOneStop Find Training</w:t>
      </w:r>
      <w:r>
        <w:t xml:space="preserve"> </w:t>
      </w:r>
      <w:r>
        <w:t xml:space="preserve">para opciones locales de educación y capacitación;</w:t>
      </w:r>
    </w:p>
    <w:p>
      <w:pPr>
        <w:numPr>
          <w:ilvl w:val="0"/>
          <w:numId w:val="1014"/>
        </w:numPr>
        <w:pStyle w:val="Compact"/>
      </w:pPr>
      <w:r>
        <w:t xml:space="preserve">el</w:t>
      </w:r>
      <w:r>
        <w:t xml:space="preserve"> </w:t>
      </w:r>
      <w:r>
        <w:rPr>
          <w:bCs/>
          <w:b/>
        </w:rPr>
        <w:t xml:space="preserve">WIOA-Eligible Training Program Finder</w:t>
      </w:r>
      <w:r>
        <w:t xml:space="preserve"> </w:t>
      </w:r>
      <w:r>
        <w:t xml:space="preserve">y los American Job Centers para investigar apoyo de Workforce Innovation and Opportunity Act cuando se cumplan los requisitos;</w:t>
      </w:r>
    </w:p>
    <w:p>
      <w:pPr>
        <w:numPr>
          <w:ilvl w:val="0"/>
          <w:numId w:val="1014"/>
        </w:numPr>
        <w:pStyle w:val="Compact"/>
      </w:pPr>
      <w:r>
        <w:rPr>
          <w:bCs/>
          <w:b/>
        </w:rPr>
        <w:t xml:space="preserve">CareerOneStop Scholarship Finder</w:t>
      </w:r>
      <w:r>
        <w:t xml:space="preserve"> </w:t>
      </w:r>
      <w:r>
        <w:t xml:space="preserve">para buscar becas, fellowships, subvenciones y otras oportunidades de ayuda financiera;</w:t>
      </w:r>
    </w:p>
    <w:p>
      <w:pPr>
        <w:numPr>
          <w:ilvl w:val="0"/>
          <w:numId w:val="1014"/>
        </w:numPr>
        <w:pStyle w:val="Compact"/>
      </w:pPr>
      <w:r>
        <w:rPr>
          <w:bCs/>
          <w:b/>
        </w:rPr>
        <w:t xml:space="preserve">Apprenticeship.gov</w:t>
      </w:r>
      <w:r>
        <w:t xml:space="preserve"> </w:t>
      </w:r>
      <w:r>
        <w:t xml:space="preserve">para oportunidades reales de Registered Apprenticeship;</w:t>
      </w:r>
    </w:p>
    <w:p>
      <w:pPr>
        <w:numPr>
          <w:ilvl w:val="0"/>
          <w:numId w:val="1014"/>
        </w:numPr>
        <w:pStyle w:val="Compact"/>
      </w:pPr>
      <w:r>
        <w:t xml:space="preserve">colegios comunitarios e instituciones técnicas públicas;</w:t>
      </w:r>
    </w:p>
    <w:p>
      <w:pPr>
        <w:numPr>
          <w:ilvl w:val="0"/>
          <w:numId w:val="1014"/>
        </w:numPr>
        <w:pStyle w:val="Compact"/>
      </w:pPr>
      <w:r>
        <w:t xml:space="preserve">capacitación pagada por el empleador, reembolso de matrícula, capacitación cruzada, mentoría o aprendizaje.</w:t>
      </w:r>
    </w:p>
    <w:p>
      <w:pPr>
        <w:pStyle w:val="FirstParagraph"/>
      </w:pPr>
      <w:r>
        <w:t xml:space="preserve">Las bases de datos de becas y financiamiento son herramientas de descubrimiento. Verifica siempre elegibilidad, fechas límite, condiciones de la ayuda, acreditación/reconocimiento cuando corresponda y costo total del programa con el patrocinador original y la institución.</w:t>
      </w:r>
    </w:p>
    <w:bookmarkEnd w:id="42"/>
    <w:bookmarkStart w:id="43" w:name="desarrollo-apoyado-por-el-empleador"/>
    <w:p>
      <w:pPr>
        <w:pStyle w:val="Heading3"/>
      </w:pPr>
      <w:r>
        <w:t xml:space="preserve">Desarrollo apoyado por el empleador</w:t>
      </w:r>
    </w:p>
    <w:p>
      <w:pPr>
        <w:pStyle w:val="FirstParagraph"/>
      </w:pPr>
      <w:r>
        <w:t xml:space="preserve">Pregunta si el empleador ofrece:</w:t>
      </w:r>
    </w:p>
    <w:p>
      <w:pPr>
        <w:numPr>
          <w:ilvl w:val="0"/>
          <w:numId w:val="1015"/>
        </w:numPr>
        <w:pStyle w:val="Compact"/>
      </w:pPr>
      <w:r>
        <w:t xml:space="preserve">inducción pagada;</w:t>
      </w:r>
    </w:p>
    <w:p>
      <w:pPr>
        <w:numPr>
          <w:ilvl w:val="0"/>
          <w:numId w:val="1015"/>
        </w:numPr>
        <w:pStyle w:val="Compact"/>
      </w:pPr>
      <w:r>
        <w:t xml:space="preserve">capacitación en inocuidad de alimentos o alérgenos;</w:t>
      </w:r>
    </w:p>
    <w:p>
      <w:pPr>
        <w:numPr>
          <w:ilvl w:val="0"/>
          <w:numId w:val="1015"/>
        </w:numPr>
        <w:pStyle w:val="Compact"/>
      </w:pPr>
      <w:r>
        <w:t xml:space="preserve">certificación de equipos o capacitación de operador;</w:t>
      </w:r>
    </w:p>
    <w:p>
      <w:pPr>
        <w:numPr>
          <w:ilvl w:val="0"/>
          <w:numId w:val="1015"/>
        </w:numPr>
        <w:pStyle w:val="Compact"/>
      </w:pPr>
      <w:r>
        <w:t xml:space="preserve">capacitación cruzada en pan, pastelería, acabado de tortas o producción;</w:t>
      </w:r>
    </w:p>
    <w:p>
      <w:pPr>
        <w:numPr>
          <w:ilvl w:val="0"/>
          <w:numId w:val="1015"/>
        </w:numPr>
        <w:pStyle w:val="Compact"/>
      </w:pPr>
      <w:r>
        <w:t xml:space="preserve">reembolso de matrícula;</w:t>
      </w:r>
    </w:p>
    <w:p>
      <w:pPr>
        <w:numPr>
          <w:ilvl w:val="0"/>
          <w:numId w:val="1015"/>
        </w:numPr>
        <w:pStyle w:val="Compact"/>
      </w:pPr>
      <w:r>
        <w:t xml:space="preserve">aprendizaje pagado;</w:t>
      </w:r>
    </w:p>
    <w:p>
      <w:pPr>
        <w:numPr>
          <w:ilvl w:val="0"/>
          <w:numId w:val="1015"/>
        </w:numPr>
        <w:pStyle w:val="Compact"/>
      </w:pPr>
      <w:r>
        <w:t xml:space="preserve">desarrollo para líder de turno o supervisor;</w:t>
      </w:r>
    </w:p>
    <w:p>
      <w:pPr>
        <w:numPr>
          <w:ilvl w:val="0"/>
          <w:numId w:val="1015"/>
        </w:numPr>
        <w:pStyle w:val="Compact"/>
      </w:pPr>
      <w:r>
        <w:t xml:space="preserve">mentoría por panaderos o personal de pastelería con experiencia.</w:t>
      </w:r>
    </w:p>
    <w:p>
      <w:pPr>
        <w:pStyle w:val="FirstParagraph"/>
      </w:pPr>
      <w:r>
        <w:t xml:space="preserve">La capacitación proporcionada por el empleador puede ser más útil que un curso privado genérico cuando enseña exactamente las fórmulas, equipos, estándares de calidad y controles usados en el trabajo.</w:t>
      </w:r>
    </w:p>
    <w:bookmarkEnd w:id="43"/>
    <w:bookmarkEnd w:id="44"/>
    <w:bookmarkStart w:id="48" w:name="compensación--estados-unidos"/>
    <w:p>
      <w:pPr>
        <w:pStyle w:val="Heading2"/>
      </w:pPr>
      <w:r>
        <w:t xml:space="preserve">Compensación — Estados Unidos</w:t>
      </w:r>
    </w:p>
    <w:bookmarkStart w:id="45" w:name="referencia-oficial-onetbls-2025"/>
    <w:p>
      <w:pPr>
        <w:pStyle w:val="Heading3"/>
      </w:pPr>
      <w:r>
        <w:t xml:space="preserve">Referencia oficial O*NET/BLS 2025</w:t>
      </w:r>
    </w:p>
    <w:p>
      <w:pPr>
        <w:pStyle w:val="FirstParagraph"/>
      </w:pPr>
      <w:r>
        <w:t xml:space="preserve">O*NET informa actualmente datos salariales nacionales BLS de</w:t>
      </w:r>
      <w:r>
        <w:t xml:space="preserve"> </w:t>
      </w:r>
      <w:r>
        <w:rPr>
          <w:bCs/>
          <w:b/>
        </w:rPr>
        <w:t xml:space="preserve">2025</w:t>
      </w:r>
      <w:r>
        <w:t xml:space="preserve"> </w:t>
      </w:r>
      <w:r>
        <w:t xml:space="preserve">para Bakers (</w:t>
      </w:r>
      <w:r>
        <w:rPr>
          <w:rStyle w:val="VerbatimChar"/>
        </w:rPr>
        <w:t xml:space="preserve">51-3011.00</w:t>
      </w:r>
      <w:r>
        <w:t xml:space="preserve">):</w:t>
      </w:r>
    </w:p>
    <w:p>
      <w:pPr>
        <w:numPr>
          <w:ilvl w:val="0"/>
          <w:numId w:val="1016"/>
        </w:numPr>
        <w:pStyle w:val="Compact"/>
      </w:pPr>
      <w:r>
        <w:t xml:space="preserve">mediana por hora:</w:t>
      </w:r>
      <w:r>
        <w:t xml:space="preserve"> </w:t>
      </w:r>
      <w:r>
        <w:rPr>
          <w:bCs/>
          <w:b/>
        </w:rPr>
        <w:t xml:space="preserve">USD $17.86</w:t>
      </w:r>
      <w:r>
        <w:t xml:space="preserve">;</w:t>
      </w:r>
    </w:p>
    <w:p>
      <w:pPr>
        <w:numPr>
          <w:ilvl w:val="0"/>
          <w:numId w:val="1016"/>
        </w:numPr>
        <w:pStyle w:val="Compact"/>
      </w:pPr>
      <w:r>
        <w:t xml:space="preserve">mediana anual:</w:t>
      </w:r>
      <w:r>
        <w:t xml:space="preserve"> </w:t>
      </w:r>
      <w:r>
        <w:rPr>
          <w:bCs/>
          <w:b/>
        </w:rPr>
        <w:t xml:space="preserve">USD $37,160</w:t>
      </w:r>
      <w:r>
        <w:t xml:space="preserve">;</w:t>
      </w:r>
    </w:p>
    <w:p>
      <w:pPr>
        <w:numPr>
          <w:ilvl w:val="0"/>
          <w:numId w:val="1016"/>
        </w:numPr>
        <w:pStyle w:val="Compact"/>
      </w:pPr>
      <w:r>
        <w:t xml:space="preserve">percentil 10 anual:</w:t>
      </w:r>
      <w:r>
        <w:t xml:space="preserve"> </w:t>
      </w:r>
      <w:r>
        <w:rPr>
          <w:bCs/>
          <w:b/>
        </w:rPr>
        <w:t xml:space="preserve">USD $28,120</w:t>
      </w:r>
      <w:r>
        <w:t xml:space="preserve">;</w:t>
      </w:r>
    </w:p>
    <w:p>
      <w:pPr>
        <w:numPr>
          <w:ilvl w:val="0"/>
          <w:numId w:val="1016"/>
        </w:numPr>
        <w:pStyle w:val="Compact"/>
      </w:pPr>
      <w:r>
        <w:t xml:space="preserve">percentil 25 anual:</w:t>
      </w:r>
      <w:r>
        <w:t xml:space="preserve"> </w:t>
      </w:r>
      <w:r>
        <w:rPr>
          <w:bCs/>
          <w:b/>
        </w:rPr>
        <w:t xml:space="preserve">USD $32,660</w:t>
      </w:r>
      <w:r>
        <w:t xml:space="preserve">;</w:t>
      </w:r>
    </w:p>
    <w:p>
      <w:pPr>
        <w:numPr>
          <w:ilvl w:val="0"/>
          <w:numId w:val="1016"/>
        </w:numPr>
        <w:pStyle w:val="Compact"/>
      </w:pPr>
      <w:r>
        <w:t xml:space="preserve">percentil 75 anual:</w:t>
      </w:r>
      <w:r>
        <w:t xml:space="preserve"> </w:t>
      </w:r>
      <w:r>
        <w:rPr>
          <w:bCs/>
          <w:b/>
        </w:rPr>
        <w:t xml:space="preserve">USD $44,360</w:t>
      </w:r>
      <w:r>
        <w:t xml:space="preserve">;</w:t>
      </w:r>
    </w:p>
    <w:p>
      <w:pPr>
        <w:numPr>
          <w:ilvl w:val="0"/>
          <w:numId w:val="1016"/>
        </w:numPr>
        <w:pStyle w:val="Compact"/>
      </w:pPr>
      <w:r>
        <w:t xml:space="preserve">percentil 90 anual:</w:t>
      </w:r>
      <w:r>
        <w:t xml:space="preserve"> </w:t>
      </w:r>
      <w:r>
        <w:rPr>
          <w:bCs/>
          <w:b/>
        </w:rPr>
        <w:t xml:space="preserve">USD $49,020</w:t>
      </w:r>
      <w:r>
        <w:t xml:space="preserve">.</w:t>
      </w:r>
    </w:p>
    <w:p>
      <w:pPr>
        <w:pStyle w:val="FirstParagraph"/>
      </w:pPr>
      <w:r>
        <w:t xml:space="preserve">O*NET informa aproximadamente</w:t>
      </w:r>
      <w:r>
        <w:t xml:space="preserve"> </w:t>
      </w:r>
      <w:r>
        <w:rPr>
          <w:bCs/>
          <w:b/>
        </w:rPr>
        <w:t xml:space="preserve">249,100</w:t>
      </w:r>
      <w:r>
        <w:t xml:space="preserve"> </w:t>
      </w:r>
      <w:r>
        <w:t xml:space="preserve">Bakers empleados en 2024, crecimiento proyectado en el rango de</w:t>
      </w:r>
      <w:r>
        <w:t xml:space="preserve"> </w:t>
      </w:r>
      <w:r>
        <w:rPr>
          <w:bCs/>
          <w:b/>
        </w:rPr>
        <w:t xml:space="preserve">5%–6%</w:t>
      </w:r>
      <w:r>
        <w:t xml:space="preserve"> </w:t>
      </w:r>
      <w:r>
        <w:t xml:space="preserve">para 2024–2034 y</w:t>
      </w:r>
      <w:r>
        <w:t xml:space="preserve"> </w:t>
      </w:r>
      <w:r>
        <w:rPr>
          <w:bCs/>
          <w:b/>
        </w:rPr>
        <w:t xml:space="preserve">39,900</w:t>
      </w:r>
      <w:r>
        <w:t xml:space="preserve"> </w:t>
      </w:r>
      <w:r>
        <w:t xml:space="preserve">vacantes proyectadas.</w:t>
      </w:r>
    </w:p>
    <w:bookmarkEnd w:id="45"/>
    <w:bookmarkStart w:id="46" w:name="comparación-bls-de-mayo-de-2024"/>
    <w:p>
      <w:pPr>
        <w:pStyle w:val="Heading3"/>
      </w:pPr>
      <w:r>
        <w:t xml:space="preserve">Comparación BLS de mayo de 2024</w:t>
      </w:r>
    </w:p>
    <w:p>
      <w:pPr>
        <w:pStyle w:val="FirstParagraph"/>
      </w:pPr>
      <w:r>
        <w:t xml:space="preserve">El Occupational Outlook Handbook de BLS informa una</w:t>
      </w:r>
      <w:r>
        <w:t xml:space="preserve"> </w:t>
      </w:r>
      <w:r>
        <w:rPr>
          <w:bCs/>
          <w:b/>
        </w:rPr>
        <w:t xml:space="preserve">mediana salarial anual de mayo de 2024 de USD $36,650</w:t>
      </w:r>
      <w:r>
        <w:t xml:space="preserve">. BLS proyecta que el empleo aumentará de aproximadamente</w:t>
      </w:r>
      <w:r>
        <w:t xml:space="preserve"> </w:t>
      </w:r>
      <w:r>
        <w:rPr>
          <w:bCs/>
          <w:b/>
        </w:rPr>
        <w:t xml:space="preserve">249,100</w:t>
      </w:r>
      <w:r>
        <w:t xml:space="preserve"> </w:t>
      </w:r>
      <w:r>
        <w:t xml:space="preserve">en 2024 a aproximadamente</w:t>
      </w:r>
      <w:r>
        <w:t xml:space="preserve"> </w:t>
      </w:r>
      <w:r>
        <w:rPr>
          <w:bCs/>
          <w:b/>
        </w:rPr>
        <w:t xml:space="preserve">263,200</w:t>
      </w:r>
      <w:r>
        <w:t xml:space="preserve"> </w:t>
      </w:r>
      <w:r>
        <w:t xml:space="preserve">en 2034, o un crecimiento de</w:t>
      </w:r>
      <w:r>
        <w:t xml:space="preserve"> </w:t>
      </w:r>
      <w:r>
        <w:rPr>
          <w:bCs/>
          <w:b/>
        </w:rPr>
        <w:t xml:space="preserve">6%</w:t>
      </w:r>
      <w:r>
        <w:t xml:space="preserve">, con aproximadamente</w:t>
      </w:r>
      <w:r>
        <w:t xml:space="preserve"> </w:t>
      </w:r>
      <w:r>
        <w:rPr>
          <w:bCs/>
          <w:b/>
        </w:rPr>
        <w:t xml:space="preserve">39,900 vacantes por año</w:t>
      </w:r>
      <w:r>
        <w:t xml:space="preserve"> </w:t>
      </w:r>
      <w:r>
        <w:t xml:space="preserve">durante la década.</w:t>
      </w:r>
    </w:p>
    <w:p>
      <w:pPr>
        <w:pStyle w:val="BodyText"/>
      </w:pPr>
      <w:r>
        <w:t xml:space="preserve">Los distintos periodos de referencia salarial explican la diferencia entre las cifras BLS de 2024 y O*NET/BLS de 2025.</w:t>
      </w:r>
    </w:p>
    <w:bookmarkEnd w:id="46"/>
    <w:bookmarkStart w:id="47" w:name="X1cecb106495dedee74f637cb0b0d575a9048bd3"/>
    <w:p>
      <w:pPr>
        <w:pStyle w:val="Heading3"/>
      </w:pPr>
      <w:r>
        <w:t xml:space="preserve">Estimación actual no gubernamental del mercado</w:t>
      </w:r>
    </w:p>
    <w:p>
      <w:pPr>
        <w:pStyle w:val="FirstParagraph"/>
      </w:pPr>
      <w:r>
        <w:t xml:space="preserve">Salary.com informó el</w:t>
      </w:r>
      <w:r>
        <w:t xml:space="preserve"> </w:t>
      </w:r>
      <w:r>
        <w:rPr>
          <w:bCs/>
          <w:b/>
        </w:rPr>
        <w:t xml:space="preserve">1 de agosto de 2026</w:t>
      </w:r>
      <w:r>
        <w:t xml:space="preserve">:</w:t>
      </w:r>
    </w:p>
    <w:p>
      <w:pPr>
        <w:numPr>
          <w:ilvl w:val="0"/>
          <w:numId w:val="1017"/>
        </w:numPr>
        <w:pStyle w:val="Compact"/>
      </w:pPr>
      <w:r>
        <w:t xml:space="preserve">salario promedio de Baker:</w:t>
      </w:r>
      <w:r>
        <w:t xml:space="preserve"> </w:t>
      </w:r>
      <w:r>
        <w:rPr>
          <w:bCs/>
          <w:b/>
        </w:rPr>
        <w:t xml:space="preserve">USD $35,203/año</w:t>
      </w:r>
      <w:r>
        <w:t xml:space="preserve">;</w:t>
      </w:r>
    </w:p>
    <w:p>
      <w:pPr>
        <w:numPr>
          <w:ilvl w:val="0"/>
          <w:numId w:val="1017"/>
        </w:numPr>
        <w:pStyle w:val="Compact"/>
      </w:pPr>
      <w:r>
        <w:t xml:space="preserve">aproximadamente</w:t>
      </w:r>
      <w:r>
        <w:t xml:space="preserve"> </w:t>
      </w:r>
      <w:r>
        <w:rPr>
          <w:bCs/>
          <w:b/>
        </w:rPr>
        <w:t xml:space="preserve">$17/hora</w:t>
      </w:r>
      <w:r>
        <w:t xml:space="preserve">;</w:t>
      </w:r>
    </w:p>
    <w:p>
      <w:pPr>
        <w:numPr>
          <w:ilvl w:val="0"/>
          <w:numId w:val="1017"/>
        </w:numPr>
        <w:pStyle w:val="Compact"/>
      </w:pPr>
      <w:r>
        <w:t xml:space="preserve">percentiles 25–75:</w:t>
      </w:r>
      <w:r>
        <w:t xml:space="preserve"> </w:t>
      </w:r>
      <w:r>
        <w:rPr>
          <w:bCs/>
          <w:b/>
        </w:rPr>
        <w:t xml:space="preserve">$32,953–$37,748</w:t>
      </w:r>
      <w:r>
        <w:t xml:space="preserve">.</w:t>
      </w:r>
    </w:p>
    <w:p>
      <w:pPr>
        <w:pStyle w:val="FirstParagraph"/>
      </w:pPr>
      <w:r>
        <w:t xml:space="preserve">Esta es una estimación no gubernamental y no debe promediarse con los datos oficiales. La remuneración varía según ubicación, empleador, turno, horas extra, cobertura sindical, escala de producción, especialización y experiencia.</w:t>
      </w:r>
    </w:p>
    <w:bookmarkEnd w:id="47"/>
    <w:bookmarkEnd w:id="48"/>
    <w:bookmarkStart w:id="49" w:name="compensación--canadá"/>
    <w:p>
      <w:pPr>
        <w:pStyle w:val="Heading2"/>
      </w:pPr>
      <w:r>
        <w:t xml:space="preserve">Compensación — Canadá</w:t>
      </w:r>
    </w:p>
    <w:p>
      <w:pPr>
        <w:pStyle w:val="FirstParagraph"/>
      </w:pPr>
      <w:r>
        <w:t xml:space="preserve">Los datos salariales nacionales de Job Bank para</w:t>
      </w:r>
      <w:r>
        <w:t xml:space="preserve"> </w:t>
      </w:r>
      <w:r>
        <w:rPr>
          <w:bCs/>
          <w:b/>
        </w:rPr>
        <w:t xml:space="preserve">NOC 63202 — Bakers</w:t>
      </w:r>
      <w:r>
        <w:t xml:space="preserve">, actualizados el 19 de noviembre de 2025 usando el periodo de referencia 2023–2024 de Labour Force Survey, informan:</w:t>
      </w:r>
    </w:p>
    <w:p>
      <w:pPr>
        <w:numPr>
          <w:ilvl w:val="0"/>
          <w:numId w:val="1018"/>
        </w:numPr>
        <w:pStyle w:val="Compact"/>
      </w:pPr>
      <w:r>
        <w:t xml:space="preserve">bajo:</w:t>
      </w:r>
      <w:r>
        <w:t xml:space="preserve"> </w:t>
      </w:r>
      <w:r>
        <w:rPr>
          <w:bCs/>
          <w:b/>
        </w:rPr>
        <w:t xml:space="preserve">CAD $15.00/hora</w:t>
      </w:r>
      <w:r>
        <w:t xml:space="preserve">;</w:t>
      </w:r>
    </w:p>
    <w:p>
      <w:pPr>
        <w:numPr>
          <w:ilvl w:val="0"/>
          <w:numId w:val="1018"/>
        </w:numPr>
        <w:pStyle w:val="Compact"/>
      </w:pPr>
      <w:r>
        <w:t xml:space="preserve">mediana:</w:t>
      </w:r>
      <w:r>
        <w:t xml:space="preserve"> </w:t>
      </w:r>
      <w:r>
        <w:rPr>
          <w:bCs/>
          <w:b/>
        </w:rPr>
        <w:t xml:space="preserve">CAD $17.50/hora</w:t>
      </w:r>
      <w:r>
        <w:t xml:space="preserve">;</w:t>
      </w:r>
    </w:p>
    <w:p>
      <w:pPr>
        <w:numPr>
          <w:ilvl w:val="0"/>
          <w:numId w:val="1018"/>
        </w:numPr>
        <w:pStyle w:val="Compact"/>
      </w:pPr>
      <w:r>
        <w:t xml:space="preserve">alto:</w:t>
      </w:r>
      <w:r>
        <w:t xml:space="preserve"> </w:t>
      </w:r>
      <w:r>
        <w:rPr>
          <w:bCs/>
          <w:b/>
        </w:rPr>
        <w:t xml:space="preserve">CAD $24.81/hora</w:t>
      </w:r>
      <w:r>
        <w:t xml:space="preserve">.</w:t>
      </w:r>
    </w:p>
    <w:p>
      <w:pPr>
        <w:pStyle w:val="FirstParagraph"/>
      </w:pPr>
      <w:r>
        <w:t xml:space="preserve">Estos valores nacionales no sustituyen la información salarial específica de provincia, territorio, sindicato o empleador.</w:t>
      </w:r>
    </w:p>
    <w:bookmarkEnd w:id="49"/>
    <w:bookmarkStart w:id="50" w:name="accesibilidad-e-inclusión"/>
    <w:p>
      <w:pPr>
        <w:pStyle w:val="Heading2"/>
      </w:pPr>
      <w:r>
        <w:t xml:space="preserve">Accesibilidad e inclusión</w:t>
      </w:r>
    </w:p>
    <w:p>
      <w:pPr>
        <w:pStyle w:val="FirstParagraph"/>
      </w:pPr>
      <w:r>
        <w:t xml:space="preserve">La panadería es trabajo físico, pero los empleadores y proveedores de capacitación pueden tener distintos equipos, flujos de trabajo, horarios y procesos de adaptación. No supongas que una discapacidad excluye automáticamente a alguien del trabajo de panadería ni que todas las tareas pueden modificarse en todos los entornos.</w:t>
      </w:r>
    </w:p>
    <w:p>
      <w:pPr>
        <w:pStyle w:val="BodyText"/>
      </w:pPr>
      <w:r>
        <w:t xml:space="preserve">Preguntas útiles pueden incluir:</w:t>
      </w:r>
    </w:p>
    <w:p>
      <w:pPr>
        <w:numPr>
          <w:ilvl w:val="0"/>
          <w:numId w:val="1019"/>
        </w:numPr>
        <w:pStyle w:val="Compact"/>
      </w:pPr>
      <w:r>
        <w:t xml:space="preserve">cuáles tareas son esenciales para el puesto específico;</w:t>
      </w:r>
    </w:p>
    <w:p>
      <w:pPr>
        <w:numPr>
          <w:ilvl w:val="0"/>
          <w:numId w:val="1019"/>
        </w:numPr>
        <w:pStyle w:val="Compact"/>
      </w:pPr>
      <w:r>
        <w:t xml:space="preserve">requisitos típicos de levantamiento, permanencia de pie, alcance, temperatura, ruido y horario;</w:t>
      </w:r>
    </w:p>
    <w:p>
      <w:pPr>
        <w:numPr>
          <w:ilvl w:val="0"/>
          <w:numId w:val="1019"/>
        </w:numPr>
        <w:pStyle w:val="Compact"/>
      </w:pPr>
      <w:r>
        <w:t xml:space="preserve">si hay carros, ayudas de elevación, tapetes antifatiga, superficies de trabajo ajustables, sistemas digitales accesibles, herramientas modificadas o reestructuración de tareas;</w:t>
      </w:r>
    </w:p>
    <w:p>
      <w:pPr>
        <w:numPr>
          <w:ilvl w:val="0"/>
          <w:numId w:val="1019"/>
        </w:numPr>
        <w:pStyle w:val="Compact"/>
      </w:pPr>
      <w:r>
        <w:t xml:space="preserve">cómo se gestionan las solicitudes de adaptación;</w:t>
      </w:r>
    </w:p>
    <w:p>
      <w:pPr>
        <w:numPr>
          <w:ilvl w:val="0"/>
          <w:numId w:val="1019"/>
        </w:numPr>
        <w:pStyle w:val="Compact"/>
      </w:pPr>
      <w:r>
        <w:t xml:space="preserve">si los materiales de capacitación están disponibles en formatos accesibles.</w:t>
      </w:r>
    </w:p>
    <w:p>
      <w:pPr>
        <w:pStyle w:val="FirstParagraph"/>
      </w:pPr>
      <w:r>
        <w:t xml:space="preserve">Sigue el proceso establecido de adaptación del empleador o proveedor de capacitación y los requisitos aplicables. Esta guía no brinda asesoría legal ni garantiza una adaptación específica.</w:t>
      </w:r>
    </w:p>
    <w:bookmarkEnd w:id="50"/>
    <w:bookmarkStart w:id="51" w:name="privacidad-e-información-comercial"/>
    <w:p>
      <w:pPr>
        <w:pStyle w:val="Heading2"/>
      </w:pPr>
      <w:r>
        <w:t xml:space="preserve">Privacidad e información comercial</w:t>
      </w:r>
    </w:p>
    <w:p>
      <w:pPr>
        <w:pStyle w:val="FirstParagraph"/>
      </w:pPr>
      <w:r>
        <w:t xml:space="preserve">Los sistemas de panadería pueden contener pedidos de clientes, datos de pago, registros de empleados, horarios, información de proveedores, recetas, especificaciones de producción, datos de ventas e inventario.</w:t>
      </w:r>
    </w:p>
    <w:p>
      <w:pPr>
        <w:pStyle w:val="BodyText"/>
      </w:pPr>
      <w:r>
        <w:t xml:space="preserve">Buenas prácticas incluyen:</w:t>
      </w:r>
    </w:p>
    <w:p>
      <w:pPr>
        <w:numPr>
          <w:ilvl w:val="0"/>
          <w:numId w:val="1020"/>
        </w:numPr>
        <w:pStyle w:val="Compact"/>
      </w:pPr>
      <w:r>
        <w:t xml:space="preserve">usar solo el acceso requerido para el trabajo;</w:t>
      </w:r>
    </w:p>
    <w:p>
      <w:pPr>
        <w:numPr>
          <w:ilvl w:val="0"/>
          <w:numId w:val="1020"/>
        </w:numPr>
        <w:pStyle w:val="Compact"/>
      </w:pPr>
      <w:r>
        <w:t xml:space="preserve">nunca compartir contraseñas ni credenciales de punto de venta;</w:t>
      </w:r>
    </w:p>
    <w:p>
      <w:pPr>
        <w:numPr>
          <w:ilvl w:val="0"/>
          <w:numId w:val="1020"/>
        </w:numPr>
        <w:pStyle w:val="Compact"/>
      </w:pPr>
      <w:r>
        <w:t xml:space="preserve">bloquear pantallas al alejarse de una terminal;</w:t>
      </w:r>
    </w:p>
    <w:p>
      <w:pPr>
        <w:numPr>
          <w:ilvl w:val="0"/>
          <w:numId w:val="1020"/>
        </w:numPr>
        <w:pStyle w:val="Compact"/>
      </w:pPr>
      <w:r>
        <w:t xml:space="preserve">seguir procedimientos para tarjetas de pago;</w:t>
      </w:r>
    </w:p>
    <w:p>
      <w:pPr>
        <w:numPr>
          <w:ilvl w:val="0"/>
          <w:numId w:val="1020"/>
        </w:numPr>
        <w:pStyle w:val="Compact"/>
      </w:pPr>
      <w:r>
        <w:t xml:space="preserve">usar canales aprobados para horarios, nómina, pedidos de clientes y registros de proveedores;</w:t>
      </w:r>
    </w:p>
    <w:p>
      <w:pPr>
        <w:numPr>
          <w:ilvl w:val="0"/>
          <w:numId w:val="1020"/>
        </w:numPr>
        <w:pStyle w:val="Compact"/>
      </w:pPr>
      <w:r>
        <w:t xml:space="preserve">no fotografiar ni copiar recetas confidenciales o información de producción sin permiso;</w:t>
      </w:r>
    </w:p>
    <w:p>
      <w:pPr>
        <w:numPr>
          <w:ilvl w:val="0"/>
          <w:numId w:val="1020"/>
        </w:numPr>
        <w:pStyle w:val="Compact"/>
      </w:pPr>
      <w:r>
        <w:t xml:space="preserve">desechar de forma segura registros impresos de producción o clientes;</w:t>
      </w:r>
    </w:p>
    <w:p>
      <w:pPr>
        <w:numPr>
          <w:ilvl w:val="0"/>
          <w:numId w:val="1020"/>
        </w:numPr>
        <w:pStyle w:val="Compact"/>
      </w:pPr>
      <w:r>
        <w:t xml:space="preserve">reportar sospechas de acceso no autorizado o fraude.</w:t>
      </w:r>
    </w:p>
    <w:bookmarkEnd w:id="51"/>
    <w:bookmarkStart w:id="52" w:name="ciberseguridad"/>
    <w:p>
      <w:pPr>
        <w:pStyle w:val="Heading2"/>
      </w:pPr>
      <w:r>
        <w:t xml:space="preserve">Ciberseguridad</w:t>
      </w:r>
    </w:p>
    <w:p>
      <w:pPr>
        <w:pStyle w:val="FirstParagraph"/>
      </w:pPr>
      <w:r>
        <w:t xml:space="preserve">Las panaderías modernas pueden utilizar sistemas POS, pedidos en línea, plataformas de entrega, aplicaciones de fidelización, herramientas de inventario, software de planificación de producción, programación de turnos en la nube, sistemas de nómina, Wi-Fi, tarjetas de regalo digitales y portales de proveedores.</w:t>
      </w:r>
    </w:p>
    <w:p>
      <w:pPr>
        <w:pStyle w:val="BodyText"/>
      </w:pPr>
      <w:r>
        <w:t xml:space="preserve">Ten precaución con:</w:t>
      </w:r>
    </w:p>
    <w:p>
      <w:pPr>
        <w:numPr>
          <w:ilvl w:val="0"/>
          <w:numId w:val="1021"/>
        </w:numPr>
        <w:pStyle w:val="Compact"/>
      </w:pPr>
      <w:r>
        <w:t xml:space="preserve">restablecimientos de contraseña inesperados;</w:t>
      </w:r>
    </w:p>
    <w:p>
      <w:pPr>
        <w:numPr>
          <w:ilvl w:val="0"/>
          <w:numId w:val="1021"/>
        </w:numPr>
        <w:pStyle w:val="Compact"/>
      </w:pPr>
      <w:r>
        <w:t xml:space="preserve">códigos QR;</w:t>
      </w:r>
    </w:p>
    <w:p>
      <w:pPr>
        <w:numPr>
          <w:ilvl w:val="0"/>
          <w:numId w:val="1021"/>
        </w:numPr>
        <w:pStyle w:val="Compact"/>
      </w:pPr>
      <w:r>
        <w:t xml:space="preserve">facturas de proveedores;</w:t>
      </w:r>
    </w:p>
    <w:p>
      <w:pPr>
        <w:numPr>
          <w:ilvl w:val="0"/>
          <w:numId w:val="1021"/>
        </w:numPr>
        <w:pStyle w:val="Compact"/>
      </w:pPr>
      <w:r>
        <w:t xml:space="preserve">solicitudes para cambiar información bancaria o de nómina;</w:t>
      </w:r>
    </w:p>
    <w:p>
      <w:pPr>
        <w:numPr>
          <w:ilvl w:val="0"/>
          <w:numId w:val="1021"/>
        </w:numPr>
        <w:pStyle w:val="Compact"/>
      </w:pPr>
      <w:r>
        <w:t xml:space="preserve">solicitudes de tarjetas de regalo;</w:t>
      </w:r>
    </w:p>
    <w:p>
      <w:pPr>
        <w:numPr>
          <w:ilvl w:val="0"/>
          <w:numId w:val="1021"/>
        </w:numPr>
        <w:pStyle w:val="Compact"/>
      </w:pPr>
      <w:r>
        <w:t xml:space="preserve">archivos adjuntos o enlaces;</w:t>
      </w:r>
    </w:p>
    <w:p>
      <w:pPr>
        <w:numPr>
          <w:ilvl w:val="0"/>
          <w:numId w:val="1021"/>
        </w:numPr>
        <w:pStyle w:val="Compact"/>
      </w:pPr>
      <w:r>
        <w:t xml:space="preserve">solicitudes de credenciales o acceso remoto.</w:t>
      </w:r>
    </w:p>
    <w:p>
      <w:pPr>
        <w:pStyle w:val="FirstParagraph"/>
      </w:pPr>
      <w:r>
        <w:t xml:space="preserve">Verifica solicitudes inusuales mediante un canal independiente aprobado. La urgencia de producción no justifica eludir controles de seguridad.</w:t>
      </w:r>
    </w:p>
    <w:bookmarkEnd w:id="52"/>
    <w:bookmarkStart w:id="53" w:name="X8fce2a817cbda154e336a494663e550a1f0d72e"/>
    <w:p>
      <w:pPr>
        <w:pStyle w:val="Heading2"/>
      </w:pPr>
      <w:r>
        <w:t xml:space="preserve">Uso responsable de inteligencia artificial</w:t>
      </w:r>
    </w:p>
    <w:p>
      <w:pPr>
        <w:pStyle w:val="FirstParagraph"/>
      </w:pPr>
      <w:r>
        <w:t xml:space="preserve">La IA puede ayudar con tareas de bajo riesgo, como crear preguntas para practicar entrevistas, redactar un esquema de capacitación no sensible, organizar notas de estudio o explorar ideas de productos que una persona calificada revisará.</w:t>
      </w:r>
    </w:p>
    <w:p>
      <w:pPr>
        <w:pStyle w:val="BodyText"/>
      </w:pPr>
      <w:r>
        <w:t xml:space="preserve">No introduzcas en un sistema público de IA, sin aprobación organizacional explícita:</w:t>
      </w:r>
    </w:p>
    <w:p>
      <w:pPr>
        <w:numPr>
          <w:ilvl w:val="0"/>
          <w:numId w:val="1022"/>
        </w:numPr>
        <w:pStyle w:val="Compact"/>
      </w:pPr>
      <w:r>
        <w:t xml:space="preserve">información de tarjetas de pago;</w:t>
      </w:r>
    </w:p>
    <w:p>
      <w:pPr>
        <w:numPr>
          <w:ilvl w:val="0"/>
          <w:numId w:val="1022"/>
        </w:numPr>
        <w:pStyle w:val="Compact"/>
      </w:pPr>
      <w:r>
        <w:t xml:space="preserve">nómina o registros de empleados;</w:t>
      </w:r>
    </w:p>
    <w:p>
      <w:pPr>
        <w:numPr>
          <w:ilvl w:val="0"/>
          <w:numId w:val="1022"/>
        </w:numPr>
        <w:pStyle w:val="Compact"/>
      </w:pPr>
      <w:r>
        <w:t xml:space="preserve">información personal de clientes;</w:t>
      </w:r>
    </w:p>
    <w:p>
      <w:pPr>
        <w:numPr>
          <w:ilvl w:val="0"/>
          <w:numId w:val="1022"/>
        </w:numPr>
        <w:pStyle w:val="Compact"/>
      </w:pPr>
      <w:r>
        <w:t xml:space="preserve">credenciales o contraseñas;</w:t>
      </w:r>
    </w:p>
    <w:p>
      <w:pPr>
        <w:numPr>
          <w:ilvl w:val="0"/>
          <w:numId w:val="1022"/>
        </w:numPr>
        <w:pStyle w:val="Compact"/>
      </w:pPr>
      <w:r>
        <w:t xml:space="preserve">recetas, fórmulas o especificaciones de producción confidenciales;</w:t>
      </w:r>
    </w:p>
    <w:p>
      <w:pPr>
        <w:numPr>
          <w:ilvl w:val="0"/>
          <w:numId w:val="1022"/>
        </w:numPr>
        <w:pStyle w:val="Compact"/>
      </w:pPr>
      <w:r>
        <w:t xml:space="preserve">datos de ventas o producción no publicados;</w:t>
      </w:r>
    </w:p>
    <w:p>
      <w:pPr>
        <w:numPr>
          <w:ilvl w:val="0"/>
          <w:numId w:val="1022"/>
        </w:numPr>
        <w:pStyle w:val="Compact"/>
      </w:pPr>
      <w:r>
        <w:t xml:space="preserve">información bancaria de proveedores;</w:t>
      </w:r>
    </w:p>
    <w:p>
      <w:pPr>
        <w:numPr>
          <w:ilvl w:val="0"/>
          <w:numId w:val="1022"/>
        </w:numPr>
        <w:pStyle w:val="Compact"/>
      </w:pPr>
      <w:r>
        <w:t xml:space="preserve">reportes de incidentes;</w:t>
      </w:r>
    </w:p>
    <w:p>
      <w:pPr>
        <w:numPr>
          <w:ilvl w:val="0"/>
          <w:numId w:val="1022"/>
        </w:numPr>
        <w:pStyle w:val="Compact"/>
      </w:pPr>
      <w:r>
        <w:t xml:space="preserve">investigaciones internas u otra información comercial restringida.</w:t>
      </w:r>
    </w:p>
    <w:p>
      <w:pPr>
        <w:pStyle w:val="FirstParagraph"/>
      </w:pPr>
      <w:r>
        <w:t xml:space="preserve">La IA no debe decidir de forma independiente:</w:t>
      </w:r>
    </w:p>
    <w:p>
      <w:pPr>
        <w:numPr>
          <w:ilvl w:val="0"/>
          <w:numId w:val="1023"/>
        </w:numPr>
        <w:pStyle w:val="Compact"/>
      </w:pPr>
      <w:r>
        <w:t xml:space="preserve">si un alimento es seguro para vender o servir;</w:t>
      </w:r>
    </w:p>
    <w:p>
      <w:pPr>
        <w:numPr>
          <w:ilvl w:val="0"/>
          <w:numId w:val="1023"/>
        </w:numPr>
        <w:pStyle w:val="Compact"/>
      </w:pPr>
      <w:r>
        <w:t xml:space="preserve">si está presente un alérgeno;</w:t>
      </w:r>
    </w:p>
    <w:p>
      <w:pPr>
        <w:numPr>
          <w:ilvl w:val="0"/>
          <w:numId w:val="1023"/>
        </w:numPr>
        <w:pStyle w:val="Compact"/>
      </w:pPr>
      <w:r>
        <w:t xml:space="preserve">si una persona tiene una alergia o condición médica;</w:t>
      </w:r>
    </w:p>
    <w:p>
      <w:pPr>
        <w:numPr>
          <w:ilvl w:val="0"/>
          <w:numId w:val="1023"/>
        </w:numPr>
        <w:pStyle w:val="Compact"/>
      </w:pPr>
      <w:r>
        <w:t xml:space="preserve">si aplica un requisito legal o regulatorio;</w:t>
      </w:r>
    </w:p>
    <w:p>
      <w:pPr>
        <w:numPr>
          <w:ilvl w:val="0"/>
          <w:numId w:val="1023"/>
        </w:numPr>
        <w:pStyle w:val="Compact"/>
      </w:pPr>
      <w:r>
        <w:t xml:space="preserve">si puede omitirse un control de seguridad;</w:t>
      </w:r>
    </w:p>
    <w:p>
      <w:pPr>
        <w:numPr>
          <w:ilvl w:val="0"/>
          <w:numId w:val="1023"/>
        </w:numPr>
        <w:pStyle w:val="Compact"/>
      </w:pPr>
      <w:r>
        <w:t xml:space="preserve">si puede ignorarse un incidente;</w:t>
      </w:r>
    </w:p>
    <w:p>
      <w:pPr>
        <w:numPr>
          <w:ilvl w:val="0"/>
          <w:numId w:val="1023"/>
        </w:numPr>
        <w:pStyle w:val="Compact"/>
      </w:pPr>
      <w:r>
        <w:t xml:space="preserve">quién debe ser contratado, despedido, disciplinado o promovido.</w:t>
      </w:r>
    </w:p>
    <w:p>
      <w:pPr>
        <w:pStyle w:val="FirstParagraph"/>
      </w:pPr>
      <w:r>
        <w:t xml:space="preserve">Se requiere revisión humana para recetas, etiquetas, comunicaciones sobre alérgenos, horarios, materiales de capacitación, comunicaciones con clientes, planes de producción y decisiones operativas asistidas por IA.</w:t>
      </w:r>
    </w:p>
    <w:bookmarkEnd w:id="53"/>
    <w:bookmarkStart w:id="60" w:name="plan-inicial-de-12-semanas"/>
    <w:p>
      <w:pPr>
        <w:pStyle w:val="Heading2"/>
      </w:pPr>
      <w:r>
        <w:t xml:space="preserve">Plan inicial de 12 semanas</w:t>
      </w:r>
    </w:p>
    <w:bookmarkStart w:id="54" w:name="X3004b56812af9458e6d5119e65aaac8bda0aa9d"/>
    <w:p>
      <w:pPr>
        <w:pStyle w:val="Heading3"/>
      </w:pPr>
      <w:r>
        <w:t xml:space="preserve">Semanas 1–2 — Aprender seguridad y flujo de trabajo</w:t>
      </w:r>
    </w:p>
    <w:p>
      <w:pPr>
        <w:numPr>
          <w:ilvl w:val="0"/>
          <w:numId w:val="1024"/>
        </w:numPr>
        <w:pStyle w:val="Compact"/>
      </w:pPr>
      <w:r>
        <w:t xml:space="preserve">Aprende los procedimientos de lavado de manos, saneamiento, reporte de enfermedad, alérgenos e incidentes.</w:t>
      </w:r>
    </w:p>
    <w:p>
      <w:pPr>
        <w:numPr>
          <w:ilvl w:val="0"/>
          <w:numId w:val="1024"/>
        </w:numPr>
        <w:pStyle w:val="Compact"/>
      </w:pPr>
      <w:r>
        <w:t xml:space="preserve">Aprende salidas de emergencia, respuesta a quemaduras/cortaduras, reglas sobre protecciones de máquinas y levantamiento seguro.</w:t>
      </w:r>
    </w:p>
    <w:p>
      <w:pPr>
        <w:numPr>
          <w:ilvl w:val="0"/>
          <w:numId w:val="1024"/>
        </w:numPr>
        <w:pStyle w:val="Compact"/>
      </w:pPr>
      <w:r>
        <w:t xml:space="preserve">Identifica quién tiene autoridad para decisiones de inocuidad, calidad, mantenimiento y producción.</w:t>
      </w:r>
    </w:p>
    <w:bookmarkEnd w:id="54"/>
    <w:bookmarkStart w:id="55" w:name="Xcf6a1fa35405387c332bba5f67f45d8165c27de"/>
    <w:p>
      <w:pPr>
        <w:pStyle w:val="Heading3"/>
      </w:pPr>
      <w:r>
        <w:t xml:space="preserve">Semanas 3–4 — Desarrollar habilidades de medición</w:t>
      </w:r>
    </w:p>
    <w:p>
      <w:pPr>
        <w:numPr>
          <w:ilvl w:val="0"/>
          <w:numId w:val="1025"/>
        </w:numPr>
        <w:pStyle w:val="Compact"/>
      </w:pPr>
      <w:r>
        <w:t xml:space="preserve">Practica pesar y medir con precisión.</w:t>
      </w:r>
    </w:p>
    <w:p>
      <w:pPr>
        <w:numPr>
          <w:ilvl w:val="0"/>
          <w:numId w:val="1025"/>
        </w:numPr>
        <w:pStyle w:val="Compact"/>
      </w:pPr>
      <w:r>
        <w:t xml:space="preserve">Aprende las recetas o fórmulas del empleador.</w:t>
      </w:r>
    </w:p>
    <w:p>
      <w:pPr>
        <w:numPr>
          <w:ilvl w:val="0"/>
          <w:numId w:val="1025"/>
        </w:numPr>
        <w:pStyle w:val="Compact"/>
      </w:pPr>
      <w:r>
        <w:t xml:space="preserve">Comprende tamaño de lote, rendimiento, desperdicio y registros básicos de producción.</w:t>
      </w:r>
    </w:p>
    <w:p>
      <w:pPr>
        <w:numPr>
          <w:ilvl w:val="0"/>
          <w:numId w:val="1025"/>
        </w:numPr>
        <w:pStyle w:val="Compact"/>
      </w:pPr>
      <w:r>
        <w:t xml:space="preserve">Aprende el uso seguro de básculas, mezcladoras, hornos y otros equipos asignados.</w:t>
      </w:r>
    </w:p>
    <w:bookmarkEnd w:id="55"/>
    <w:bookmarkStart w:id="56" w:name="X5a415f9d543a8ee8fafa1a02dfd3cf1062b4291"/>
    <w:p>
      <w:pPr>
        <w:pStyle w:val="Heading3"/>
      </w:pPr>
      <w:r>
        <w:t xml:space="preserve">Semanas 5–6 — Desarrollar consistencia en masa y horneado</w:t>
      </w:r>
    </w:p>
    <w:p>
      <w:pPr>
        <w:numPr>
          <w:ilvl w:val="0"/>
          <w:numId w:val="1026"/>
        </w:numPr>
        <w:pStyle w:val="Compact"/>
      </w:pPr>
      <w:r>
        <w:t xml:space="preserve">Practica mezcla, formado, fermentación, horneado, enfriamiento y almacenamiento.</w:t>
      </w:r>
    </w:p>
    <w:p>
      <w:pPr>
        <w:numPr>
          <w:ilvl w:val="0"/>
          <w:numId w:val="1026"/>
        </w:numPr>
        <w:pStyle w:val="Compact"/>
      </w:pPr>
      <w:r>
        <w:t xml:space="preserve">Compara productos terminados con estándares de calidad aprobados.</w:t>
      </w:r>
    </w:p>
    <w:p>
      <w:pPr>
        <w:numPr>
          <w:ilvl w:val="0"/>
          <w:numId w:val="1026"/>
        </w:numPr>
        <w:pStyle w:val="Compact"/>
      </w:pPr>
      <w:r>
        <w:t xml:space="preserve">Aprende qué defectos deben descartarse, reprocesarse o escalarse.</w:t>
      </w:r>
    </w:p>
    <w:bookmarkEnd w:id="56"/>
    <w:bookmarkStart w:id="57" w:name="Xfe70d692442201210a74984b3dcff962c50a277"/>
    <w:p>
      <w:pPr>
        <w:pStyle w:val="Heading3"/>
      </w:pPr>
      <w:r>
        <w:t xml:space="preserve">Semanas 7–8 — Fortalecer disciplina de producción</w:t>
      </w:r>
    </w:p>
    <w:p>
      <w:pPr>
        <w:numPr>
          <w:ilvl w:val="0"/>
          <w:numId w:val="1027"/>
        </w:numPr>
        <w:pStyle w:val="Compact"/>
      </w:pPr>
      <w:r>
        <w:t xml:space="preserve">Aprende rotación de existencias y procedimientos de recepción.</w:t>
      </w:r>
    </w:p>
    <w:p>
      <w:pPr>
        <w:numPr>
          <w:ilvl w:val="0"/>
          <w:numId w:val="1027"/>
        </w:numPr>
        <w:pStyle w:val="Compact"/>
      </w:pPr>
      <w:r>
        <w:t xml:space="preserve">Practica preparación y limpieza que reduzcan contaminación cruzada y retrasos.</w:t>
      </w:r>
    </w:p>
    <w:p>
      <w:pPr>
        <w:numPr>
          <w:ilvl w:val="0"/>
          <w:numId w:val="1027"/>
        </w:numPr>
        <w:pStyle w:val="Compact"/>
      </w:pPr>
      <w:r>
        <w:t xml:space="preserve">Estudia nociones básicas de inventario y planificación de producción.</w:t>
      </w:r>
    </w:p>
    <w:bookmarkEnd w:id="57"/>
    <w:bookmarkStart w:id="58" w:name="semanas-910--añadir-especialización"/>
    <w:p>
      <w:pPr>
        <w:pStyle w:val="Heading3"/>
      </w:pPr>
      <w:r>
        <w:t xml:space="preserve">Semanas 9–10 — Añadir especialización</w:t>
      </w:r>
    </w:p>
    <w:p>
      <w:pPr>
        <w:numPr>
          <w:ilvl w:val="0"/>
          <w:numId w:val="1028"/>
        </w:numPr>
        <w:pStyle w:val="Compact"/>
      </w:pPr>
      <w:r>
        <w:t xml:space="preserve">Practica pastelería, acabado de tortas, variedades de pan u otra especialidad relevante.</w:t>
      </w:r>
    </w:p>
    <w:p>
      <w:pPr>
        <w:numPr>
          <w:ilvl w:val="0"/>
          <w:numId w:val="1028"/>
        </w:numPr>
        <w:pStyle w:val="Compact"/>
      </w:pPr>
      <w:r>
        <w:t xml:space="preserve">Aprende responsabilidades de empaque y etiquetado cuando corresponda.</w:t>
      </w:r>
    </w:p>
    <w:p>
      <w:pPr>
        <w:numPr>
          <w:ilvl w:val="0"/>
          <w:numId w:val="1028"/>
        </w:numPr>
        <w:pStyle w:val="Compact"/>
      </w:pPr>
      <w:r>
        <w:t xml:space="preserve">Solicita capacitación cruzada supervisada en equipos o procesos adicionales.</w:t>
      </w:r>
    </w:p>
    <w:bookmarkEnd w:id="58"/>
    <w:bookmarkStart w:id="59" w:name="X5c134677f6a483e514e7bee9e97b8d4650b87b6"/>
    <w:p>
      <w:pPr>
        <w:pStyle w:val="Heading3"/>
      </w:pPr>
      <w:r>
        <w:t xml:space="preserve">Semanas 11–12 — Crear evidencia para avanzar</w:t>
      </w:r>
    </w:p>
    <w:p>
      <w:pPr>
        <w:numPr>
          <w:ilvl w:val="0"/>
          <w:numId w:val="1029"/>
        </w:numPr>
        <w:pStyle w:val="Compact"/>
      </w:pPr>
      <w:r>
        <w:t xml:space="preserve">Documenta la capacitación completada.</w:t>
      </w:r>
    </w:p>
    <w:p>
      <w:pPr>
        <w:numPr>
          <w:ilvl w:val="0"/>
          <w:numId w:val="1029"/>
        </w:numPr>
        <w:pStyle w:val="Compact"/>
      </w:pPr>
      <w:r>
        <w:t xml:space="preserve">Registra ejemplos medibles de calidad consistente, reducción de desperdicio, trabajo seguro, confiabilidad o capacitación cruzada exitosa sin divulgar información confidencial.</w:t>
      </w:r>
    </w:p>
    <w:p>
      <w:pPr>
        <w:numPr>
          <w:ilvl w:val="0"/>
          <w:numId w:val="1029"/>
        </w:numPr>
        <w:pStyle w:val="Compact"/>
      </w:pPr>
      <w:r>
        <w:t xml:space="preserve">Pregunta qué habilidades distinguen a los trabajadores de entrada de panaderos senior, especialistas en pastelería, líderes de turno o supervisores.</w:t>
      </w:r>
    </w:p>
    <w:p>
      <w:pPr>
        <w:numPr>
          <w:ilvl w:val="0"/>
          <w:numId w:val="1029"/>
        </w:numPr>
        <w:pStyle w:val="Compact"/>
      </w:pPr>
      <w:r>
        <w:t xml:space="preserve">Identifica la siguiente credencial o experiencia de bajo costo que realmente mejore el acceso al puesto objetivo.</w:t>
      </w:r>
    </w:p>
    <w:bookmarkEnd w:id="59"/>
    <w:bookmarkEnd w:id="60"/>
    <w:bookmarkStart w:id="61" w:name="ideas-para-desarrollar-experiencia"/>
    <w:p>
      <w:pPr>
        <w:pStyle w:val="Heading2"/>
      </w:pPr>
      <w:r>
        <w:t xml:space="preserve">Ideas para desarrollar experiencia</w:t>
      </w:r>
    </w:p>
    <w:p>
      <w:pPr>
        <w:pStyle w:val="FirstParagraph"/>
      </w:pPr>
      <w:r>
        <w:t xml:space="preserve">La evidencia útil puede provenir de:</w:t>
      </w:r>
    </w:p>
    <w:p>
      <w:pPr>
        <w:numPr>
          <w:ilvl w:val="0"/>
          <w:numId w:val="1030"/>
        </w:numPr>
        <w:pStyle w:val="Compact"/>
      </w:pPr>
      <w:r>
        <w:t xml:space="preserve">completar un curso reconocido de inocuidad exigido por el empleador;</w:t>
      </w:r>
    </w:p>
    <w:p>
      <w:pPr>
        <w:numPr>
          <w:ilvl w:val="0"/>
          <w:numId w:val="1030"/>
        </w:numPr>
        <w:pStyle w:val="Compact"/>
      </w:pPr>
      <w:r>
        <w:t xml:space="preserve">producir lotes consistentes conforme a especificaciones;</w:t>
      </w:r>
    </w:p>
    <w:p>
      <w:pPr>
        <w:numPr>
          <w:ilvl w:val="0"/>
          <w:numId w:val="1030"/>
        </w:numPr>
        <w:pStyle w:val="Compact"/>
      </w:pPr>
      <w:r>
        <w:t xml:space="preserve">aprender varias estaciones;</w:t>
      </w:r>
    </w:p>
    <w:p>
      <w:pPr>
        <w:numPr>
          <w:ilvl w:val="0"/>
          <w:numId w:val="1030"/>
        </w:numPr>
        <w:pStyle w:val="Compact"/>
      </w:pPr>
      <w:r>
        <w:t xml:space="preserve">reducir errores de preparación o desperdicio;</w:t>
      </w:r>
    </w:p>
    <w:p>
      <w:pPr>
        <w:numPr>
          <w:ilvl w:val="0"/>
          <w:numId w:val="1030"/>
        </w:numPr>
        <w:pStyle w:val="Compact"/>
      </w:pPr>
      <w:r>
        <w:t xml:space="preserve">mejorar rotación de inventario;</w:t>
      </w:r>
    </w:p>
    <w:p>
      <w:pPr>
        <w:numPr>
          <w:ilvl w:val="0"/>
          <w:numId w:val="1030"/>
        </w:numPr>
        <w:pStyle w:val="Compact"/>
      </w:pPr>
      <w:r>
        <w:t xml:space="preserve">mantener registros precisos de producción;</w:t>
      </w:r>
    </w:p>
    <w:p>
      <w:pPr>
        <w:numPr>
          <w:ilvl w:val="0"/>
          <w:numId w:val="1030"/>
        </w:numPr>
        <w:pStyle w:val="Compact"/>
      </w:pPr>
      <w:r>
        <w:t xml:space="preserve">apoyar el lanzamiento de un producto;</w:t>
      </w:r>
    </w:p>
    <w:p>
      <w:pPr>
        <w:numPr>
          <w:ilvl w:val="0"/>
          <w:numId w:val="1030"/>
        </w:numPr>
        <w:pStyle w:val="Compact"/>
      </w:pPr>
      <w:r>
        <w:t xml:space="preserve">capacitar a un compañero nuevo bajo supervisión;</w:t>
      </w:r>
    </w:p>
    <w:p>
      <w:pPr>
        <w:numPr>
          <w:ilvl w:val="0"/>
          <w:numId w:val="1030"/>
        </w:numPr>
        <w:pStyle w:val="Compact"/>
      </w:pPr>
      <w:r>
        <w:t xml:space="preserve">demostrar asistencia confiable en turnos muy tempranos o nocturnos;</w:t>
      </w:r>
    </w:p>
    <w:p>
      <w:pPr>
        <w:numPr>
          <w:ilvl w:val="0"/>
          <w:numId w:val="1030"/>
        </w:numPr>
        <w:pStyle w:val="Compact"/>
      </w:pPr>
      <w:r>
        <w:t xml:space="preserve">apoyar una inspección o revisión interna de calidad;</w:t>
      </w:r>
    </w:p>
    <w:p>
      <w:pPr>
        <w:numPr>
          <w:ilvl w:val="0"/>
          <w:numId w:val="1030"/>
        </w:numPr>
        <w:pStyle w:val="Compact"/>
      </w:pPr>
      <w:r>
        <w:t xml:space="preserve">completar un módulo público de SENA, colegio comunitario, institución técnica o aprendizaje;</w:t>
      </w:r>
    </w:p>
    <w:p>
      <w:pPr>
        <w:numPr>
          <w:ilvl w:val="0"/>
          <w:numId w:val="1030"/>
        </w:numPr>
        <w:pStyle w:val="Compact"/>
      </w:pPr>
      <w:r>
        <w:t xml:space="preserve">crear un portafolio fotográfico solo cuando la política del empleador lo permita y no se exponga información confidencial.</w:t>
      </w:r>
    </w:p>
    <w:bookmarkEnd w:id="61"/>
    <w:bookmarkStart w:id="62" w:name="progresión-profesional"/>
    <w:p>
      <w:pPr>
        <w:pStyle w:val="Heading2"/>
      </w:pPr>
      <w:r>
        <w:t xml:space="preserve">Progresión profesional</w:t>
      </w:r>
    </w:p>
    <w:p>
      <w:pPr>
        <w:pStyle w:val="FirstParagraph"/>
      </w:pPr>
      <w:r>
        <w:t xml:space="preserve">Posibles rutas incluyen:</w:t>
      </w:r>
    </w:p>
    <w:p>
      <w:pPr>
        <w:numPr>
          <w:ilvl w:val="0"/>
          <w:numId w:val="1031"/>
        </w:numPr>
        <w:pStyle w:val="Compact"/>
      </w:pPr>
      <w:r>
        <w:t xml:space="preserve">ayudante de panadería / ayudante de producción;</w:t>
      </w:r>
    </w:p>
    <w:p>
      <w:pPr>
        <w:numPr>
          <w:ilvl w:val="0"/>
          <w:numId w:val="1031"/>
        </w:numPr>
        <w:pStyle w:val="Compact"/>
      </w:pPr>
      <w:r>
        <w:t xml:space="preserve">aprendiz de panadero;</w:t>
      </w:r>
    </w:p>
    <w:p>
      <w:pPr>
        <w:numPr>
          <w:ilvl w:val="0"/>
          <w:numId w:val="1031"/>
        </w:numPr>
        <w:pStyle w:val="Compact"/>
      </w:pPr>
      <w:r>
        <w:t xml:space="preserve">panadero;</w:t>
      </w:r>
    </w:p>
    <w:p>
      <w:pPr>
        <w:numPr>
          <w:ilvl w:val="0"/>
          <w:numId w:val="1031"/>
        </w:numPr>
        <w:pStyle w:val="Compact"/>
      </w:pPr>
      <w:r>
        <w:t xml:space="preserve">panadero de panes;</w:t>
      </w:r>
    </w:p>
    <w:p>
      <w:pPr>
        <w:numPr>
          <w:ilvl w:val="0"/>
          <w:numId w:val="1031"/>
        </w:numPr>
        <w:pStyle w:val="Compact"/>
      </w:pPr>
      <w:r>
        <w:t xml:space="preserve">trabajador de producción de pastelería;</w:t>
      </w:r>
    </w:p>
    <w:p>
      <w:pPr>
        <w:numPr>
          <w:ilvl w:val="0"/>
          <w:numId w:val="1031"/>
        </w:numPr>
        <w:pStyle w:val="Compact"/>
      </w:pPr>
      <w:r>
        <w:t xml:space="preserve">decorador de tortas;</w:t>
      </w:r>
    </w:p>
    <w:p>
      <w:pPr>
        <w:numPr>
          <w:ilvl w:val="0"/>
          <w:numId w:val="1031"/>
        </w:numPr>
        <w:pStyle w:val="Compact"/>
      </w:pPr>
      <w:r>
        <w:t xml:space="preserve">especialista en pastelería;</w:t>
      </w:r>
    </w:p>
    <w:p>
      <w:pPr>
        <w:numPr>
          <w:ilvl w:val="0"/>
          <w:numId w:val="1031"/>
        </w:numPr>
        <w:pStyle w:val="Compact"/>
      </w:pPr>
      <w:r>
        <w:t xml:space="preserve">panadero senior;</w:t>
      </w:r>
    </w:p>
    <w:p>
      <w:pPr>
        <w:numPr>
          <w:ilvl w:val="0"/>
          <w:numId w:val="1031"/>
        </w:numPr>
        <w:pStyle w:val="Compact"/>
      </w:pPr>
      <w:r>
        <w:t xml:space="preserve">líder de turno;</w:t>
      </w:r>
    </w:p>
    <w:p>
      <w:pPr>
        <w:numPr>
          <w:ilvl w:val="0"/>
          <w:numId w:val="1031"/>
        </w:numPr>
        <w:pStyle w:val="Compact"/>
      </w:pPr>
      <w:r>
        <w:t xml:space="preserve">supervisor de panadería;</w:t>
      </w:r>
    </w:p>
    <w:p>
      <w:pPr>
        <w:numPr>
          <w:ilvl w:val="0"/>
          <w:numId w:val="1031"/>
        </w:numPr>
        <w:pStyle w:val="Compact"/>
      </w:pPr>
      <w:r>
        <w:t xml:space="preserve">gerente de panadería o función de gerencia de servicios de alimentos cuando las calificaciones y autoridad lo respalden;</w:t>
      </w:r>
    </w:p>
    <w:p>
      <w:pPr>
        <w:numPr>
          <w:ilvl w:val="0"/>
          <w:numId w:val="1031"/>
        </w:numPr>
        <w:pStyle w:val="Compact"/>
      </w:pPr>
      <w:r>
        <w:t xml:space="preserve">aprendizaje, educación culinaria, desarrollo de productos, calidad, capacitación o emprendimiento.</w:t>
      </w:r>
    </w:p>
    <w:p>
      <w:pPr>
        <w:pStyle w:val="FirstParagraph"/>
      </w:pPr>
      <w:r>
        <w:t xml:space="preserve">La progresión no es automática. Los títulos y la autoridad varían según el empleador.</w:t>
      </w:r>
    </w:p>
    <w:bookmarkEnd w:id="62"/>
    <w:bookmarkStart w:id="63" w:name="Xfcf50399ecf602c1486e53d1c76dcf45a7b369c"/>
    <w:p>
      <w:pPr>
        <w:pStyle w:val="Heading2"/>
      </w:pPr>
      <w:r>
        <w:t xml:space="preserve">Antes de aceptar un trabajo o programa de capacitación</w:t>
      </w:r>
    </w:p>
    <w:p>
      <w:pPr>
        <w:pStyle w:val="FirstParagraph"/>
      </w:pPr>
      <w:r>
        <w:t xml:space="preserve">Verifica:</w:t>
      </w:r>
    </w:p>
    <w:p>
      <w:pPr>
        <w:numPr>
          <w:ilvl w:val="0"/>
          <w:numId w:val="1032"/>
        </w:numPr>
        <w:pStyle w:val="Compact"/>
      </w:pPr>
      <w:r>
        <w:t xml:space="preserve">título exacto y funciones;</w:t>
      </w:r>
    </w:p>
    <w:p>
      <w:pPr>
        <w:numPr>
          <w:ilvl w:val="0"/>
          <w:numId w:val="1032"/>
        </w:numPr>
        <w:pStyle w:val="Compact"/>
      </w:pPr>
      <w:r>
        <w:t xml:space="preserve">si el puesto es por hora o asalariado;</w:t>
      </w:r>
    </w:p>
    <w:p>
      <w:pPr>
        <w:numPr>
          <w:ilvl w:val="0"/>
          <w:numId w:val="1032"/>
        </w:numPr>
        <w:pStyle w:val="Compact"/>
      </w:pPr>
      <w:r>
        <w:t xml:space="preserve">salario inicial y reglas de horas extra;</w:t>
      </w:r>
    </w:p>
    <w:p>
      <w:pPr>
        <w:numPr>
          <w:ilvl w:val="0"/>
          <w:numId w:val="1032"/>
        </w:numPr>
        <w:pStyle w:val="Compact"/>
      </w:pPr>
      <w:r>
        <w:t xml:space="preserve">horas semanales típicas;</w:t>
      </w:r>
    </w:p>
    <w:p>
      <w:pPr>
        <w:numPr>
          <w:ilvl w:val="0"/>
          <w:numId w:val="1032"/>
        </w:numPr>
        <w:pStyle w:val="Compact"/>
      </w:pPr>
      <w:r>
        <w:t xml:space="preserve">expectativas de madrugada, noche, fines de semana y días festivos;</w:t>
      </w:r>
    </w:p>
    <w:p>
      <w:pPr>
        <w:numPr>
          <w:ilvl w:val="0"/>
          <w:numId w:val="1032"/>
        </w:numPr>
        <w:pStyle w:val="Compact"/>
      </w:pPr>
      <w:r>
        <w:t xml:space="preserve">requisitos de levantamiento, permanencia de pie, temperatura, movimiento repetitivo y uso de equipos;</w:t>
      </w:r>
    </w:p>
    <w:p>
      <w:pPr>
        <w:numPr>
          <w:ilvl w:val="0"/>
          <w:numId w:val="1032"/>
        </w:numPr>
        <w:pStyle w:val="Compact"/>
      </w:pPr>
      <w:r>
        <w:t xml:space="preserve">requisitos de inocuidad o documentos de salud;</w:t>
      </w:r>
    </w:p>
    <w:p>
      <w:pPr>
        <w:numPr>
          <w:ilvl w:val="0"/>
          <w:numId w:val="1032"/>
        </w:numPr>
        <w:pStyle w:val="Compact"/>
      </w:pPr>
      <w:r>
        <w:t xml:space="preserve">quién paga capacitación obligatoria, exámenes, uniformes, herramientas y equipo de protección;</w:t>
      </w:r>
    </w:p>
    <w:p>
      <w:pPr>
        <w:numPr>
          <w:ilvl w:val="0"/>
          <w:numId w:val="1032"/>
        </w:numPr>
        <w:pStyle w:val="Compact"/>
      </w:pPr>
      <w:r>
        <w:t xml:space="preserve">si el tiempo de capacitación es pagado cuando corresponda;</w:t>
      </w:r>
    </w:p>
    <w:p>
      <w:pPr>
        <w:numPr>
          <w:ilvl w:val="0"/>
          <w:numId w:val="1032"/>
        </w:numPr>
        <w:pStyle w:val="Compact"/>
      </w:pPr>
      <w:r>
        <w:t xml:space="preserve">registro del aprendizaje y progresión salarial si aplica;</w:t>
      </w:r>
    </w:p>
    <w:p>
      <w:pPr>
        <w:numPr>
          <w:ilvl w:val="0"/>
          <w:numId w:val="1032"/>
        </w:numPr>
        <w:pStyle w:val="Compact"/>
      </w:pPr>
      <w:r>
        <w:t xml:space="preserve">autoridad exacta de supervisión;</w:t>
      </w:r>
    </w:p>
    <w:p>
      <w:pPr>
        <w:numPr>
          <w:ilvl w:val="0"/>
          <w:numId w:val="1032"/>
        </w:numPr>
        <w:pStyle w:val="Compact"/>
      </w:pPr>
      <w:r>
        <w:t xml:space="preserve">proceso de accesibilidad/adaptación;</w:t>
      </w:r>
    </w:p>
    <w:p>
      <w:pPr>
        <w:numPr>
          <w:ilvl w:val="0"/>
          <w:numId w:val="1032"/>
        </w:numPr>
        <w:pStyle w:val="Compact"/>
      </w:pPr>
      <w:r>
        <w:t xml:space="preserve">costo total de educación después de ingredientes, uniformes, herramientas, transporte, tarifas y tiempo laboral perdido;</w:t>
      </w:r>
    </w:p>
    <w:p>
      <w:pPr>
        <w:numPr>
          <w:ilvl w:val="0"/>
          <w:numId w:val="1032"/>
        </w:numPr>
        <w:pStyle w:val="Compact"/>
      </w:pPr>
      <w:r>
        <w:t xml:space="preserve">elegibilidad para becas, WIOA, reembolso del empleador o programas públicos;</w:t>
      </w:r>
    </w:p>
    <w:p>
      <w:pPr>
        <w:numPr>
          <w:ilvl w:val="0"/>
          <w:numId w:val="1032"/>
        </w:numPr>
        <w:pStyle w:val="Compact"/>
      </w:pPr>
      <w:r>
        <w:t xml:space="preserve">afirmaciones de graduación, colocación laboral y deuda del proveedor de capacitación mediante datos verificables de forma independiente.</w:t>
      </w:r>
    </w:p>
    <w:bookmarkEnd w:id="63"/>
    <w:bookmarkStart w:id="84" w:name="lista-controlada-de-fuentes"/>
    <w:p>
      <w:pPr>
        <w:pStyle w:val="Heading2"/>
      </w:pPr>
      <w:r>
        <w:t xml:space="preserve">Lista controlada de fuentes</w:t>
      </w:r>
    </w:p>
    <w:p>
      <w:pPr>
        <w:numPr>
          <w:ilvl w:val="0"/>
          <w:numId w:val="1033"/>
        </w:numPr>
        <w:pStyle w:val="Compact"/>
      </w:pPr>
      <w:hyperlink r:id="rId64">
        <w:hyperlink r:id="rId64">
          <w:r>
            <w:rPr>
              <w:rStyle w:val="Hyperlink"/>
            </w:rPr>
            <w:t xml:space="preserve">Source link</w:t>
          </w:r>
        </w:hyperlink>
      </w:hyperlink>
    </w:p>
    <w:p>
      <w:pPr>
        <w:numPr>
          <w:ilvl w:val="0"/>
          <w:numId w:val="1033"/>
        </w:numPr>
        <w:pStyle w:val="Compact"/>
      </w:pPr>
      <w:hyperlink r:id="rId65">
        <w:hyperlink r:id="rId65">
          <w:r>
            <w:rPr>
              <w:rStyle w:val="Hyperlink"/>
            </w:rPr>
            <w:t xml:space="preserve">Source link</w:t>
          </w:r>
        </w:hyperlink>
      </w:hyperlink>
    </w:p>
    <w:p>
      <w:pPr>
        <w:numPr>
          <w:ilvl w:val="0"/>
          <w:numId w:val="1033"/>
        </w:numPr>
        <w:pStyle w:val="Compact"/>
      </w:pPr>
      <w:hyperlink r:id="rId66">
        <w:hyperlink r:id="rId66">
          <w:r>
            <w:rPr>
              <w:rStyle w:val="Hyperlink"/>
            </w:rPr>
            <w:t xml:space="preserve">Source link</w:t>
          </w:r>
        </w:hyperlink>
      </w:hyperlink>
    </w:p>
    <w:p>
      <w:pPr>
        <w:numPr>
          <w:ilvl w:val="0"/>
          <w:numId w:val="1033"/>
        </w:numPr>
        <w:pStyle w:val="Compact"/>
      </w:pPr>
      <w:hyperlink r:id="rId67">
        <w:r>
          <w:rPr>
            <w:rStyle w:val="Hyperlink"/>
          </w:rPr>
          <w:t xml:space="preserve">https://www.bls.gov/ooh/production/bakers.htm</w:t>
        </w:r>
      </w:hyperlink>
    </w:p>
    <w:p>
      <w:pPr>
        <w:numPr>
          <w:ilvl w:val="0"/>
          <w:numId w:val="1033"/>
        </w:numPr>
        <w:pStyle w:val="Compact"/>
      </w:pPr>
      <w:hyperlink r:id="rId68">
        <w:hyperlink r:id="rId68">
          <w:r>
            <w:rPr>
              <w:rStyle w:val="Hyperlink"/>
            </w:rPr>
            <w:t xml:space="preserve">Source link</w:t>
          </w:r>
        </w:hyperlink>
      </w:hyperlink>
    </w:p>
    <w:p>
      <w:pPr>
        <w:numPr>
          <w:ilvl w:val="0"/>
          <w:numId w:val="1033"/>
        </w:numPr>
        <w:pStyle w:val="Compact"/>
      </w:pPr>
      <w:hyperlink r:id="rId69">
        <w:hyperlink r:id="rId69">
          <w:r>
            <w:rPr>
              <w:rStyle w:val="Hyperlink"/>
            </w:rPr>
            <w:t xml:space="preserve">Source link</w:t>
          </w:r>
        </w:hyperlink>
      </w:hyperlink>
    </w:p>
    <w:p>
      <w:pPr>
        <w:numPr>
          <w:ilvl w:val="0"/>
          <w:numId w:val="1033"/>
        </w:numPr>
        <w:pStyle w:val="Compact"/>
      </w:pPr>
      <w:hyperlink r:id="rId70">
        <w:hyperlink r:id="rId70">
          <w:r>
            <w:rPr>
              <w:rStyle w:val="Hyperlink"/>
            </w:rPr>
            <w:t xml:space="preserve">Source link</w:t>
          </w:r>
        </w:hyperlink>
      </w:hyperlink>
    </w:p>
    <w:p>
      <w:pPr>
        <w:numPr>
          <w:ilvl w:val="0"/>
          <w:numId w:val="1033"/>
        </w:numPr>
        <w:pStyle w:val="Compact"/>
      </w:pPr>
      <w:hyperlink r:id="rId71">
        <w:r>
          <w:rPr>
            <w:rStyle w:val="Hyperlink"/>
          </w:rPr>
          <w:t xml:space="preserve">https://www.fda.gov/media/183271/download</w:t>
        </w:r>
      </w:hyperlink>
    </w:p>
    <w:p>
      <w:pPr>
        <w:numPr>
          <w:ilvl w:val="0"/>
          <w:numId w:val="1033"/>
        </w:numPr>
        <w:pStyle w:val="Compact"/>
      </w:pPr>
      <w:hyperlink r:id="rId72">
        <w:hyperlink r:id="rId72">
          <w:r>
            <w:rPr>
              <w:rStyle w:val="Hyperlink"/>
            </w:rPr>
            <w:t xml:space="preserve">Source link</w:t>
          </w:r>
        </w:hyperlink>
      </w:hyperlink>
    </w:p>
    <w:p>
      <w:pPr>
        <w:numPr>
          <w:ilvl w:val="0"/>
          <w:numId w:val="1033"/>
        </w:numPr>
        <w:pStyle w:val="Compact"/>
      </w:pPr>
      <w:hyperlink r:id="rId73">
        <w:hyperlink r:id="rId73">
          <w:r>
            <w:rPr>
              <w:rStyle w:val="Hyperlink"/>
            </w:rPr>
            <w:t xml:space="preserve">Source link</w:t>
          </w:r>
        </w:hyperlink>
      </w:hyperlink>
    </w:p>
    <w:p>
      <w:pPr>
        <w:numPr>
          <w:ilvl w:val="0"/>
          <w:numId w:val="1033"/>
        </w:numPr>
        <w:pStyle w:val="Compact"/>
      </w:pPr>
      <w:hyperlink r:id="rId74">
        <w:hyperlink r:id="rId74">
          <w:r>
            <w:rPr>
              <w:rStyle w:val="Hyperlink"/>
            </w:rPr>
            <w:t xml:space="preserve">Source link</w:t>
          </w:r>
        </w:hyperlink>
      </w:hyperlink>
    </w:p>
    <w:p>
      <w:pPr>
        <w:numPr>
          <w:ilvl w:val="0"/>
          <w:numId w:val="1033"/>
        </w:numPr>
        <w:pStyle w:val="Compact"/>
      </w:pPr>
      <w:hyperlink r:id="rId75">
        <w:hyperlink r:id="rId75">
          <w:r>
            <w:rPr>
              <w:rStyle w:val="Hyperlink"/>
            </w:rPr>
            <w:t xml:space="preserve">Source link</w:t>
          </w:r>
        </w:hyperlink>
      </w:hyperlink>
    </w:p>
    <w:p>
      <w:pPr>
        <w:numPr>
          <w:ilvl w:val="0"/>
          <w:numId w:val="1033"/>
        </w:numPr>
        <w:pStyle w:val="Compact"/>
      </w:pPr>
      <w:hyperlink r:id="rId76">
        <w:hyperlink r:id="rId76">
          <w:r>
            <w:rPr>
              <w:rStyle w:val="Hyperlink"/>
            </w:rPr>
            <w:t xml:space="preserve">Source link</w:t>
          </w:r>
        </w:hyperlink>
      </w:hyperlink>
    </w:p>
    <w:p>
      <w:pPr>
        <w:numPr>
          <w:ilvl w:val="0"/>
          <w:numId w:val="1033"/>
        </w:numPr>
        <w:pStyle w:val="Compact"/>
      </w:pPr>
      <w:hyperlink r:id="rId77">
        <w:hyperlink r:id="rId77">
          <w:r>
            <w:rPr>
              <w:rStyle w:val="Hyperlink"/>
            </w:rPr>
            <w:t xml:space="preserve">Source link</w:t>
          </w:r>
        </w:hyperlink>
      </w:hyperlink>
    </w:p>
    <w:p>
      <w:pPr>
        <w:numPr>
          <w:ilvl w:val="0"/>
          <w:numId w:val="1033"/>
        </w:numPr>
        <w:pStyle w:val="Compact"/>
      </w:pPr>
      <w:hyperlink r:id="rId78">
        <w:hyperlink r:id="rId78">
          <w:r>
            <w:rPr>
              <w:rStyle w:val="Hyperlink"/>
            </w:rPr>
            <w:t xml:space="preserve">Source link</w:t>
          </w:r>
        </w:hyperlink>
      </w:hyperlink>
    </w:p>
    <w:p>
      <w:pPr>
        <w:numPr>
          <w:ilvl w:val="0"/>
          <w:numId w:val="1033"/>
        </w:numPr>
        <w:pStyle w:val="Compact"/>
      </w:pPr>
      <w:hyperlink r:id="rId79">
        <w:hyperlink r:id="rId79">
          <w:r>
            <w:rPr>
              <w:rStyle w:val="Hyperlink"/>
            </w:rPr>
            <w:t xml:space="preserve">Source link</w:t>
          </w:r>
        </w:hyperlink>
      </w:hyperlink>
    </w:p>
    <w:p>
      <w:pPr>
        <w:numPr>
          <w:ilvl w:val="0"/>
          <w:numId w:val="1033"/>
        </w:numPr>
        <w:pStyle w:val="Compact"/>
      </w:pPr>
      <w:hyperlink r:id="rId80">
        <w:hyperlink r:id="rId80">
          <w:r>
            <w:rPr>
              <w:rStyle w:val="Hyperlink"/>
            </w:rPr>
            <w:t xml:space="preserve">Source link</w:t>
          </w:r>
        </w:hyperlink>
      </w:hyperlink>
    </w:p>
    <w:p>
      <w:pPr>
        <w:numPr>
          <w:ilvl w:val="0"/>
          <w:numId w:val="1033"/>
        </w:numPr>
        <w:pStyle w:val="Compact"/>
      </w:pPr>
      <w:hyperlink r:id="rId81">
        <w:r>
          <w:rPr>
            <w:rStyle w:val="Hyperlink"/>
          </w:rPr>
          <w:t xml:space="preserve">https://www.apprenticeship.gov/</w:t>
        </w:r>
      </w:hyperlink>
    </w:p>
    <w:p>
      <w:pPr>
        <w:numPr>
          <w:ilvl w:val="0"/>
          <w:numId w:val="1033"/>
        </w:numPr>
        <w:pStyle w:val="Compact"/>
      </w:pPr>
      <w:hyperlink r:id="rId82">
        <w:hyperlink r:id="rId82">
          <w:r>
            <w:rPr>
              <w:rStyle w:val="Hyperlink"/>
            </w:rPr>
            <w:t xml:space="preserve">Source link</w:t>
          </w:r>
        </w:hyperlink>
      </w:hyperlink>
    </w:p>
    <w:p>
      <w:pPr>
        <w:numPr>
          <w:ilvl w:val="0"/>
          <w:numId w:val="1033"/>
        </w:numPr>
        <w:pStyle w:val="Compact"/>
      </w:pPr>
      <w:hyperlink r:id="rId83">
        <w:hyperlink r:id="rId83">
          <w:r>
            <w:rPr>
              <w:rStyle w:val="Hyperlink"/>
            </w:rPr>
            <w:t xml:space="preserve">Source link</w:t>
          </w:r>
        </w:hyperlink>
      </w:hyperlink>
    </w:p>
    <w:bookmarkEnd w:id="84"/>
    <w:bookmarkStart w:id="85" w:name="aviso-importante"/>
    <w:p>
      <w:pPr>
        <w:pStyle w:val="Heading2"/>
      </w:pPr>
      <w:r>
        <w:t xml:space="preserve">Aviso importante</w:t>
      </w:r>
    </w:p>
    <w:p>
      <w:pPr>
        <w:pStyle w:val="FirstParagraph"/>
      </w:pPr>
      <w:r>
        <w:t xml:space="preserve">Esta guía proporciona información general educativa y de planificación profesional. No garantiza empleo, ingresos, admisión, financiamiento, becas, colocación en aprendizaje, certificación, licencia, promoción, adaptación ni ningún otro resultado. Los requisitos y oportunidades varían según empleador, establecimiento, jurisdicción y momento. Verifica las decisiones importantes con el empleador, proveedor de capacitación, patrocinador del programa y autoridad gubernamental pertinentes.</w:t>
      </w:r>
    </w:p>
    <w:bookmarkEnd w:id="85"/>
    <w:bookmarkStart w:id="86" w:name="límite-de-aseguramiento"/>
    <w:p>
      <w:pPr>
        <w:pStyle w:val="Heading2"/>
      </w:pPr>
      <w:r>
        <w:t xml:space="preserve">Límite de aseguramiento</w:t>
      </w:r>
    </w:p>
    <w:p>
      <w:pPr>
        <w:pStyle w:val="FirstParagraph"/>
      </w:pPr>
      <w:r>
        <w:t xml:space="preserve">Este maestro de trabajo Versión 2 fue desarrollado mediante investigación y revisión editorial internas asistidas por máquina. No constituye certificación humana independiente, certificación profesional culinaria o de inocuidad de alimentos, certificación profesional de traducción, revisión legal, certificación de accesibilidad, acreditación, asesoría de licenciamiento, aprobación regulatoria, aprobación de financiamiento, aprobación de becas ni garantía de empleo o ingresos.</w:t>
      </w:r>
    </w:p>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5" Target="https://betowa.sena.edu.co/oferta/pasteleria?modality=P&amp;offertype=company&amp;programId=110212" TargetMode="External" /><Relationship Type="http://schemas.openxmlformats.org/officeDocument/2006/relationships/hyperlink" Id="rId76" Target="https://betowa.sena.edu.co/oferta/pasteleria?modality=V&amp;offertype=open&amp;programId=2481" TargetMode="External" /><Relationship Type="http://schemas.openxmlformats.org/officeDocument/2006/relationships/hyperlink" Id="rId77" Target="https://betowa.sena.edu.co/oferta/procesos-basicos-de-panaderia?modality=P&amp;offertype=open&amp;programId=19267" TargetMode="External" /><Relationship Type="http://schemas.openxmlformats.org/officeDocument/2006/relationships/hyperlink" Id="rId74" Target="https://on.jobbank.gc.ca/marketreport/wages-occupation/22246/ca" TargetMode="External" /><Relationship Type="http://schemas.openxmlformats.org/officeDocument/2006/relationships/hyperlink" Id="rId81" Target="https://www.apprenticeship.gov/" TargetMode="External" /><Relationship Type="http://schemas.openxmlformats.org/officeDocument/2006/relationships/hyperlink" Id="rId67" Target="https://www.bls.gov/ooh/production/bakers.htm" TargetMode="External" /><Relationship Type="http://schemas.openxmlformats.org/officeDocument/2006/relationships/hyperlink" Id="rId78" Target="https://www.careeronestop.org/FindTraining/find-training.aspx" TargetMode="External" /><Relationship Type="http://schemas.openxmlformats.org/officeDocument/2006/relationships/hyperlink" Id="rId79" Target="https://www.careeronestop.org/LocalHelp/EmploymentAndTraining/find-WIOA-training-programs.aspx" TargetMode="External" /><Relationship Type="http://schemas.openxmlformats.org/officeDocument/2006/relationships/hyperlink" Id="rId80" Target="https://www.careeronestop.org/Toolkit/Training/find-scholarships.aspx" TargetMode="External" /><Relationship Type="http://schemas.openxmlformats.org/officeDocument/2006/relationships/hyperlink" Id="rId70" Target="https://www.fda.gov/food/fda-food-code/food-code-2022" TargetMode="External" /><Relationship Type="http://schemas.openxmlformats.org/officeDocument/2006/relationships/hyperlink" Id="rId69" Target="https://www.fda.gov/food/retail-food-protection/fda-food-code" TargetMode="External" /><Relationship Type="http://schemas.openxmlformats.org/officeDocument/2006/relationships/hyperlink" Id="rId71" Target="https://www.fda.gov/media/183271/download" TargetMode="External" /><Relationship Type="http://schemas.openxmlformats.org/officeDocument/2006/relationships/hyperlink" Id="rId82" Target="https://www.ilo.org/es/centro-interamericano-para-el-desarrollo-del-conocimiento-en-la-formacion" TargetMode="External" /><Relationship Type="http://schemas.openxmlformats.org/officeDocument/2006/relationships/hyperlink" Id="rId83" Target="https://www.ilo.org/es/publications/guia-para-la-transversalizacion-de-la-sst-en-programas-de-formacion-0" TargetMode="External" /><Relationship Type="http://schemas.openxmlformats.org/officeDocument/2006/relationships/hyperlink" Id="rId73" Target="https://www.jobbank.gc.ca/marketreport/requirements/22246/ca" TargetMode="External" /><Relationship Type="http://schemas.openxmlformats.org/officeDocument/2006/relationships/hyperlink" Id="rId72" Target="https://www.jobbank.gc.ca/marketreport/summary-occupation/22246/ca" TargetMode="External" /><Relationship Type="http://schemas.openxmlformats.org/officeDocument/2006/relationships/hyperlink" Id="rId65" Target="https://www.onetonline.org/link/details/51-3011.00" TargetMode="External" /><Relationship Type="http://schemas.openxmlformats.org/officeDocument/2006/relationships/hyperlink" Id="rId66" Target="https://www.onetonline.org/link/localwages/51-3011.00" TargetMode="External" /><Relationship Type="http://schemas.openxmlformats.org/officeDocument/2006/relationships/hyperlink" Id="rId64" Target="https://www.onetonline.org/link/summary/51-3011.00" TargetMode="External" /><Relationship Type="http://schemas.openxmlformats.org/officeDocument/2006/relationships/hyperlink" Id="rId68" Target="https://www.salary.com/research/salary/listing/baker-salary" TargetMode="External" /></Relationships>
</file>

<file path=word/_rels/footnotes.xml.rels><?xml version="1.0" encoding="UTF-8"?><Relationships xmlns="http://schemas.openxmlformats.org/package/2006/relationships"><Relationship Type="http://schemas.openxmlformats.org/officeDocument/2006/relationships/hyperlink" Id="rId75" Target="https://betowa.sena.edu.co/oferta/pasteleria?modality=P&amp;offertype=company&amp;programId=110212" TargetMode="External" /><Relationship Type="http://schemas.openxmlformats.org/officeDocument/2006/relationships/hyperlink" Id="rId76" Target="https://betowa.sena.edu.co/oferta/pasteleria?modality=V&amp;offertype=open&amp;programId=2481" TargetMode="External" /><Relationship Type="http://schemas.openxmlformats.org/officeDocument/2006/relationships/hyperlink" Id="rId77" Target="https://betowa.sena.edu.co/oferta/procesos-basicos-de-panaderia?modality=P&amp;offertype=open&amp;programId=19267" TargetMode="External" /><Relationship Type="http://schemas.openxmlformats.org/officeDocument/2006/relationships/hyperlink" Id="rId74" Target="https://on.jobbank.gc.ca/marketreport/wages-occupation/22246/ca" TargetMode="External" /><Relationship Type="http://schemas.openxmlformats.org/officeDocument/2006/relationships/hyperlink" Id="rId81" Target="https://www.apprenticeship.gov/" TargetMode="External" /><Relationship Type="http://schemas.openxmlformats.org/officeDocument/2006/relationships/hyperlink" Id="rId67" Target="https://www.bls.gov/ooh/production/bakers.htm" TargetMode="External" /><Relationship Type="http://schemas.openxmlformats.org/officeDocument/2006/relationships/hyperlink" Id="rId78" Target="https://www.careeronestop.org/FindTraining/find-training.aspx" TargetMode="External" /><Relationship Type="http://schemas.openxmlformats.org/officeDocument/2006/relationships/hyperlink" Id="rId79" Target="https://www.careeronestop.org/LocalHelp/EmploymentAndTraining/find-WIOA-training-programs.aspx" TargetMode="External" /><Relationship Type="http://schemas.openxmlformats.org/officeDocument/2006/relationships/hyperlink" Id="rId80" Target="https://www.careeronestop.org/Toolkit/Training/find-scholarships.aspx" TargetMode="External" /><Relationship Type="http://schemas.openxmlformats.org/officeDocument/2006/relationships/hyperlink" Id="rId70" Target="https://www.fda.gov/food/fda-food-code/food-code-2022" TargetMode="External" /><Relationship Type="http://schemas.openxmlformats.org/officeDocument/2006/relationships/hyperlink" Id="rId69" Target="https://www.fda.gov/food/retail-food-protection/fda-food-code" TargetMode="External" /><Relationship Type="http://schemas.openxmlformats.org/officeDocument/2006/relationships/hyperlink" Id="rId71" Target="https://www.fda.gov/media/183271/download" TargetMode="External" /><Relationship Type="http://schemas.openxmlformats.org/officeDocument/2006/relationships/hyperlink" Id="rId82" Target="https://www.ilo.org/es/centro-interamericano-para-el-desarrollo-del-conocimiento-en-la-formacion" TargetMode="External" /><Relationship Type="http://schemas.openxmlformats.org/officeDocument/2006/relationships/hyperlink" Id="rId83" Target="https://www.ilo.org/es/publications/guia-para-la-transversalizacion-de-la-sst-en-programas-de-formacion-0" TargetMode="External" /><Relationship Type="http://schemas.openxmlformats.org/officeDocument/2006/relationships/hyperlink" Id="rId73" Target="https://www.jobbank.gc.ca/marketreport/requirements/22246/ca" TargetMode="External" /><Relationship Type="http://schemas.openxmlformats.org/officeDocument/2006/relationships/hyperlink" Id="rId72" Target="https://www.jobbank.gc.ca/marketreport/summary-occupation/22246/ca" TargetMode="External" /><Relationship Type="http://schemas.openxmlformats.org/officeDocument/2006/relationships/hyperlink" Id="rId65" Target="https://www.onetonline.org/link/details/51-3011.00" TargetMode="External" /><Relationship Type="http://schemas.openxmlformats.org/officeDocument/2006/relationships/hyperlink" Id="rId66" Target="https://www.onetonline.org/link/localwages/51-3011.00" TargetMode="External" /><Relationship Type="http://schemas.openxmlformats.org/officeDocument/2006/relationships/hyperlink" Id="rId64" Target="https://www.onetonline.org/link/summary/51-3011.00" TargetMode="External" /><Relationship Type="http://schemas.openxmlformats.org/officeDocument/2006/relationships/hyperlink" Id="rId68" Target="https://www.salary.com/research/salary/listing/bake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2026-08-21T06:43:15Z</dcterms:created>
  <dcterms:modified xsi:type="dcterms:W3CDTF">2026-08-21T06:43:15Z</dcterms:modified>
</cp:coreProperties>
</file>

<file path=docProps/custom.xml><?xml version="1.0" encoding="utf-8"?>
<Properties xmlns="http://schemas.openxmlformats.org/officeDocument/2006/custom-properties" xmlns:vt="http://schemas.openxmlformats.org/officeDocument/2006/docPropsVTypes"/>
</file>