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Xac2a7ffa753cbc7f3c544d83d45a4c9dbf2412a"/>
    <w:p>
      <w:pPr>
        <w:pStyle w:val="Heading1"/>
      </w:pPr>
      <w:r>
        <w:t xml:space="preserve">Guia de Oportunidades ao Longo da Vida 100 — Técnico/a de Laboratório Clínico</w:t>
      </w:r>
    </w:p>
    <w:p>
      <w:pPr>
        <w:pStyle w:val="FirstParagraph"/>
      </w:pPr>
      <w:r>
        <w:rPr>
          <w:bCs/>
          <w:b/>
        </w:rPr>
        <w:t xml:space="preserve">Versão:</w:t>
      </w:r>
      <w:r>
        <w:t xml:space="preserve"> </w:t>
      </w:r>
      <w:r>
        <w:t xml:space="preserve">2.0, mestre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ocupacional dos EUA:</w:t>
      </w:r>
      <w:r>
        <w:t xml:space="preserve"> </w:t>
      </w:r>
      <w:r>
        <w:t xml:space="preserve">O*NET-SOC 29-2012.00 — Medical and Clinical Laboratory Technicians</w:t>
      </w:r>
      <w:r>
        <w:br/>
      </w:r>
      <w:r>
        <w:rPr>
          <w:bCs/>
          <w:b/>
        </w:rPr>
        <w:t xml:space="preserve">Comparações do Canadá:</w:t>
      </w:r>
      <w:r>
        <w:t xml:space="preserve"> </w:t>
      </w:r>
      <w:r>
        <w:t xml:space="preserve">NOC 32120 — Medical laboratory technologists; NOC 33101 — Medical laboratory assistants and related technical occupations</w:t>
      </w:r>
      <w:r>
        <w:br/>
      </w:r>
      <w:r>
        <w:rPr>
          <w:bCs/>
          <w:b/>
        </w:rPr>
        <w:t xml:space="preserve">Comparações da Colômbia:</w:t>
      </w:r>
      <w:r>
        <w:t xml:space="preserve"> </w:t>
      </w:r>
      <w:r>
        <w:t xml:space="preserve">CUOC 32120 — Técnicos de laboratorios médicos; CUOC 53294 — Auxiliares de laboratorio clínico</w:t>
      </w:r>
      <w:r>
        <w:br/>
      </w:r>
      <w:r>
        <w:rPr>
          <w:bCs/>
          <w:b/>
        </w:rPr>
        <w:t xml:space="preserve">Data de revisão:</w:t>
      </w:r>
      <w:r>
        <w:t xml:space="preserve"> </w:t>
      </w:r>
      <w:r>
        <w:t xml:space="preserve">2026-08-22</w:t>
      </w:r>
    </w:p>
    <w:bookmarkStart w:id="20" w:name="o-que-é-esta-carreira"/>
    <w:p>
      <w:pPr>
        <w:pStyle w:val="Heading2"/>
      </w:pPr>
      <w:r>
        <w:t xml:space="preserve">O que é esta carreira</w:t>
      </w:r>
    </w:p>
    <w:p>
      <w:pPr>
        <w:pStyle w:val="FirstParagraph"/>
      </w:pPr>
      <w:r>
        <w:t xml:space="preserve">Técnicos de laboratório clínico ajudam a transformar amostras humanas em informações laboratoriais confiáveis. Dependendo do local de trabalho, podem receber, preparar, analisar, armazenar, encaminhar, documentar ou descartar sangue, urina, tecidos, fluidos corporais, culturas, reagentes, controles e outros materiais seguindo procedimentos aprovados.</w:t>
      </w:r>
    </w:p>
    <w:p>
      <w:pPr>
        <w:pStyle w:val="BodyText"/>
      </w:pPr>
      <w:r>
        <w:t xml:space="preserve">Nos Estados Unidos, este guia usa</w:t>
      </w:r>
      <w:r>
        <w:t xml:space="preserve"> </w:t>
      </w:r>
      <w:r>
        <w:rPr>
          <w:bCs/>
          <w:b/>
        </w:rPr>
        <w:t xml:space="preserve">O*NET-SOC 29-2012.00 — Medical and Clinical Laboratory Technicians</w:t>
      </w:r>
      <w:r>
        <w:t xml:space="preserve"> </w:t>
      </w:r>
      <w:r>
        <w:t xml:space="preserve">como principal referência. O O*NET descreve a ocupação como a realização de testes médicos laboratoriais rotineiros para apoiar diagnóstico, tratamento e prevenção de doenças, em alguns casos sob supervisão de um tecnólogo de laboratório médico.</w:t>
      </w:r>
    </w:p>
    <w:p>
      <w:pPr>
        <w:pStyle w:val="BodyText"/>
      </w:pPr>
      <w:r>
        <w:t xml:space="preserve">Ambientes comuns incluem laboratórios hospitalares, laboratórios médicos e de diagnóstico, laboratórios de consultórios, bancos de sangue, clínicas, laboratórios de saúde pública, organizações de pesquisa, universidades, laboratórios de referência e instalações especializadas de análise.</w:t>
      </w:r>
    </w:p>
    <w:p>
      <w:pPr>
        <w:pStyle w:val="BodyText"/>
      </w:pPr>
      <w:r>
        <w:t xml:space="preserve">Os títulos variam: técnico de laboratório clínico, técnico de laboratório médico, MLT, técnico de laboratório, técnico clínico, técnico médico, técnico de histologia, técnico de processamento de amostras, auxiliar de laboratório e outros. O título por si só não concede autoridade legal ou clínica. Verifique sempre a descrição real da vaga, os regulamentos aplicáveis, as políticas do laboratório, a complexidade dos testes, requisitos de certificação, regras estaduais ou provinciais e a supervisão atribuída.</w:t>
      </w:r>
    </w:p>
    <w:bookmarkEnd w:id="20"/>
    <w:bookmarkStart w:id="21" w:name="por-que-pode-ser-uma-oportunidade"/>
    <w:p>
      <w:pPr>
        <w:pStyle w:val="Heading2"/>
      </w:pPr>
      <w:r>
        <w:t xml:space="preserve">Por que pode ser uma oportunidade</w:t>
      </w:r>
    </w:p>
    <w:p>
      <w:pPr>
        <w:pStyle w:val="FirstParagraph"/>
      </w:pPr>
      <w:r>
        <w:t xml:space="preserve">Esta carreira pode ser adequada para pessoas que gostam de ciência prática, rotinas precisas, instrumentos, dados e trabalho que apoia o cuidado do paciente sem necessariamente ser a pessoa que emite o diagnóstico médico final.</w:t>
      </w:r>
    </w:p>
    <w:p>
      <w:pPr>
        <w:pStyle w:val="BodyText"/>
      </w:pPr>
      <w:r>
        <w:t xml:space="preserve">Pode ser uma boa opção para quem gosta de:</w:t>
      </w:r>
    </w:p>
    <w:p>
      <w:pPr>
        <w:numPr>
          <w:ilvl w:val="0"/>
          <w:numId w:val="1001"/>
        </w:numPr>
        <w:pStyle w:val="Compact"/>
      </w:pPr>
      <w:r>
        <w:t xml:space="preserve">seguir um método validado com precisão;</w:t>
      </w:r>
    </w:p>
    <w:p>
      <w:pPr>
        <w:numPr>
          <w:ilvl w:val="0"/>
          <w:numId w:val="1001"/>
        </w:numPr>
        <w:pStyle w:val="Compact"/>
      </w:pPr>
      <w:r>
        <w:t xml:space="preserve">identificar e organizar amostras;</w:t>
      </w:r>
    </w:p>
    <w:p>
      <w:pPr>
        <w:numPr>
          <w:ilvl w:val="0"/>
          <w:numId w:val="1001"/>
        </w:numPr>
        <w:pStyle w:val="Compact"/>
      </w:pPr>
      <w:r>
        <w:t xml:space="preserve">medir, pipetar, preparar, corar, contar, comparar e documentar;</w:t>
      </w:r>
    </w:p>
    <w:p>
      <w:pPr>
        <w:numPr>
          <w:ilvl w:val="0"/>
          <w:numId w:val="1001"/>
        </w:numPr>
        <w:pStyle w:val="Compact"/>
      </w:pPr>
      <w:r>
        <w:t xml:space="preserve">trabalhar com microscópios, analisadores e sistemas de informação laboratorial;</w:t>
      </w:r>
    </w:p>
    <w:p>
      <w:pPr>
        <w:numPr>
          <w:ilvl w:val="0"/>
          <w:numId w:val="1001"/>
        </w:numPr>
        <w:pStyle w:val="Compact"/>
      </w:pPr>
      <w:r>
        <w:t xml:space="preserve">perceber quando um controle, instrumento ou amostra apresenta algo incomum;</w:t>
      </w:r>
    </w:p>
    <w:p>
      <w:pPr>
        <w:numPr>
          <w:ilvl w:val="0"/>
          <w:numId w:val="1001"/>
        </w:numPr>
        <w:pStyle w:val="Compact"/>
      </w:pPr>
      <w:r>
        <w:t xml:space="preserve">resolver problemas técnicos rotineiros dentro da autoridade atribuída;</w:t>
      </w:r>
    </w:p>
    <w:p>
      <w:pPr>
        <w:numPr>
          <w:ilvl w:val="0"/>
          <w:numId w:val="1001"/>
        </w:numPr>
        <w:pStyle w:val="Compact"/>
      </w:pPr>
      <w:r>
        <w:t xml:space="preserve">manter registros exatos;</w:t>
      </w:r>
    </w:p>
    <w:p>
      <w:pPr>
        <w:numPr>
          <w:ilvl w:val="0"/>
          <w:numId w:val="1001"/>
        </w:numPr>
        <w:pStyle w:val="Compact"/>
      </w:pPr>
      <w:r>
        <w:t xml:space="preserve">trabalhar em equipe na área da saúde;</w:t>
      </w:r>
    </w:p>
    <w:p>
      <w:pPr>
        <w:numPr>
          <w:ilvl w:val="0"/>
          <w:numId w:val="1001"/>
        </w:numPr>
        <w:pStyle w:val="Compact"/>
      </w:pPr>
      <w:r>
        <w:t xml:space="preserve">proteger a privacidade do paciente e os dados do laboratório;</w:t>
      </w:r>
    </w:p>
    <w:p>
      <w:pPr>
        <w:numPr>
          <w:ilvl w:val="0"/>
          <w:numId w:val="1001"/>
        </w:numPr>
        <w:pStyle w:val="Compact"/>
      </w:pPr>
      <w:r>
        <w:t xml:space="preserve">comunicar erros em vez de escondê-los;</w:t>
      </w:r>
    </w:p>
    <w:p>
      <w:pPr>
        <w:numPr>
          <w:ilvl w:val="0"/>
          <w:numId w:val="1001"/>
        </w:numPr>
        <w:pStyle w:val="Compact"/>
      </w:pPr>
      <w:r>
        <w:t xml:space="preserve">aprender continuamente conforme métodos e instrumentos evoluem.</w:t>
      </w:r>
    </w:p>
    <w:p>
      <w:pPr>
        <w:pStyle w:val="FirstParagraph"/>
      </w:pPr>
      <w:r>
        <w:t xml:space="preserve">O trabalho também pode ser exigente. Laboratórios clínicos podem envolver amostras infecciosas, materiais perfurocortantes, produtos químicos, movimentos manuais repetitivos, trabalho visual próximo, longos períodos em pé, turnos noturnos, fins de semana, feriados, amostras urgentes, alarmes, regras rígidas de qualidade e consequências importantes quando a identidade da amostra ou a exatidão do teste é comprometida.</w:t>
      </w:r>
    </w:p>
    <w:p>
      <w:pPr>
        <w:pStyle w:val="BodyText"/>
      </w:pPr>
      <w:r>
        <w:t xml:space="preserve">Antes de investir em um programa caro, investigue o ambiente real. Uma visita autorizada, observação profissional aprovada, função inicial em processamento de amostras, exposição à flebotomia quando apropriado, laboratório acadêmico ou conversa com profissionais pode ajudar a avaliar o encaixe.</w:t>
      </w:r>
    </w:p>
    <w:bookmarkEnd w:id="21"/>
    <w:bookmarkStart w:id="27" w:name="X0fee63aa6e48b149ef286afadd9b88609025a79"/>
    <w:p>
      <w:pPr>
        <w:pStyle w:val="Heading2"/>
      </w:pPr>
      <w:r>
        <w:t xml:space="preserve">Técnico, tecnólogo/cientista, auxiliar, flebotomista e patologista são funções diferentes</w:t>
      </w:r>
    </w:p>
    <w:p>
      <w:pPr>
        <w:pStyle w:val="FirstParagraph"/>
      </w:pPr>
      <w:r>
        <w:t xml:space="preserve">O mesmo título pode significar coisas diferentes conforme o empregador ou país. É mais seguro compreender responsabilidades e autoridade do que depender apenas do nome do cargo.</w:t>
      </w:r>
    </w:p>
    <w:bookmarkStart w:id="22" w:name="Xd7a103a6147f02564e81ca487dccc312bfdeb5c"/>
    <w:p>
      <w:pPr>
        <w:pStyle w:val="Heading3"/>
      </w:pPr>
      <w:r>
        <w:t xml:space="preserve">Um técnico de laboratório clínico ou médico pode ser designado para</w:t>
      </w:r>
    </w:p>
    <w:p>
      <w:pPr>
        <w:numPr>
          <w:ilvl w:val="0"/>
          <w:numId w:val="1002"/>
        </w:numPr>
        <w:pStyle w:val="Compact"/>
      </w:pPr>
      <w:r>
        <w:t xml:space="preserve">receber e identificar amostras;</w:t>
      </w:r>
    </w:p>
    <w:p>
      <w:pPr>
        <w:numPr>
          <w:ilvl w:val="0"/>
          <w:numId w:val="1002"/>
        </w:numPr>
        <w:pStyle w:val="Compact"/>
      </w:pPr>
      <w:r>
        <w:t xml:space="preserve">avaliar aceitabilidade segundo critérios aprovados;</w:t>
      </w:r>
    </w:p>
    <w:p>
      <w:pPr>
        <w:numPr>
          <w:ilvl w:val="0"/>
          <w:numId w:val="1002"/>
        </w:numPr>
        <w:pStyle w:val="Compact"/>
      </w:pPr>
      <w:r>
        <w:t xml:space="preserve">preparar amostras para análise;</w:t>
      </w:r>
    </w:p>
    <w:p>
      <w:pPr>
        <w:numPr>
          <w:ilvl w:val="0"/>
          <w:numId w:val="1002"/>
        </w:numPr>
        <w:pStyle w:val="Compact"/>
      </w:pPr>
      <w:r>
        <w:t xml:space="preserve">realizar testes rotineiros de química, hematologia, urinálise, imunologia, microbiologia, banco de sangue ou outras áreas dentro da competência e autorização;</w:t>
      </w:r>
    </w:p>
    <w:p>
      <w:pPr>
        <w:numPr>
          <w:ilvl w:val="0"/>
          <w:numId w:val="1002"/>
        </w:numPr>
        <w:pStyle w:val="Compact"/>
      </w:pPr>
      <w:r>
        <w:t xml:space="preserve">preparar reagentes, controles e materiais conforme procedimento;</w:t>
      </w:r>
    </w:p>
    <w:p>
      <w:pPr>
        <w:numPr>
          <w:ilvl w:val="0"/>
          <w:numId w:val="1002"/>
        </w:numPr>
        <w:pStyle w:val="Compact"/>
      </w:pPr>
      <w:r>
        <w:t xml:space="preserve">carregar e operar analisadores aprovados;</w:t>
      </w:r>
    </w:p>
    <w:p>
      <w:pPr>
        <w:numPr>
          <w:ilvl w:val="0"/>
          <w:numId w:val="1002"/>
        </w:numPr>
        <w:pStyle w:val="Compact"/>
      </w:pPr>
      <w:r>
        <w:t xml:space="preserve">executar procedimentos manuais para os quais recebeu treinamento e autorização;</w:t>
      </w:r>
    </w:p>
    <w:p>
      <w:pPr>
        <w:numPr>
          <w:ilvl w:val="0"/>
          <w:numId w:val="1002"/>
        </w:numPr>
        <w:pStyle w:val="Compact"/>
      </w:pPr>
      <w:r>
        <w:t xml:space="preserve">registrar resultados de controle de qualidade;</w:t>
      </w:r>
    </w:p>
    <w:p>
      <w:pPr>
        <w:numPr>
          <w:ilvl w:val="0"/>
          <w:numId w:val="1002"/>
        </w:numPr>
        <w:pStyle w:val="Compact"/>
      </w:pPr>
      <w:r>
        <w:t xml:space="preserve">calibrar, verificar, limpar ou manter equipamentos quando designado;</w:t>
      </w:r>
    </w:p>
    <w:p>
      <w:pPr>
        <w:numPr>
          <w:ilvl w:val="0"/>
          <w:numId w:val="1002"/>
        </w:numPr>
        <w:pStyle w:val="Compact"/>
      </w:pPr>
      <w:r>
        <w:t xml:space="preserve">documentar erros de instrumentos e ações corretivas;</w:t>
      </w:r>
    </w:p>
    <w:p>
      <w:pPr>
        <w:numPr>
          <w:ilvl w:val="0"/>
          <w:numId w:val="1002"/>
        </w:numPr>
        <w:pStyle w:val="Compact"/>
      </w:pPr>
      <w:r>
        <w:t xml:space="preserve">inserir ou verificar dados em sistemas aprovados dentro da autoridade atribuída;</w:t>
      </w:r>
    </w:p>
    <w:p>
      <w:pPr>
        <w:numPr>
          <w:ilvl w:val="0"/>
          <w:numId w:val="1002"/>
        </w:numPr>
        <w:pStyle w:val="Compact"/>
      </w:pPr>
      <w:r>
        <w:t xml:space="preserve">reconhecer achados críticos, incomuns, inconsistentes ou fora de faixa e escalá-los conforme procedimento;</w:t>
      </w:r>
    </w:p>
    <w:p>
      <w:pPr>
        <w:numPr>
          <w:ilvl w:val="0"/>
          <w:numId w:val="1002"/>
        </w:numPr>
        <w:pStyle w:val="Compact"/>
      </w:pPr>
      <w:r>
        <w:t xml:space="preserve">preservar observações originais e dados instrumentais;</w:t>
      </w:r>
    </w:p>
    <w:p>
      <w:pPr>
        <w:numPr>
          <w:ilvl w:val="0"/>
          <w:numId w:val="1002"/>
        </w:numPr>
        <w:pStyle w:val="Compact"/>
      </w:pPr>
      <w:r>
        <w:t xml:space="preserve">seguir controles para patógenos transmitidos pelo sangue, produtos químicos, perfurocortantes, resíduos, infecção e EPI.</w:t>
      </w:r>
    </w:p>
    <w:bookmarkEnd w:id="22"/>
    <w:bookmarkStart w:id="23" w:name="X05b7e1ab38851007464c6a877d74b6bd597a607"/>
    <w:p>
      <w:pPr>
        <w:pStyle w:val="Heading3"/>
      </w:pPr>
      <w:r>
        <w:t xml:space="preserve">Um tecnólogo ou cientista de laboratório médico pode ter responsabilidades mais amplas</w:t>
      </w:r>
    </w:p>
    <w:p>
      <w:pPr>
        <w:pStyle w:val="FirstParagraph"/>
      </w:pPr>
      <w:r>
        <w:t xml:space="preserve">Dependendo da jurisdição e do empregador, pode executar testes mais complexos, solução avançada de problemas, verificação ou validação de métodos, microscopia especializada, atividades do sistema da qualidade, treinamento, avaliação de competência, supervisão, consulta técnica e outras responsabilidades além do escopo atribuído ao técnico.</w:t>
      </w:r>
    </w:p>
    <w:bookmarkEnd w:id="23"/>
    <w:bookmarkStart w:id="24" w:name="Xf6c9828632c5c8305421b676acb957245ffe29c"/>
    <w:p>
      <w:pPr>
        <w:pStyle w:val="Heading3"/>
      </w:pPr>
      <w:r>
        <w:t xml:space="preserve">Um auxiliar de laboratório médico pode ter função pré-analítica mais limitada</w:t>
      </w:r>
    </w:p>
    <w:p>
      <w:pPr>
        <w:pStyle w:val="FirstParagraph"/>
      </w:pPr>
      <w:r>
        <w:t xml:space="preserve">Pode se concentrar em coleta, recebimento, identificação, transporte, processamento, centrifugação, alíquotas, preparação de reagentes, preparação de equipamentos, limpeza, apoio administrativo ou procedimentos rotineiros selecionados. No Canadá, essa rota mais estreita é representada separadamente por</w:t>
      </w:r>
      <w:r>
        <w:t xml:space="preserve"> </w:t>
      </w:r>
      <w:r>
        <w:rPr>
          <w:bCs/>
          <w:b/>
        </w:rPr>
        <w:t xml:space="preserve">NOC 33101 — Medical laboratory assistants and related technical occupations</w:t>
      </w:r>
      <w:r>
        <w:t xml:space="preserve">.</w:t>
      </w:r>
    </w:p>
    <w:bookmarkEnd w:id="24"/>
    <w:bookmarkStart w:id="25" w:name="Xc3cf9a89079d902f2c487b68eb92bd07c4209d5"/>
    <w:p>
      <w:pPr>
        <w:pStyle w:val="Heading3"/>
      </w:pPr>
      <w:r>
        <w:t xml:space="preserve">Um flebotomista se concentra na coleta de sangue</w:t>
      </w:r>
    </w:p>
    <w:p>
      <w:pPr>
        <w:pStyle w:val="FirstParagraph"/>
      </w:pPr>
      <w:r>
        <w:t xml:space="preserve">Flebotomia é uma especialidade importante, mas saber coletar sangue não qualifica por si só uma pessoa para realizar toda a gama de testes de laboratório clínico.</w:t>
      </w:r>
    </w:p>
    <w:bookmarkEnd w:id="25"/>
    <w:bookmarkStart w:id="26" w:name="Xce5dc5134ec091c0219b2b49743073a176d1396"/>
    <w:p>
      <w:pPr>
        <w:pStyle w:val="Heading3"/>
      </w:pPr>
      <w:r>
        <w:t xml:space="preserve">Um patologista, médico, diretor de laboratório ou outro profissional autorizado tem responsabilidades diferentes</w:t>
      </w:r>
    </w:p>
    <w:p>
      <w:pPr>
        <w:pStyle w:val="FirstParagraph"/>
      </w:pPr>
      <w:r>
        <w:t xml:space="preserve">Esses profissionais podem responder por interpretação médica, diagnóstico, direção do laboratório, aprovação de métodos, supervisão regulatória, revisão final, consulta, políticas de liberação de resultados ou outras decisões de alta consequência. O técnico deve entender como seu trabalho apoia essas decisões sem reivindicar autoridade que não possui.</w:t>
      </w:r>
    </w:p>
    <w:bookmarkEnd w:id="26"/>
    <w:bookmarkEnd w:id="27"/>
    <w:bookmarkStart w:id="28" w:name="responsabilidades-típicas"/>
    <w:p>
      <w:pPr>
        <w:pStyle w:val="Heading2"/>
      </w:pPr>
      <w:r>
        <w:t xml:space="preserve">Responsabilidades típicas</w:t>
      </w:r>
    </w:p>
    <w:p>
      <w:pPr>
        <w:pStyle w:val="FirstParagraph"/>
      </w:pPr>
      <w:r>
        <w:t xml:space="preserve">Dependendo do laboratório, podem incluir:</w:t>
      </w:r>
    </w:p>
    <w:p>
      <w:pPr>
        <w:numPr>
          <w:ilvl w:val="0"/>
          <w:numId w:val="1003"/>
        </w:numPr>
        <w:pStyle w:val="Compact"/>
      </w:pPr>
      <w:r>
        <w:t xml:space="preserve">conferir ordem e amostra com os identificadores exigidos;</w:t>
      </w:r>
    </w:p>
    <w:p>
      <w:pPr>
        <w:numPr>
          <w:ilvl w:val="0"/>
          <w:numId w:val="1003"/>
        </w:numPr>
        <w:pStyle w:val="Compact"/>
      </w:pPr>
      <w:r>
        <w:t xml:space="preserve">etiquetar ou registrar amostras por fluxos aprovados;</w:t>
      </w:r>
    </w:p>
    <w:p>
      <w:pPr>
        <w:numPr>
          <w:ilvl w:val="0"/>
          <w:numId w:val="1003"/>
        </w:numPr>
        <w:pStyle w:val="Compact"/>
      </w:pPr>
      <w:r>
        <w:t xml:space="preserve">documentar horário de coleta ou recebimento;</w:t>
      </w:r>
    </w:p>
    <w:p>
      <w:pPr>
        <w:numPr>
          <w:ilvl w:val="0"/>
          <w:numId w:val="1003"/>
        </w:numPr>
        <w:pStyle w:val="Compact"/>
      </w:pPr>
      <w:r>
        <w:t xml:space="preserve">verificar tipo, volume, recipiente, anticoagulante, transporte e integridade visível;</w:t>
      </w:r>
    </w:p>
    <w:p>
      <w:pPr>
        <w:numPr>
          <w:ilvl w:val="0"/>
          <w:numId w:val="1003"/>
        </w:numPr>
        <w:pStyle w:val="Compact"/>
      </w:pPr>
      <w:r>
        <w:t xml:space="preserve">centrifugar, separar, aliquotar ou preparar amostras;</w:t>
      </w:r>
    </w:p>
    <w:p>
      <w:pPr>
        <w:numPr>
          <w:ilvl w:val="0"/>
          <w:numId w:val="1003"/>
        </w:numPr>
        <w:pStyle w:val="Compact"/>
      </w:pPr>
      <w:r>
        <w:t xml:space="preserve">preparar lâminas, colorações, diluições, padrões, controles ou reagentes;</w:t>
      </w:r>
    </w:p>
    <w:p>
      <w:pPr>
        <w:numPr>
          <w:ilvl w:val="0"/>
          <w:numId w:val="1003"/>
        </w:numPr>
        <w:pStyle w:val="Compact"/>
      </w:pPr>
      <w:r>
        <w:t xml:space="preserve">realizar testes rotineiros automatizados ou manuais;</w:t>
      </w:r>
    </w:p>
    <w:p>
      <w:pPr>
        <w:numPr>
          <w:ilvl w:val="0"/>
          <w:numId w:val="1003"/>
        </w:numPr>
        <w:pStyle w:val="Compact"/>
      </w:pPr>
      <w:r>
        <w:t xml:space="preserve">usar microscópios e contadores celulares;</w:t>
      </w:r>
    </w:p>
    <w:p>
      <w:pPr>
        <w:numPr>
          <w:ilvl w:val="0"/>
          <w:numId w:val="1003"/>
        </w:numPr>
        <w:pStyle w:val="Compact"/>
      </w:pPr>
      <w:r>
        <w:t xml:space="preserve">operar analisadores de química ou hematologia;</w:t>
      </w:r>
    </w:p>
    <w:p>
      <w:pPr>
        <w:numPr>
          <w:ilvl w:val="0"/>
          <w:numId w:val="1003"/>
        </w:numPr>
        <w:pStyle w:val="Compact"/>
      </w:pPr>
      <w:r>
        <w:t xml:space="preserve">apoiar fluxos de microbiologia dentro de treinamento e autorização;</w:t>
      </w:r>
    </w:p>
    <w:p>
      <w:pPr>
        <w:numPr>
          <w:ilvl w:val="0"/>
          <w:numId w:val="1003"/>
        </w:numPr>
        <w:pStyle w:val="Compact"/>
      </w:pPr>
      <w:r>
        <w:t xml:space="preserve">realizar urinálise e outros testes de fluidos corporais;</w:t>
      </w:r>
    </w:p>
    <w:p>
      <w:pPr>
        <w:numPr>
          <w:ilvl w:val="0"/>
          <w:numId w:val="1003"/>
        </w:numPr>
        <w:pStyle w:val="Compact"/>
      </w:pPr>
      <w:r>
        <w:t xml:space="preserve">apoiar imunologia ou serviços transfusionais dentro do escopo atribuído;</w:t>
      </w:r>
    </w:p>
    <w:p>
      <w:pPr>
        <w:numPr>
          <w:ilvl w:val="0"/>
          <w:numId w:val="1003"/>
        </w:numPr>
        <w:pStyle w:val="Compact"/>
      </w:pPr>
      <w:r>
        <w:t xml:space="preserve">executar calibração, verificação de calibração ou manutenção quando autorizado;</w:t>
      </w:r>
    </w:p>
    <w:p>
      <w:pPr>
        <w:numPr>
          <w:ilvl w:val="0"/>
          <w:numId w:val="1003"/>
        </w:numPr>
        <w:pStyle w:val="Compact"/>
      </w:pPr>
      <w:r>
        <w:t xml:space="preserve">executar e documentar controles de qualidade;</w:t>
      </w:r>
    </w:p>
    <w:p>
      <w:pPr>
        <w:numPr>
          <w:ilvl w:val="0"/>
          <w:numId w:val="1003"/>
        </w:numPr>
        <w:pStyle w:val="Compact"/>
      </w:pPr>
      <w:r>
        <w:t xml:space="preserve">reconhecer controle reprovado ou alerta do instrumento;</w:t>
      </w:r>
    </w:p>
    <w:p>
      <w:pPr>
        <w:numPr>
          <w:ilvl w:val="0"/>
          <w:numId w:val="1003"/>
        </w:numPr>
        <w:pStyle w:val="Compact"/>
      </w:pPr>
      <w:r>
        <w:t xml:space="preserve">documentar ações corretivas segundo procedimento;</w:t>
      </w:r>
    </w:p>
    <w:p>
      <w:pPr>
        <w:numPr>
          <w:ilvl w:val="0"/>
          <w:numId w:val="1003"/>
        </w:numPr>
        <w:pStyle w:val="Compact"/>
      </w:pPr>
      <w:r>
        <w:t xml:space="preserve">registrar resultados no sistema de informação laboratorial;</w:t>
      </w:r>
    </w:p>
    <w:p>
      <w:pPr>
        <w:numPr>
          <w:ilvl w:val="0"/>
          <w:numId w:val="1003"/>
        </w:numPr>
        <w:pStyle w:val="Compact"/>
      </w:pPr>
      <w:r>
        <w:t xml:space="preserve">comunicar problemas urgentes de fluxo a pessoal autorizado;</w:t>
      </w:r>
    </w:p>
    <w:p>
      <w:pPr>
        <w:numPr>
          <w:ilvl w:val="0"/>
          <w:numId w:val="1003"/>
        </w:numPr>
        <w:pStyle w:val="Compact"/>
      </w:pPr>
      <w:r>
        <w:t xml:space="preserve">manter registros de reagentes, lotes, validades e temperaturas;</w:t>
      </w:r>
    </w:p>
    <w:p>
      <w:pPr>
        <w:numPr>
          <w:ilvl w:val="0"/>
          <w:numId w:val="1003"/>
        </w:numPr>
        <w:pStyle w:val="Compact"/>
      </w:pPr>
      <w:r>
        <w:t xml:space="preserve">limpar áreas e equipamentos segundo procedimento;</w:t>
      </w:r>
    </w:p>
    <w:p>
      <w:pPr>
        <w:numPr>
          <w:ilvl w:val="0"/>
          <w:numId w:val="1003"/>
        </w:numPr>
        <w:pStyle w:val="Compact"/>
      </w:pPr>
      <w:r>
        <w:t xml:space="preserve">gerenciar resíduos regulados por processos aprovados;</w:t>
      </w:r>
    </w:p>
    <w:p>
      <w:pPr>
        <w:numPr>
          <w:ilvl w:val="0"/>
          <w:numId w:val="1003"/>
        </w:numPr>
        <w:pStyle w:val="Compact"/>
      </w:pPr>
      <w:r>
        <w:t xml:space="preserve">seguir procedimentos de exposição, derramamento e incidente;</w:t>
      </w:r>
    </w:p>
    <w:p>
      <w:pPr>
        <w:numPr>
          <w:ilvl w:val="0"/>
          <w:numId w:val="1003"/>
        </w:numPr>
        <w:pStyle w:val="Compact"/>
      </w:pPr>
      <w:r>
        <w:t xml:space="preserve">participar de atividades de competência, ensaio de proficiência ou qualidade conforme regras do laboratório.</w:t>
      </w:r>
    </w:p>
    <w:bookmarkEnd w:id="28"/>
    <w:bookmarkStart w:id="29" w:name="o-que-não-deve-fazer-sem-autoridade"/>
    <w:p>
      <w:pPr>
        <w:pStyle w:val="Heading2"/>
      </w:pPr>
      <w:r>
        <w:t xml:space="preserve">O que não deve fazer sem autoridade</w:t>
      </w:r>
    </w:p>
    <w:p>
      <w:pPr>
        <w:pStyle w:val="FirstParagraph"/>
      </w:pPr>
      <w:r>
        <w:t xml:space="preserve">Habilidade técnica não cria autoridade clínica ilimitada.</w:t>
      </w:r>
    </w:p>
    <w:p>
      <w:pPr>
        <w:pStyle w:val="BodyText"/>
      </w:pPr>
      <w:r>
        <w:t xml:space="preserve">Não deve:</w:t>
      </w:r>
    </w:p>
    <w:p>
      <w:pPr>
        <w:numPr>
          <w:ilvl w:val="0"/>
          <w:numId w:val="1004"/>
        </w:numPr>
        <w:pStyle w:val="Compact"/>
      </w:pPr>
      <w:r>
        <w:t xml:space="preserve">diagnosticar um paciente;</w:t>
      </w:r>
    </w:p>
    <w:p>
      <w:pPr>
        <w:numPr>
          <w:ilvl w:val="0"/>
          <w:numId w:val="1004"/>
        </w:numPr>
        <w:pStyle w:val="Compact"/>
      </w:pPr>
      <w:r>
        <w:t xml:space="preserve">explicar clinicamente ao paciente o significado de um resultado, salvo quando essa comunicação fizer explicitamente parte da função e do processo aprovado;</w:t>
      </w:r>
    </w:p>
    <w:p>
      <w:pPr>
        <w:numPr>
          <w:ilvl w:val="0"/>
          <w:numId w:val="1004"/>
        </w:numPr>
        <w:pStyle w:val="Compact"/>
      </w:pPr>
      <w:r>
        <w:t xml:space="preserve">liberar ou verificar resultados fora da autorização;</w:t>
      </w:r>
    </w:p>
    <w:p>
      <w:pPr>
        <w:numPr>
          <w:ilvl w:val="0"/>
          <w:numId w:val="1004"/>
        </w:numPr>
        <w:pStyle w:val="Compact"/>
      </w:pPr>
      <w:r>
        <w:t xml:space="preserve">alterar um método validado porque outra forma parece mais rápida;</w:t>
      </w:r>
    </w:p>
    <w:p>
      <w:pPr>
        <w:numPr>
          <w:ilvl w:val="0"/>
          <w:numId w:val="1004"/>
        </w:numPr>
        <w:pStyle w:val="Compact"/>
      </w:pPr>
      <w:r>
        <w:t xml:space="preserve">ignorar ou anular controles de qualidade reprovados;</w:t>
      </w:r>
    </w:p>
    <w:p>
      <w:pPr>
        <w:numPr>
          <w:ilvl w:val="0"/>
          <w:numId w:val="1004"/>
        </w:numPr>
        <w:pStyle w:val="Compact"/>
      </w:pPr>
      <w:r>
        <w:t xml:space="preserve">alterar limites de aceitação sem autorização;</w:t>
      </w:r>
    </w:p>
    <w:p>
      <w:pPr>
        <w:numPr>
          <w:ilvl w:val="0"/>
          <w:numId w:val="1004"/>
        </w:numPr>
        <w:pStyle w:val="Compact"/>
      </w:pPr>
      <w:r>
        <w:t xml:space="preserve">repetir um teste até obter um resultado preferido, salvo quando o procedimento aprovado definir quando a repetição é apropriada;</w:t>
      </w:r>
    </w:p>
    <w:p>
      <w:pPr>
        <w:numPr>
          <w:ilvl w:val="0"/>
          <w:numId w:val="1004"/>
        </w:numPr>
        <w:pStyle w:val="Compact"/>
      </w:pPr>
      <w:r>
        <w:t xml:space="preserve">apagar, retroagir data, sobrescrever, fabricar ou omitir seletivamente dados;</w:t>
      </w:r>
    </w:p>
    <w:p>
      <w:pPr>
        <w:numPr>
          <w:ilvl w:val="0"/>
          <w:numId w:val="1004"/>
        </w:numPr>
        <w:pStyle w:val="Compact"/>
      </w:pPr>
      <w:r>
        <w:t xml:space="preserve">copiar um resultado de outra amostra;</w:t>
      </w:r>
    </w:p>
    <w:p>
      <w:pPr>
        <w:numPr>
          <w:ilvl w:val="0"/>
          <w:numId w:val="1004"/>
        </w:numPr>
        <w:pStyle w:val="Compact"/>
      </w:pPr>
      <w:r>
        <w:t xml:space="preserve">alterar identificador de paciente ou amostra para fazer registros parecerem coincidir;</w:t>
      </w:r>
    </w:p>
    <w:p>
      <w:pPr>
        <w:numPr>
          <w:ilvl w:val="0"/>
          <w:numId w:val="1004"/>
        </w:numPr>
        <w:pStyle w:val="Compact"/>
      </w:pPr>
      <w:r>
        <w:t xml:space="preserve">usar login, iniciais ou assinatura eletrônica de outra pessoa;</w:t>
      </w:r>
    </w:p>
    <w:p>
      <w:pPr>
        <w:numPr>
          <w:ilvl w:val="0"/>
          <w:numId w:val="1004"/>
        </w:numPr>
        <w:pStyle w:val="Compact"/>
      </w:pPr>
      <w:r>
        <w:t xml:space="preserve">reportar resultado de ensaio de proficiência obtido por colaboração ou encaminhamento proibido;</w:t>
      </w:r>
    </w:p>
    <w:p>
      <w:pPr>
        <w:numPr>
          <w:ilvl w:val="0"/>
          <w:numId w:val="1004"/>
        </w:numPr>
        <w:pStyle w:val="Compact"/>
      </w:pPr>
      <w:r>
        <w:t xml:space="preserve">operar método ou instrumento antes de concluir treinamento e competência exigidos;</w:t>
      </w:r>
    </w:p>
    <w:p>
      <w:pPr>
        <w:numPr>
          <w:ilvl w:val="0"/>
          <w:numId w:val="1004"/>
        </w:numPr>
        <w:pStyle w:val="Compact"/>
      </w:pPr>
      <w:r>
        <w:t xml:space="preserve">improvisar diante de derramamento, exposição, cultura, produto químico ou incidente com perfurocortante;</w:t>
      </w:r>
    </w:p>
    <w:p>
      <w:pPr>
        <w:numPr>
          <w:ilvl w:val="0"/>
          <w:numId w:val="1004"/>
        </w:numPr>
        <w:pStyle w:val="Compact"/>
      </w:pPr>
      <w:r>
        <w:t xml:space="preserve">reencapar, dobrar ou manipular agulhas contaminadas contra o procedimento aprovado;</w:t>
      </w:r>
    </w:p>
    <w:p>
      <w:pPr>
        <w:numPr>
          <w:ilvl w:val="0"/>
          <w:numId w:val="1004"/>
        </w:numPr>
        <w:pStyle w:val="Compact"/>
      </w:pPr>
      <w:r>
        <w:t xml:space="preserve">inserir informações do paciente, resultados, exportações instrumentais, imagens, credenciais ou métodos proprietários em ferramenta de IA não aprovada;</w:t>
      </w:r>
    </w:p>
    <w:p>
      <w:pPr>
        <w:numPr>
          <w:ilvl w:val="0"/>
          <w:numId w:val="1004"/>
        </w:numPr>
        <w:pStyle w:val="Compact"/>
      </w:pPr>
      <w:r>
        <w:t xml:space="preserve">declarar certificação ASCP, licença estadual, registro provincial, credencial colombiana ou outra que não tenha obtido;</w:t>
      </w:r>
    </w:p>
    <w:p>
      <w:pPr>
        <w:numPr>
          <w:ilvl w:val="0"/>
          <w:numId w:val="1004"/>
        </w:numPr>
        <w:pStyle w:val="Compact"/>
      </w:pPr>
      <w:r>
        <w:t xml:space="preserve">afirmar que um curso curto o qualifica legalmente para função clínica regulada.</w:t>
      </w:r>
    </w:p>
    <w:p>
      <w:pPr>
        <w:pStyle w:val="FirstParagraph"/>
      </w:pPr>
      <w:r>
        <w:t xml:space="preserve">Quando algo estiver errado, preserve a amostra e os registros quando seguro, proteja as pessoas de perigo imediato e escale pelo processo aprovado do laboratório.</w:t>
      </w:r>
    </w:p>
    <w:bookmarkEnd w:id="29"/>
    <w:bookmarkStart w:id="36" w:name="fluxo-simples-da-amostra-ao-resultado"/>
    <w:p>
      <w:pPr>
        <w:pStyle w:val="Heading2"/>
      </w:pPr>
      <w:r>
        <w:t xml:space="preserve">Fluxo simples da amostra ao resultado</w:t>
      </w:r>
    </w:p>
    <w:bookmarkStart w:id="30" w:name="X1bd23f885847d571f6763b0f52580a0a9f2ccff"/>
    <w:p>
      <w:pPr>
        <w:pStyle w:val="Heading3"/>
      </w:pPr>
      <w:r>
        <w:t xml:space="preserve">1. Confirmar a ordem e a identidade</w:t>
      </w:r>
    </w:p>
    <w:p>
      <w:pPr>
        <w:pStyle w:val="FirstParagraph"/>
      </w:pPr>
      <w:r>
        <w:t xml:space="preserve">Antes do teste, confirme os identificadores exigidos, teste solicitado, tipo de amostra, recipiente e requisitos de coleta/manuseio.</w:t>
      </w:r>
    </w:p>
    <w:p>
      <w:pPr>
        <w:pStyle w:val="BodyText"/>
      </w:pPr>
      <w:r>
        <w:t xml:space="preserve">Nunca “corrija” um problema de identidade adivinhando. Se os identificadores não atenderem à política, siga o processo de rejeição, recoleta ou exceção do laboratório.</w:t>
      </w:r>
    </w:p>
    <w:bookmarkEnd w:id="30"/>
    <w:bookmarkStart w:id="31" w:name="Xb1a63eb0a8f40afeedda9c13a039bbe748639d1"/>
    <w:p>
      <w:pPr>
        <w:pStyle w:val="Heading3"/>
      </w:pPr>
      <w:r>
        <w:t xml:space="preserve">2. Proteger a amostra na fase pré-analítica</w:t>
      </w:r>
    </w:p>
    <w:p>
      <w:pPr>
        <w:pStyle w:val="FirstParagraph"/>
      </w:pPr>
      <w:r>
        <w:t xml:space="preserve">Confira o que o procedimento exige para:</w:t>
      </w:r>
    </w:p>
    <w:p>
      <w:pPr>
        <w:numPr>
          <w:ilvl w:val="0"/>
          <w:numId w:val="1005"/>
        </w:numPr>
        <w:pStyle w:val="Compact"/>
      </w:pPr>
      <w:r>
        <w:t xml:space="preserve">recipiente e aditivo;</w:t>
      </w:r>
    </w:p>
    <w:p>
      <w:pPr>
        <w:numPr>
          <w:ilvl w:val="0"/>
          <w:numId w:val="1005"/>
        </w:numPr>
        <w:pStyle w:val="Compact"/>
      </w:pPr>
      <w:r>
        <w:t xml:space="preserve">volume;</w:t>
      </w:r>
    </w:p>
    <w:p>
      <w:pPr>
        <w:numPr>
          <w:ilvl w:val="0"/>
          <w:numId w:val="1005"/>
        </w:numPr>
        <w:pStyle w:val="Compact"/>
      </w:pPr>
      <w:r>
        <w:t xml:space="preserve">rotulagem;</w:t>
      </w:r>
    </w:p>
    <w:p>
      <w:pPr>
        <w:numPr>
          <w:ilvl w:val="0"/>
          <w:numId w:val="1005"/>
        </w:numPr>
        <w:pStyle w:val="Compact"/>
      </w:pPr>
      <w:r>
        <w:t xml:space="preserve">horário de coleta;</w:t>
      </w:r>
    </w:p>
    <w:p>
      <w:pPr>
        <w:numPr>
          <w:ilvl w:val="0"/>
          <w:numId w:val="1005"/>
        </w:numPr>
        <w:pStyle w:val="Compact"/>
      </w:pPr>
      <w:r>
        <w:t xml:space="preserve">tempo de transporte;</w:t>
      </w:r>
    </w:p>
    <w:p>
      <w:pPr>
        <w:numPr>
          <w:ilvl w:val="0"/>
          <w:numId w:val="1005"/>
        </w:numPr>
        <w:pStyle w:val="Compact"/>
      </w:pPr>
      <w:r>
        <w:t xml:space="preserve">temperatura;</w:t>
      </w:r>
    </w:p>
    <w:p>
      <w:pPr>
        <w:numPr>
          <w:ilvl w:val="0"/>
          <w:numId w:val="1005"/>
        </w:numPr>
        <w:pStyle w:val="Compact"/>
      </w:pPr>
      <w:r>
        <w:t xml:space="preserve">proteção da luz;</w:t>
      </w:r>
    </w:p>
    <w:p>
      <w:pPr>
        <w:numPr>
          <w:ilvl w:val="0"/>
          <w:numId w:val="1005"/>
        </w:numPr>
        <w:pStyle w:val="Compact"/>
      </w:pPr>
      <w:r>
        <w:t xml:space="preserve">centrifugação;</w:t>
      </w:r>
    </w:p>
    <w:p>
      <w:pPr>
        <w:numPr>
          <w:ilvl w:val="0"/>
          <w:numId w:val="1005"/>
        </w:numPr>
        <w:pStyle w:val="Compact"/>
      </w:pPr>
      <w:r>
        <w:t xml:space="preserve">coagulação;</w:t>
      </w:r>
    </w:p>
    <w:p>
      <w:pPr>
        <w:numPr>
          <w:ilvl w:val="0"/>
          <w:numId w:val="1005"/>
        </w:numPr>
        <w:pStyle w:val="Compact"/>
      </w:pPr>
      <w:r>
        <w:t xml:space="preserve">hemólise, lipemia, contaminação ou vazamento;</w:t>
      </w:r>
    </w:p>
    <w:p>
      <w:pPr>
        <w:numPr>
          <w:ilvl w:val="0"/>
          <w:numId w:val="1005"/>
        </w:numPr>
        <w:pStyle w:val="Compact"/>
      </w:pPr>
      <w:r>
        <w:t xml:space="preserve">armazenamento e estabilidade.</w:t>
      </w:r>
    </w:p>
    <w:p>
      <w:pPr>
        <w:pStyle w:val="FirstParagraph"/>
      </w:pPr>
      <w:r>
        <w:t xml:space="preserve">Um analisador sofisticado não corrige uma amostra do paciente errado ou manuseada fora das condições validadas.</w:t>
      </w:r>
    </w:p>
    <w:bookmarkEnd w:id="31"/>
    <w:bookmarkStart w:id="32" w:name="X4ab85ece61f2e8fb9cb5d045ff21066f42e2221"/>
    <w:p>
      <w:pPr>
        <w:pStyle w:val="Heading3"/>
      </w:pPr>
      <w:r>
        <w:t xml:space="preserve">3. Verificar instrumento, reagentes e estado do QC</w:t>
      </w:r>
    </w:p>
    <w:p>
      <w:pPr>
        <w:pStyle w:val="FirstParagraph"/>
      </w:pPr>
      <w:r>
        <w:t xml:space="preserve">Antes de testar amostras de pacientes, confirme que equipamento, reagentes, controles, calibração e manutenção atendem aos requisitos aprovados.</w:t>
      </w:r>
    </w:p>
    <w:p>
      <w:pPr>
        <w:pStyle w:val="BodyText"/>
      </w:pPr>
      <w:r>
        <w:t xml:space="preserve">Se o controle de qualidade falhar, pare e siga o procedimento. Não decida sozinho que os resultados dos pacientes “provavelmente estão bons”.</w:t>
      </w:r>
    </w:p>
    <w:bookmarkEnd w:id="32"/>
    <w:bookmarkStart w:id="33" w:name="Xef3d795bfeb09e56b0b15431af81e8db39db857"/>
    <w:p>
      <w:pPr>
        <w:pStyle w:val="Heading3"/>
      </w:pPr>
      <w:r>
        <w:t xml:space="preserve">4. Executar o procedimento aprovado</w:t>
      </w:r>
    </w:p>
    <w:p>
      <w:pPr>
        <w:pStyle w:val="FirstParagraph"/>
      </w:pPr>
      <w:r>
        <w:t xml:space="preserve">Siga o SOP vigente e as instruções validadas do fabricante/laboratório. Use unidades, volumes, tempos, sequência e controles de segurança corretos. Não faça atalhos não documentados.</w:t>
      </w:r>
    </w:p>
    <w:bookmarkEnd w:id="33"/>
    <w:bookmarkStart w:id="34" w:name="Xc8e73ad20987d6bf6b22a24a1db2bb8dc6214ec"/>
    <w:p>
      <w:pPr>
        <w:pStyle w:val="Heading3"/>
      </w:pPr>
      <w:r>
        <w:t xml:space="preserve">5. Revisar a validade técnica</w:t>
      </w:r>
    </w:p>
    <w:p>
      <w:pPr>
        <w:pStyle w:val="FirstParagraph"/>
      </w:pPr>
      <w:r>
        <w:t xml:space="preserve">Dentro da função atribuída, confira alertas do instrumento, estado dos controles, regras de faixa de referência ou de reporte, diluições, combinações impossíveis, problemas de amostra, delta checks e outros critérios definidos pelo laboratório.</w:t>
      </w:r>
    </w:p>
    <w:bookmarkEnd w:id="34"/>
    <w:bookmarkStart w:id="35" w:name="Xd818f466ac319fe24e3cfd1a6012a6613db5d78"/>
    <w:p>
      <w:pPr>
        <w:pStyle w:val="Heading3"/>
      </w:pPr>
      <w:r>
        <w:t xml:space="preserve">6. Documentar e escalar</w:t>
      </w:r>
    </w:p>
    <w:p>
      <w:pPr>
        <w:pStyle w:val="FirstParagraph"/>
      </w:pPr>
      <w:r>
        <w:t xml:space="preserve">Registre o que realmente ocorreu. Se o resultado for crítico, inconsistente, exceder limites reportáveis, estiver afetado por QC reprovado, estiver ligado a problema de amostra ou exigir revisão por outro motivo, siga o procedimento de escalonamento e comunicação.</w:t>
      </w:r>
    </w:p>
    <w:bookmarkEnd w:id="35"/>
    <w:bookmarkEnd w:id="36"/>
    <w:bookmarkStart w:id="37" w:name="Xf959c33280979f8e8330d7234a4a814544b0e58"/>
    <w:p>
      <w:pPr>
        <w:pStyle w:val="Heading2"/>
      </w:pPr>
      <w:r>
        <w:t xml:space="preserve">CLIA e complexidade dos testes — Estados Unidos</w:t>
      </w:r>
    </w:p>
    <w:p>
      <w:pPr>
        <w:pStyle w:val="FirstParagraph"/>
      </w:pPr>
      <w:r>
        <w:t xml:space="preserve">As</w:t>
      </w:r>
      <w:r>
        <w:t xml:space="preserve"> </w:t>
      </w:r>
      <w:r>
        <w:rPr>
          <w:bCs/>
          <w:b/>
        </w:rPr>
        <w:t xml:space="preserve">Clinical Laboratory Improvement Amendments of 1988 (CLIA)</w:t>
      </w:r>
      <w:r>
        <w:t xml:space="preserve"> </w:t>
      </w:r>
      <w:r>
        <w:t xml:space="preserve">estabelecem padrões federais de qualidade para instalações ou locais dos Estados Unidos que testam amostras humanas para avaliação de saúde ou para diagnóstico, prevenção ou tratamento de doenças.</w:t>
      </w:r>
    </w:p>
    <w:p>
      <w:pPr>
        <w:pStyle w:val="BodyText"/>
      </w:pPr>
      <w:r>
        <w:t xml:space="preserve">Os testes podem ser classificados como dispensados (</w:t>
      </w:r>
      <w:r>
        <w:rPr>
          <w:rStyle w:val="VerbatimChar"/>
        </w:rPr>
        <w:t xml:space="preserve">waived</w:t>
      </w:r>
      <w:r>
        <w:t xml:space="preserve">), de complexidade moderada ou de alta complexidade. O certificado aplicável, os requisitos do sistema da qualidade e as qualificações de pessoal dependem dos testes realizados e de outros fatores.</w:t>
      </w:r>
    </w:p>
    <w:p>
      <w:pPr>
        <w:pStyle w:val="BodyText"/>
      </w:pPr>
      <w:r>
        <w:t xml:space="preserve">Pontos importantes:</w:t>
      </w:r>
    </w:p>
    <w:p>
      <w:pPr>
        <w:numPr>
          <w:ilvl w:val="0"/>
          <w:numId w:val="1006"/>
        </w:numPr>
        <w:pStyle w:val="Compact"/>
      </w:pPr>
      <w:r>
        <w:rPr>
          <w:rStyle w:val="VerbatimChar"/>
        </w:rPr>
        <w:t xml:space="preserve">waived</w:t>
      </w:r>
      <w:r>
        <w:t xml:space="preserve"> </w:t>
      </w:r>
      <w:r>
        <w:t xml:space="preserve">não significa livre de erros;</w:t>
      </w:r>
    </w:p>
    <w:p>
      <w:pPr>
        <w:numPr>
          <w:ilvl w:val="0"/>
          <w:numId w:val="1006"/>
        </w:numPr>
        <w:pStyle w:val="Compact"/>
      </w:pPr>
      <w:r>
        <w:t xml:space="preserve">testes não dispensados estão sujeitos a requisitos adicionais de qualidade;</w:t>
      </w:r>
    </w:p>
    <w:p>
      <w:pPr>
        <w:numPr>
          <w:ilvl w:val="0"/>
          <w:numId w:val="1006"/>
        </w:numPr>
        <w:pStyle w:val="Compact"/>
      </w:pPr>
      <w:r>
        <w:t xml:space="preserve">testes de complexidade moderada e alta possuem requisitos de pessoal;</w:t>
      </w:r>
    </w:p>
    <w:p>
      <w:pPr>
        <w:numPr>
          <w:ilvl w:val="0"/>
          <w:numId w:val="1006"/>
        </w:numPr>
        <w:pStyle w:val="Compact"/>
      </w:pPr>
      <w:r>
        <w:t xml:space="preserve">testes desenvolvidos pelo laboratório ou modificados em relação ao fabricante podem ser classificados como alta complexidade;</w:t>
      </w:r>
    </w:p>
    <w:p>
      <w:pPr>
        <w:numPr>
          <w:ilvl w:val="0"/>
          <w:numId w:val="1006"/>
        </w:numPr>
        <w:pStyle w:val="Compact"/>
      </w:pPr>
      <w:r>
        <w:t xml:space="preserve">CLIA não é necessariamente a única regra: leis estaduais, acreditadores e políticas do empregador podem acrescentar requisitos;</w:t>
      </w:r>
    </w:p>
    <w:p>
      <w:pPr>
        <w:numPr>
          <w:ilvl w:val="0"/>
          <w:numId w:val="1006"/>
        </w:numPr>
        <w:pStyle w:val="Compact"/>
      </w:pPr>
      <w:r>
        <w:t xml:space="preserve">o título do cargo não demonstra por si só que a pessoa atende às qualificações de pessoal para determinado sistema ou função.</w:t>
      </w:r>
    </w:p>
    <w:p>
      <w:pPr>
        <w:pStyle w:val="FirstParagraph"/>
      </w:pPr>
      <w:r>
        <w:t xml:space="preserve">Para decisões reais de elegibilidade, consulte fontes atuais de CMS/CDC/eCFR e a liderança autorizada de conformidade do laboratório.</w:t>
      </w:r>
    </w:p>
    <w:bookmarkEnd w:id="37"/>
    <w:bookmarkStart w:id="41" w:name="X198791aaa0ea01e4e621f8b4440696ed2aad3b4"/>
    <w:p>
      <w:pPr>
        <w:pStyle w:val="Heading2"/>
      </w:pPr>
      <w:r>
        <w:t xml:space="preserve">Controle da qualidade, garantia da qualidade e ensaios de proficiência</w:t>
      </w:r>
    </w:p>
    <w:p>
      <w:pPr>
        <w:pStyle w:val="FirstParagraph"/>
      </w:pPr>
      <w:r>
        <w:t xml:space="preserve">Confiabilidade depende de sistemas, não de confiança individual.</w:t>
      </w:r>
    </w:p>
    <w:bookmarkStart w:id="38" w:name="controle-da-qualidade"/>
    <w:p>
      <w:pPr>
        <w:pStyle w:val="Heading3"/>
      </w:pPr>
      <w:r>
        <w:t xml:space="preserve">Controle da qualidade</w:t>
      </w:r>
    </w:p>
    <w:p>
      <w:pPr>
        <w:pStyle w:val="FirstParagraph"/>
      </w:pPr>
      <w:r>
        <w:t xml:space="preserve">QC monitora se o sistema de teste opera dentro de expectativas definidas. Um técnico pode executar controles, revisar seu estado dentro da autoridade atribuída, documentar falhas, investigar causas definidas e escalar problemas não resolvidos.</w:t>
      </w:r>
    </w:p>
    <w:p>
      <w:pPr>
        <w:pStyle w:val="BodyText"/>
      </w:pPr>
      <w:r>
        <w:t xml:space="preserve">Não use resultados de pacientes quando o sistema da qualidade indicar que são inválidos.</w:t>
      </w:r>
    </w:p>
    <w:bookmarkEnd w:id="38"/>
    <w:bookmarkStart w:id="39" w:name="garantia-e-gestão-da-qualidade"/>
    <w:p>
      <w:pPr>
        <w:pStyle w:val="Heading3"/>
      </w:pPr>
      <w:r>
        <w:t xml:space="preserve">Garantia e gestão da qualidade</w:t>
      </w:r>
    </w:p>
    <w:p>
      <w:pPr>
        <w:pStyle w:val="FirstParagraph"/>
      </w:pPr>
      <w:r>
        <w:t xml:space="preserve">A qualidade cobre todo o processo:</w:t>
      </w:r>
    </w:p>
    <w:p>
      <w:pPr>
        <w:numPr>
          <w:ilvl w:val="0"/>
          <w:numId w:val="1007"/>
        </w:numPr>
        <w:pStyle w:val="Compact"/>
      </w:pPr>
      <w:r>
        <w:t xml:space="preserve">ordem correta;</w:t>
      </w:r>
    </w:p>
    <w:p>
      <w:pPr>
        <w:numPr>
          <w:ilvl w:val="0"/>
          <w:numId w:val="1007"/>
        </w:numPr>
        <w:pStyle w:val="Compact"/>
      </w:pPr>
      <w:r>
        <w:t xml:space="preserve">identificação paciente/amostra;</w:t>
      </w:r>
    </w:p>
    <w:p>
      <w:pPr>
        <w:numPr>
          <w:ilvl w:val="0"/>
          <w:numId w:val="1007"/>
        </w:numPr>
        <w:pStyle w:val="Compact"/>
      </w:pPr>
      <w:r>
        <w:t xml:space="preserve">coleta;</w:t>
      </w:r>
    </w:p>
    <w:p>
      <w:pPr>
        <w:numPr>
          <w:ilvl w:val="0"/>
          <w:numId w:val="1007"/>
        </w:numPr>
        <w:pStyle w:val="Compact"/>
      </w:pPr>
      <w:r>
        <w:t xml:space="preserve">transporte;</w:t>
      </w:r>
    </w:p>
    <w:p>
      <w:pPr>
        <w:numPr>
          <w:ilvl w:val="0"/>
          <w:numId w:val="1007"/>
        </w:numPr>
        <w:pStyle w:val="Compact"/>
      </w:pPr>
      <w:r>
        <w:t xml:space="preserve">preparação;</w:t>
      </w:r>
    </w:p>
    <w:p>
      <w:pPr>
        <w:numPr>
          <w:ilvl w:val="0"/>
          <w:numId w:val="1007"/>
        </w:numPr>
        <w:pStyle w:val="Compact"/>
      </w:pPr>
      <w:r>
        <w:t xml:space="preserve">análise;</w:t>
      </w:r>
    </w:p>
    <w:p>
      <w:pPr>
        <w:numPr>
          <w:ilvl w:val="0"/>
          <w:numId w:val="1007"/>
        </w:numPr>
        <w:pStyle w:val="Compact"/>
      </w:pPr>
      <w:r>
        <w:t xml:space="preserve">revisão;</w:t>
      </w:r>
    </w:p>
    <w:p>
      <w:pPr>
        <w:numPr>
          <w:ilvl w:val="0"/>
          <w:numId w:val="1007"/>
        </w:numPr>
        <w:pStyle w:val="Compact"/>
      </w:pPr>
      <w:r>
        <w:t xml:space="preserve">reporte;</w:t>
      </w:r>
    </w:p>
    <w:p>
      <w:pPr>
        <w:numPr>
          <w:ilvl w:val="0"/>
          <w:numId w:val="1007"/>
        </w:numPr>
        <w:pStyle w:val="Compact"/>
      </w:pPr>
      <w:r>
        <w:t xml:space="preserve">retenção de registros;</w:t>
      </w:r>
    </w:p>
    <w:p>
      <w:pPr>
        <w:numPr>
          <w:ilvl w:val="0"/>
          <w:numId w:val="1007"/>
        </w:numPr>
        <w:pStyle w:val="Compact"/>
      </w:pPr>
      <w:r>
        <w:t xml:space="preserve">ação corretiva;</w:t>
      </w:r>
    </w:p>
    <w:p>
      <w:pPr>
        <w:numPr>
          <w:ilvl w:val="0"/>
          <w:numId w:val="1007"/>
        </w:numPr>
        <w:pStyle w:val="Compact"/>
      </w:pPr>
      <w:r>
        <w:t xml:space="preserve">gestão de equipamentos;</w:t>
      </w:r>
    </w:p>
    <w:p>
      <w:pPr>
        <w:numPr>
          <w:ilvl w:val="0"/>
          <w:numId w:val="1007"/>
        </w:numPr>
        <w:pStyle w:val="Compact"/>
      </w:pPr>
      <w:r>
        <w:t xml:space="preserve">competência;</w:t>
      </w:r>
    </w:p>
    <w:p>
      <w:pPr>
        <w:numPr>
          <w:ilvl w:val="0"/>
          <w:numId w:val="1007"/>
        </w:numPr>
        <w:pStyle w:val="Compact"/>
      </w:pPr>
      <w:r>
        <w:t xml:space="preserve">controle de documentos;</w:t>
      </w:r>
    </w:p>
    <w:p>
      <w:pPr>
        <w:numPr>
          <w:ilvl w:val="0"/>
          <w:numId w:val="1007"/>
        </w:numPr>
        <w:pStyle w:val="Compact"/>
      </w:pPr>
      <w:r>
        <w:t xml:space="preserve">gestão de ocorrências.</w:t>
      </w:r>
    </w:p>
    <w:bookmarkEnd w:id="39"/>
    <w:bookmarkStart w:id="40" w:name="ensaios-de-proficiência"/>
    <w:p>
      <w:pPr>
        <w:pStyle w:val="Heading3"/>
      </w:pPr>
      <w:r>
        <w:t xml:space="preserve">Ensaios de proficiência</w:t>
      </w:r>
    </w:p>
    <w:p>
      <w:pPr>
        <w:pStyle w:val="FirstParagraph"/>
      </w:pPr>
      <w:r>
        <w:t xml:space="preserve">Ensaios de proficiência avaliam o desempenho por meio de amostras-desafio externas quando aplicável. Trate essas amostras conforme regras vigentes e procedimentos do laboratório. Não procure ajuda externa proibida, substitua resultado de outro laboratório ou manipule o processo para obter aprovação.</w:t>
      </w:r>
    </w:p>
    <w:bookmarkEnd w:id="40"/>
    <w:bookmarkEnd w:id="41"/>
    <w:bookmarkStart w:id="42" w:name="Xfdf91fd42a5ba373e743742b5ed482839bf0333"/>
    <w:p>
      <w:pPr>
        <w:pStyle w:val="Heading2"/>
      </w:pPr>
      <w:r>
        <w:t xml:space="preserve">Identificação e rastreabilidade de amostras</w:t>
      </w:r>
    </w:p>
    <w:p>
      <w:pPr>
        <w:pStyle w:val="FirstParagraph"/>
      </w:pPr>
      <w:r>
        <w:t xml:space="preserve">A identidade da amostra é um controle de segurança do paciente.</w:t>
      </w:r>
    </w:p>
    <w:p>
      <w:pPr>
        <w:pStyle w:val="BodyText"/>
      </w:pPr>
      <w:r>
        <w:t xml:space="preserve">Boas práticas incluem:</w:t>
      </w:r>
    </w:p>
    <w:p>
      <w:pPr>
        <w:numPr>
          <w:ilvl w:val="0"/>
          <w:numId w:val="1008"/>
        </w:numPr>
        <w:pStyle w:val="Compact"/>
      </w:pPr>
      <w:r>
        <w:t xml:space="preserve">usar os identificadores exigidos;</w:t>
      </w:r>
    </w:p>
    <w:p>
      <w:pPr>
        <w:numPr>
          <w:ilvl w:val="0"/>
          <w:numId w:val="1008"/>
        </w:numPr>
        <w:pStyle w:val="Compact"/>
      </w:pPr>
      <w:r>
        <w:t xml:space="preserve">rotular no ponto determinado pelo processo;</w:t>
      </w:r>
    </w:p>
    <w:p>
      <w:pPr>
        <w:numPr>
          <w:ilvl w:val="0"/>
          <w:numId w:val="1008"/>
        </w:numPr>
        <w:pStyle w:val="Compact"/>
      </w:pPr>
      <w:r>
        <w:t xml:space="preserve">preservar horários de coleta e recebimento;</w:t>
      </w:r>
    </w:p>
    <w:p>
      <w:pPr>
        <w:numPr>
          <w:ilvl w:val="0"/>
          <w:numId w:val="1008"/>
        </w:numPr>
        <w:pStyle w:val="Compact"/>
      </w:pPr>
      <w:r>
        <w:t xml:space="preserve">usar códigos de barras apenas como projetados;</w:t>
      </w:r>
    </w:p>
    <w:p>
      <w:pPr>
        <w:numPr>
          <w:ilvl w:val="0"/>
          <w:numId w:val="1008"/>
        </w:numPr>
        <w:pStyle w:val="Compact"/>
      </w:pPr>
      <w:r>
        <w:t xml:space="preserve">verificar identidade das alíquotas;</w:t>
      </w:r>
    </w:p>
    <w:p>
      <w:pPr>
        <w:numPr>
          <w:ilvl w:val="0"/>
          <w:numId w:val="1008"/>
        </w:numPr>
        <w:pStyle w:val="Compact"/>
      </w:pPr>
      <w:r>
        <w:t xml:space="preserve">manter rastreável a relação entre amostra original e derivadas;</w:t>
      </w:r>
    </w:p>
    <w:p>
      <w:pPr>
        <w:numPr>
          <w:ilvl w:val="0"/>
          <w:numId w:val="1008"/>
        </w:numPr>
        <w:pStyle w:val="Compact"/>
      </w:pPr>
      <w:r>
        <w:t xml:space="preserve">documentar transferências e envios externos;</w:t>
      </w:r>
    </w:p>
    <w:p>
      <w:pPr>
        <w:numPr>
          <w:ilvl w:val="0"/>
          <w:numId w:val="1008"/>
        </w:numPr>
        <w:pStyle w:val="Compact"/>
      </w:pPr>
      <w:r>
        <w:t xml:space="preserve">cumprir cadeia de custódia quando aplicável;</w:t>
      </w:r>
    </w:p>
    <w:p>
      <w:pPr>
        <w:numPr>
          <w:ilvl w:val="0"/>
          <w:numId w:val="1008"/>
        </w:numPr>
        <w:pStyle w:val="Compact"/>
      </w:pPr>
      <w:r>
        <w:t xml:space="preserve">registrar rejeição ou recoleta em sistemas aprovados;</w:t>
      </w:r>
    </w:p>
    <w:p>
      <w:pPr>
        <w:numPr>
          <w:ilvl w:val="0"/>
          <w:numId w:val="1008"/>
        </w:numPr>
        <w:pStyle w:val="Compact"/>
      </w:pPr>
      <w:r>
        <w:t xml:space="preserve">nunca reetiquetar de memória.</w:t>
      </w:r>
    </w:p>
    <w:p>
      <w:pPr>
        <w:pStyle w:val="FirstParagraph"/>
      </w:pPr>
      <w:r>
        <w:t xml:space="preserve">Se a identidade estiver incerta, pare e escale.</w:t>
      </w:r>
    </w:p>
    <w:bookmarkEnd w:id="42"/>
    <w:bookmarkStart w:id="43" w:name="X9a4cba61acb341050d6e1276ca4d35c2eb1ad40"/>
    <w:p>
      <w:pPr>
        <w:pStyle w:val="Heading2"/>
      </w:pPr>
      <w:r>
        <w:t xml:space="preserve">Patógenos transmitidos pelo sangue e materiais perfurocortantes</w:t>
      </w:r>
    </w:p>
    <w:p>
      <w:pPr>
        <w:pStyle w:val="FirstParagraph"/>
      </w:pPr>
      <w:r>
        <w:t xml:space="preserve">Profissionais de laboratório clínico podem entrar em contato com sangue e outros materiais potencialmente infecciosos.</w:t>
      </w:r>
    </w:p>
    <w:p>
      <w:pPr>
        <w:pStyle w:val="BodyText"/>
      </w:pPr>
      <w:r>
        <w:t xml:space="preserve">Nos Estados Unidos, a norma OSHA 29 CFR 1910.1030 trata da exposição ocupacional e inclui planos de controle, precauções universais, controles de engenharia e práticas de trabalho, EPI, segurança com perfurocortantes, treinamento e processos pós-exposição.</w:t>
      </w:r>
    </w:p>
    <w:p>
      <w:pPr>
        <w:pStyle w:val="BodyText"/>
      </w:pPr>
      <w:r>
        <w:t xml:space="preserve">Hábitos práticos:</w:t>
      </w:r>
    </w:p>
    <w:p>
      <w:pPr>
        <w:numPr>
          <w:ilvl w:val="0"/>
          <w:numId w:val="1009"/>
        </w:numPr>
        <w:pStyle w:val="Compact"/>
      </w:pPr>
      <w:r>
        <w:t xml:space="preserve">tratar materiais humanos aplicáveis como potencialmente infecciosos;</w:t>
      </w:r>
    </w:p>
    <w:p>
      <w:pPr>
        <w:numPr>
          <w:ilvl w:val="0"/>
          <w:numId w:val="1009"/>
        </w:numPr>
        <w:pStyle w:val="Compact"/>
      </w:pPr>
      <w:r>
        <w:t xml:space="preserve">usar EPI exigido;</w:t>
      </w:r>
    </w:p>
    <w:p>
      <w:pPr>
        <w:numPr>
          <w:ilvl w:val="0"/>
          <w:numId w:val="1009"/>
        </w:numPr>
        <w:pStyle w:val="Compact"/>
      </w:pPr>
      <w:r>
        <w:t xml:space="preserve">manter as mãos longe do rosto enquanto estiver de luvas;</w:t>
      </w:r>
    </w:p>
    <w:p>
      <w:pPr>
        <w:numPr>
          <w:ilvl w:val="0"/>
          <w:numId w:val="1009"/>
        </w:numPr>
        <w:pStyle w:val="Compact"/>
      </w:pPr>
      <w:r>
        <w:t xml:space="preserve">higienizar as mãos após retirar luvas e conforme exigido em contaminações;</w:t>
      </w:r>
    </w:p>
    <w:p>
      <w:pPr>
        <w:numPr>
          <w:ilvl w:val="0"/>
          <w:numId w:val="1009"/>
        </w:numPr>
        <w:pStyle w:val="Compact"/>
      </w:pPr>
      <w:r>
        <w:t xml:space="preserve">usar coletores aprovados para perfurocortantes;</w:t>
      </w:r>
    </w:p>
    <w:p>
      <w:pPr>
        <w:numPr>
          <w:ilvl w:val="0"/>
          <w:numId w:val="1009"/>
        </w:numPr>
        <w:pStyle w:val="Compact"/>
      </w:pPr>
      <w:r>
        <w:t xml:space="preserve">não dobrar, quebrar ou reencapar agulhas contaminadas, salvo circunstâncias estreitamente definidas e controladas;</w:t>
      </w:r>
    </w:p>
    <w:p>
      <w:pPr>
        <w:numPr>
          <w:ilvl w:val="0"/>
          <w:numId w:val="1009"/>
        </w:numPr>
        <w:pStyle w:val="Compact"/>
      </w:pPr>
      <w:r>
        <w:t xml:space="preserve">nunca pipetar com a boca;</w:t>
      </w:r>
    </w:p>
    <w:p>
      <w:pPr>
        <w:numPr>
          <w:ilvl w:val="0"/>
          <w:numId w:val="1009"/>
        </w:numPr>
        <w:pStyle w:val="Compact"/>
      </w:pPr>
      <w:r>
        <w:t xml:space="preserve">usar recipientes que impeçam vazamento de amostras;</w:t>
      </w:r>
    </w:p>
    <w:p>
      <w:pPr>
        <w:numPr>
          <w:ilvl w:val="0"/>
          <w:numId w:val="1009"/>
        </w:numPr>
        <w:pStyle w:val="Compact"/>
      </w:pPr>
      <w:r>
        <w:t xml:space="preserve">descontaminar equipamentos conforme procedimento;</w:t>
      </w:r>
    </w:p>
    <w:p>
      <w:pPr>
        <w:numPr>
          <w:ilvl w:val="0"/>
          <w:numId w:val="1009"/>
        </w:numPr>
        <w:pStyle w:val="Compact"/>
      </w:pPr>
      <w:r>
        <w:t xml:space="preserve">comunicar imediatamente acidentes com agulhas, respingos e outras exposições.</w:t>
      </w:r>
    </w:p>
    <w:p>
      <w:pPr>
        <w:pStyle w:val="FirstParagraph"/>
      </w:pPr>
      <w:r>
        <w:t xml:space="preserve">Não adie a comunicação de uma exposição por vergonha ou por acreditar que a amostra era de baixo risco.</w:t>
      </w:r>
    </w:p>
    <w:bookmarkEnd w:id="43"/>
    <w:bookmarkStart w:id="44" w:name="segurança-química"/>
    <w:p>
      <w:pPr>
        <w:pStyle w:val="Heading2"/>
      </w:pPr>
      <w:r>
        <w:t xml:space="preserve">Segurança química</w:t>
      </w:r>
    </w:p>
    <w:p>
      <w:pPr>
        <w:pStyle w:val="FirstParagraph"/>
      </w:pPr>
      <w:r>
        <w:t xml:space="preserve">Laboratórios podem usar corantes, solventes, ácidos, bases, fixadores, desinfetantes e outros produtos químicos perigosos.</w:t>
      </w:r>
    </w:p>
    <w:p>
      <w:pPr>
        <w:pStyle w:val="BodyText"/>
      </w:pPr>
      <w:r>
        <w:t xml:space="preserve">A norma laboratorial OSHA 29 CFR 1910.1450 exige dos empregadores abrangidos um Chemical Hygiene Plan e controles adequados.</w:t>
      </w:r>
    </w:p>
    <w:p>
      <w:pPr>
        <w:pStyle w:val="BodyText"/>
      </w:pPr>
      <w:r>
        <w:t xml:space="preserve">Antes de manusear um produto químico:</w:t>
      </w:r>
    </w:p>
    <w:p>
      <w:pPr>
        <w:numPr>
          <w:ilvl w:val="0"/>
          <w:numId w:val="1010"/>
        </w:numPr>
        <w:pStyle w:val="Compact"/>
      </w:pPr>
      <w:r>
        <w:t xml:space="preserve">confirme identidade e concentração;</w:t>
      </w:r>
    </w:p>
    <w:p>
      <w:pPr>
        <w:numPr>
          <w:ilvl w:val="0"/>
          <w:numId w:val="1010"/>
        </w:numPr>
        <w:pStyle w:val="Compact"/>
      </w:pPr>
      <w:r>
        <w:t xml:space="preserve">use o SOP atual;</w:t>
      </w:r>
    </w:p>
    <w:p>
      <w:pPr>
        <w:numPr>
          <w:ilvl w:val="0"/>
          <w:numId w:val="1010"/>
        </w:numPr>
        <w:pStyle w:val="Compact"/>
      </w:pPr>
      <w:r>
        <w:t xml:space="preserve">revise rótulos e informações de segurança;</w:t>
      </w:r>
    </w:p>
    <w:p>
      <w:pPr>
        <w:numPr>
          <w:ilvl w:val="0"/>
          <w:numId w:val="1010"/>
        </w:numPr>
        <w:pStyle w:val="Compact"/>
      </w:pPr>
      <w:r>
        <w:t xml:space="preserve">use ventilação ou contenção exigida;</w:t>
      </w:r>
    </w:p>
    <w:p>
      <w:pPr>
        <w:numPr>
          <w:ilvl w:val="0"/>
          <w:numId w:val="1010"/>
        </w:numPr>
        <w:pStyle w:val="Compact"/>
      </w:pPr>
      <w:r>
        <w:t xml:space="preserve">utilize EPI;</w:t>
      </w:r>
    </w:p>
    <w:p>
      <w:pPr>
        <w:numPr>
          <w:ilvl w:val="0"/>
          <w:numId w:val="1010"/>
        </w:numPr>
        <w:pStyle w:val="Compact"/>
      </w:pPr>
      <w:r>
        <w:t xml:space="preserve">verifique incompatibilidades antes de misturar;</w:t>
      </w:r>
    </w:p>
    <w:p>
      <w:pPr>
        <w:numPr>
          <w:ilvl w:val="0"/>
          <w:numId w:val="1010"/>
        </w:numPr>
        <w:pStyle w:val="Compact"/>
      </w:pPr>
      <w:r>
        <w:t xml:space="preserve">conheça procedimentos para derramamento e exposição;</w:t>
      </w:r>
    </w:p>
    <w:p>
      <w:pPr>
        <w:numPr>
          <w:ilvl w:val="0"/>
          <w:numId w:val="1010"/>
        </w:numPr>
        <w:pStyle w:val="Compact"/>
      </w:pPr>
      <w:r>
        <w:t xml:space="preserve">rotule corretamente soluções preparadas;</w:t>
      </w:r>
    </w:p>
    <w:p>
      <w:pPr>
        <w:numPr>
          <w:ilvl w:val="0"/>
          <w:numId w:val="1010"/>
        </w:numPr>
        <w:pStyle w:val="Compact"/>
      </w:pPr>
      <w:r>
        <w:t xml:space="preserve">armazene em locais aprovados;</w:t>
      </w:r>
    </w:p>
    <w:p>
      <w:pPr>
        <w:numPr>
          <w:ilvl w:val="0"/>
          <w:numId w:val="1010"/>
        </w:numPr>
        <w:pStyle w:val="Compact"/>
      </w:pPr>
      <w:r>
        <w:t xml:space="preserve">descarte resíduos por canais autorizados.</w:t>
      </w:r>
    </w:p>
    <w:p>
      <w:pPr>
        <w:pStyle w:val="FirstParagraph"/>
      </w:pPr>
      <w:r>
        <w:t xml:space="preserve">Não prepare um reagente adivinhando concentração, substituindo material desconhecido ou seguindo receita gerada por IA que não tenha sido validada e aprovada.</w:t>
      </w:r>
    </w:p>
    <w:bookmarkEnd w:id="44"/>
    <w:bookmarkStart w:id="53" w:name="principais-disciplinas-do-laboratório"/>
    <w:p>
      <w:pPr>
        <w:pStyle w:val="Heading2"/>
      </w:pPr>
      <w:r>
        <w:t xml:space="preserve">Principais disciplinas do laboratório</w:t>
      </w:r>
    </w:p>
    <w:p>
      <w:pPr>
        <w:pStyle w:val="FirstParagraph"/>
      </w:pPr>
      <w:r>
        <w:t xml:space="preserve">A exposição depende do programa, treinamento, credencial, complexidade do teste e autorização do laboratório.</w:t>
      </w:r>
    </w:p>
    <w:bookmarkStart w:id="45" w:name="química-clínica"/>
    <w:p>
      <w:pPr>
        <w:pStyle w:val="Heading3"/>
      </w:pPr>
      <w:r>
        <w:t xml:space="preserve">Química clínica</w:t>
      </w:r>
    </w:p>
    <w:p>
      <w:pPr>
        <w:pStyle w:val="FirstParagraph"/>
      </w:pPr>
      <w:r>
        <w:t xml:space="preserve">Pode incluir análise de eletrólitos, enzimas, metabólitos, proteínas, hormônios e outros analitos por métodos automatizados ou manuais.</w:t>
      </w:r>
    </w:p>
    <w:bookmarkEnd w:id="45"/>
    <w:bookmarkStart w:id="46" w:name="hematologia-e-hemostasia"/>
    <w:p>
      <w:pPr>
        <w:pStyle w:val="Heading3"/>
      </w:pPr>
      <w:r>
        <w:t xml:space="preserve">Hematologia e hemostasia</w:t>
      </w:r>
    </w:p>
    <w:p>
      <w:pPr>
        <w:pStyle w:val="FirstParagraph"/>
      </w:pPr>
      <w:r>
        <w:t xml:space="preserve">Pode incluir hemogramas, apoio à morfologia celular, coagulação e procedimentos relacionados dentro do escopo atribuído.</w:t>
      </w:r>
    </w:p>
    <w:bookmarkEnd w:id="46"/>
    <w:bookmarkStart w:id="47" w:name="urinálise-e-fluidos-corporais"/>
    <w:p>
      <w:pPr>
        <w:pStyle w:val="Heading3"/>
      </w:pPr>
      <w:r>
        <w:t xml:space="preserve">Urinálise e fluidos corporais</w:t>
      </w:r>
    </w:p>
    <w:p>
      <w:pPr>
        <w:pStyle w:val="FirstParagraph"/>
      </w:pPr>
      <w:r>
        <w:t xml:space="preserve">Pode incluir exame físico, químico e microscópico segundo métodos aprovados.</w:t>
      </w:r>
    </w:p>
    <w:bookmarkEnd w:id="47"/>
    <w:bookmarkStart w:id="48" w:name="imunologia-e-sorologia"/>
    <w:p>
      <w:pPr>
        <w:pStyle w:val="Heading3"/>
      </w:pPr>
      <w:r>
        <w:t xml:space="preserve">Imunologia e sorologia</w:t>
      </w:r>
    </w:p>
    <w:p>
      <w:pPr>
        <w:pStyle w:val="FirstParagraph"/>
      </w:pPr>
      <w:r>
        <w:t xml:space="preserve">Pode incluir ensaios para detectar anticorpos, antígenos e outros marcadores imunológicos.</w:t>
      </w:r>
    </w:p>
    <w:bookmarkEnd w:id="48"/>
    <w:bookmarkStart w:id="49" w:name="microbiologia"/>
    <w:p>
      <w:pPr>
        <w:pStyle w:val="Heading3"/>
      </w:pPr>
      <w:r>
        <w:t xml:space="preserve">Microbiologia</w:t>
      </w:r>
    </w:p>
    <w:p>
      <w:pPr>
        <w:pStyle w:val="FirstParagraph"/>
      </w:pPr>
      <w:r>
        <w:t xml:space="preserve">Pode incluir preparação de amostras, tarefas relacionadas a culturas, colorações, fluxos instrumentais ou identificação dentro de treinamento, biossegurança e autorização.</w:t>
      </w:r>
    </w:p>
    <w:bookmarkEnd w:id="49"/>
    <w:bookmarkStart w:id="50" w:name="X67b9956f0588e3d1ae1b9ba73c17015be720523"/>
    <w:p>
      <w:pPr>
        <w:pStyle w:val="Heading3"/>
      </w:pPr>
      <w:r>
        <w:t xml:space="preserve">Imuno-hematologia / serviços transfusionais</w:t>
      </w:r>
    </w:p>
    <w:p>
      <w:pPr>
        <w:pStyle w:val="FirstParagraph"/>
      </w:pPr>
      <w:r>
        <w:t xml:space="preserve">Pode incluir tipagem sanguínea e testes relacionados sob procedimentos rigorosos. Erros podem ter consequências graves; nenhum aprendiz ou técnico deve exceder sua competência ou ignorar verificações.</w:t>
      </w:r>
    </w:p>
    <w:bookmarkEnd w:id="50"/>
    <w:bookmarkStart w:id="51" w:name="histologia"/>
    <w:p>
      <w:pPr>
        <w:pStyle w:val="Heading3"/>
      </w:pPr>
      <w:r>
        <w:t xml:space="preserve">Histologia</w:t>
      </w:r>
    </w:p>
    <w:p>
      <w:pPr>
        <w:pStyle w:val="FirstParagraph"/>
      </w:pPr>
      <w:r>
        <w:t xml:space="preserve">Técnicos de histologia podem processar, incluir, cortar, corar ou preparar tecido para revisão por profissionais devidamente qualificados.</w:t>
      </w:r>
    </w:p>
    <w:bookmarkEnd w:id="51"/>
    <w:bookmarkStart w:id="52" w:name="testes-moleculares"/>
    <w:p>
      <w:pPr>
        <w:pStyle w:val="Heading3"/>
      </w:pPr>
      <w:r>
        <w:t xml:space="preserve">Testes moleculares</w:t>
      </w:r>
    </w:p>
    <w:p>
      <w:pPr>
        <w:pStyle w:val="FirstParagraph"/>
      </w:pPr>
      <w:r>
        <w:t xml:space="preserve">Podem envolver preparação de ácidos nucleicos, amplificação, detecção, controles de contaminação e fluxos especializados. Testes desenvolvidos ou modificados pelo laboratório podem ter exigências adicionais de regulação e validação.</w:t>
      </w:r>
    </w:p>
    <w:bookmarkEnd w:id="52"/>
    <w:bookmarkEnd w:id="53"/>
    <w:bookmarkStart w:id="54" w:name="equipamentos-calibração-e-manutenção"/>
    <w:p>
      <w:pPr>
        <w:pStyle w:val="Heading2"/>
      </w:pPr>
      <w:r>
        <w:t xml:space="preserve">Equipamentos, calibração e manutenção</w:t>
      </w:r>
    </w:p>
    <w:p>
      <w:pPr>
        <w:pStyle w:val="FirstParagraph"/>
      </w:pPr>
      <w:r>
        <w:t xml:space="preserve">Laboratórios dependem de instrumentos que precisam operar de forma previsível.</w:t>
      </w:r>
    </w:p>
    <w:p>
      <w:pPr>
        <w:pStyle w:val="BodyText"/>
      </w:pPr>
      <w:r>
        <w:t xml:space="preserve">Um técnico pode ser designado para:</w:t>
      </w:r>
    </w:p>
    <w:p>
      <w:pPr>
        <w:numPr>
          <w:ilvl w:val="0"/>
          <w:numId w:val="1011"/>
        </w:numPr>
        <w:pStyle w:val="Compact"/>
      </w:pPr>
      <w:r>
        <w:t xml:space="preserve">inicialização e encerramento diário;</w:t>
      </w:r>
    </w:p>
    <w:p>
      <w:pPr>
        <w:numPr>
          <w:ilvl w:val="0"/>
          <w:numId w:val="1011"/>
        </w:numPr>
        <w:pStyle w:val="Compact"/>
      </w:pPr>
      <w:r>
        <w:t xml:space="preserve">calibração ou verificação de calibração;</w:t>
      </w:r>
    </w:p>
    <w:p>
      <w:pPr>
        <w:numPr>
          <w:ilvl w:val="0"/>
          <w:numId w:val="1011"/>
        </w:numPr>
        <w:pStyle w:val="Compact"/>
      </w:pPr>
      <w:r>
        <w:t xml:space="preserve">documentação de manutenção;</w:t>
      </w:r>
    </w:p>
    <w:p>
      <w:pPr>
        <w:numPr>
          <w:ilvl w:val="0"/>
          <w:numId w:val="1011"/>
        </w:numPr>
        <w:pStyle w:val="Compact"/>
      </w:pPr>
      <w:r>
        <w:t xml:space="preserve">troca de consumíveis;</w:t>
      </w:r>
    </w:p>
    <w:p>
      <w:pPr>
        <w:numPr>
          <w:ilvl w:val="0"/>
          <w:numId w:val="1011"/>
        </w:numPr>
        <w:pStyle w:val="Compact"/>
      </w:pPr>
      <w:r>
        <w:t xml:space="preserve">inspeção de temperaturas ou condições ambientais;</w:t>
      </w:r>
    </w:p>
    <w:p>
      <w:pPr>
        <w:numPr>
          <w:ilvl w:val="0"/>
          <w:numId w:val="1011"/>
        </w:numPr>
        <w:pStyle w:val="Compact"/>
      </w:pPr>
      <w:r>
        <w:t xml:space="preserve">registro de reagentes e mudanças de lote;</w:t>
      </w:r>
    </w:p>
    <w:p>
      <w:pPr>
        <w:numPr>
          <w:ilvl w:val="0"/>
          <w:numId w:val="1011"/>
        </w:numPr>
        <w:pStyle w:val="Compact"/>
      </w:pPr>
      <w:r>
        <w:t xml:space="preserve">solução de problemas aprovada;</w:t>
      </w:r>
    </w:p>
    <w:p>
      <w:pPr>
        <w:numPr>
          <w:ilvl w:val="0"/>
          <w:numId w:val="1011"/>
        </w:numPr>
        <w:pStyle w:val="Compact"/>
      </w:pPr>
      <w:r>
        <w:t xml:space="preserve">contato com suporte autorizado quando o problema exceder o procedimento local.</w:t>
      </w:r>
    </w:p>
    <w:p>
      <w:pPr>
        <w:pStyle w:val="FirstParagraph"/>
      </w:pPr>
      <w:r>
        <w:t xml:space="preserve">Não devolva um instrumento aos testes de pacientes apenas porque ele liga. Siga os critérios de aceitação definidos após serviço, manutenção, calibração ou reparo.</w:t>
      </w:r>
    </w:p>
    <w:bookmarkEnd w:id="54"/>
    <w:bookmarkStart w:id="55" w:name="integridade-de-dados"/>
    <w:p>
      <w:pPr>
        <w:pStyle w:val="Heading2"/>
      </w:pPr>
      <w:r>
        <w:t xml:space="preserve">Integridade de dados</w:t>
      </w:r>
    </w:p>
    <w:p>
      <w:pPr>
        <w:pStyle w:val="FirstParagraph"/>
      </w:pPr>
      <w:r>
        <w:t xml:space="preserve">Resultados laboratoriais podem influenciar decisões médicas. A integridade de dados é, portanto, uma questão de segurança do paciente.</w:t>
      </w:r>
    </w:p>
    <w:p>
      <w:pPr>
        <w:pStyle w:val="BodyText"/>
      </w:pPr>
      <w:r>
        <w:t xml:space="preserve">Boas práticas:</w:t>
      </w:r>
    </w:p>
    <w:p>
      <w:pPr>
        <w:numPr>
          <w:ilvl w:val="0"/>
          <w:numId w:val="1012"/>
        </w:numPr>
        <w:pStyle w:val="Compact"/>
      </w:pPr>
      <w:r>
        <w:t xml:space="preserve">registrar resultados e observações quando gerados;</w:t>
      </w:r>
    </w:p>
    <w:p>
      <w:pPr>
        <w:numPr>
          <w:ilvl w:val="0"/>
          <w:numId w:val="1012"/>
        </w:numPr>
        <w:pStyle w:val="Compact"/>
      </w:pPr>
      <w:r>
        <w:t xml:space="preserve">preservar arquivos instrumentais originais quando exigido;</w:t>
      </w:r>
    </w:p>
    <w:p>
      <w:pPr>
        <w:numPr>
          <w:ilvl w:val="0"/>
          <w:numId w:val="1012"/>
        </w:numPr>
        <w:pStyle w:val="Compact"/>
      </w:pPr>
      <w:r>
        <w:t xml:space="preserve">usar identificador correto;</w:t>
      </w:r>
    </w:p>
    <w:p>
      <w:pPr>
        <w:numPr>
          <w:ilvl w:val="0"/>
          <w:numId w:val="1012"/>
        </w:numPr>
        <w:pStyle w:val="Compact"/>
      </w:pPr>
      <w:r>
        <w:t xml:space="preserve">usar sua própria conta;</w:t>
      </w:r>
    </w:p>
    <w:p>
      <w:pPr>
        <w:numPr>
          <w:ilvl w:val="0"/>
          <w:numId w:val="1012"/>
        </w:numPr>
        <w:pStyle w:val="Compact"/>
      </w:pPr>
      <w:r>
        <w:t xml:space="preserve">documentar correções pela trilha de auditoria aprovada;</w:t>
      </w:r>
    </w:p>
    <w:p>
      <w:pPr>
        <w:numPr>
          <w:ilvl w:val="0"/>
          <w:numId w:val="1012"/>
        </w:numPr>
        <w:pStyle w:val="Compact"/>
      </w:pPr>
      <w:r>
        <w:t xml:space="preserve">documentar repetições e diluições;</w:t>
      </w:r>
    </w:p>
    <w:p>
      <w:pPr>
        <w:numPr>
          <w:ilvl w:val="0"/>
          <w:numId w:val="1012"/>
        </w:numPr>
        <w:pStyle w:val="Compact"/>
      </w:pPr>
      <w:r>
        <w:t xml:space="preserve">preservar registros de QC e calibração;</w:t>
      </w:r>
    </w:p>
    <w:p>
      <w:pPr>
        <w:numPr>
          <w:ilvl w:val="0"/>
          <w:numId w:val="1012"/>
        </w:numPr>
        <w:pStyle w:val="Compact"/>
      </w:pPr>
      <w:r>
        <w:t xml:space="preserve">não esconder alarmes do instrumento;</w:t>
      </w:r>
    </w:p>
    <w:p>
      <w:pPr>
        <w:numPr>
          <w:ilvl w:val="0"/>
          <w:numId w:val="1012"/>
        </w:numPr>
        <w:pStyle w:val="Compact"/>
      </w:pPr>
      <w:r>
        <w:t xml:space="preserve">não retroagir datas de resultados ou manutenção;</w:t>
      </w:r>
    </w:p>
    <w:p>
      <w:pPr>
        <w:numPr>
          <w:ilvl w:val="0"/>
          <w:numId w:val="1012"/>
        </w:numPr>
        <w:pStyle w:val="Compact"/>
      </w:pPr>
      <w:r>
        <w:t xml:space="preserve">comunicar suspeita de manipulação;</w:t>
      </w:r>
    </w:p>
    <w:p>
      <w:pPr>
        <w:numPr>
          <w:ilvl w:val="0"/>
          <w:numId w:val="1012"/>
        </w:numPr>
        <w:pStyle w:val="Compact"/>
      </w:pPr>
      <w:r>
        <w:t xml:space="preserve">distinguir resultado corrigido do original conforme a política.</w:t>
      </w:r>
    </w:p>
    <w:p>
      <w:pPr>
        <w:pStyle w:val="FirstParagraph"/>
      </w:pPr>
      <w:r>
        <w:t xml:space="preserve">Um erro honesto e rastreável pode ser investigado. Um erro escondido compromete todo o sistema da qualidade.</w:t>
      </w:r>
    </w:p>
    <w:bookmarkEnd w:id="55"/>
    <w:bookmarkStart w:id="56" w:name="Xb1186bdf56d049a8f64b97ddcfb497271596efa"/>
    <w:p>
      <w:pPr>
        <w:pStyle w:val="Heading2"/>
      </w:pPr>
      <w:r>
        <w:t xml:space="preserve">Sistemas de informação, privacidade e cibersegurança</w:t>
      </w:r>
    </w:p>
    <w:p>
      <w:pPr>
        <w:pStyle w:val="FirstParagraph"/>
      </w:pPr>
      <w:r>
        <w:t xml:space="preserve">Laboratórios modernos usam LIS, prontuários eletrônicos, middleware, analisadores, códigos de barras, redes, serviços em nuvem, portais e instrumentos conectados.</w:t>
      </w:r>
    </w:p>
    <w:p>
      <w:pPr>
        <w:pStyle w:val="BodyText"/>
      </w:pPr>
      <w:r>
        <w:t xml:space="preserve">Controles práticos:</w:t>
      </w:r>
    </w:p>
    <w:p>
      <w:pPr>
        <w:numPr>
          <w:ilvl w:val="0"/>
          <w:numId w:val="1013"/>
        </w:numPr>
        <w:pStyle w:val="Compact"/>
      </w:pPr>
      <w:r>
        <w:t xml:space="preserve">usar apenas sistemas e contas aprovados;</w:t>
      </w:r>
    </w:p>
    <w:p>
      <w:pPr>
        <w:numPr>
          <w:ilvl w:val="0"/>
          <w:numId w:val="1013"/>
        </w:numPr>
        <w:pStyle w:val="Compact"/>
      </w:pPr>
      <w:r>
        <w:t xml:space="preserve">usar MFA quando disponível;</w:t>
      </w:r>
    </w:p>
    <w:p>
      <w:pPr>
        <w:numPr>
          <w:ilvl w:val="0"/>
          <w:numId w:val="1013"/>
        </w:numPr>
        <w:pStyle w:val="Compact"/>
      </w:pPr>
      <w:r>
        <w:t xml:space="preserve">nunca compartilhar senhas ou crachás;</w:t>
      </w:r>
    </w:p>
    <w:p>
      <w:pPr>
        <w:numPr>
          <w:ilvl w:val="0"/>
          <w:numId w:val="1013"/>
        </w:numPr>
        <w:pStyle w:val="Compact"/>
      </w:pPr>
      <w:r>
        <w:t xml:space="preserve">verificar identidade antes de consultar ou inserir dados;</w:t>
      </w:r>
    </w:p>
    <w:p>
      <w:pPr>
        <w:numPr>
          <w:ilvl w:val="0"/>
          <w:numId w:val="1013"/>
        </w:numPr>
        <w:pStyle w:val="Compact"/>
      </w:pPr>
      <w:r>
        <w:t xml:space="preserve">não acessar prontuários sem motivo profissional;</w:t>
      </w:r>
    </w:p>
    <w:p>
      <w:pPr>
        <w:numPr>
          <w:ilvl w:val="0"/>
          <w:numId w:val="1013"/>
        </w:numPr>
        <w:pStyle w:val="Compact"/>
      </w:pPr>
      <w:r>
        <w:t xml:space="preserve">bloquear a estação ao se afastar;</w:t>
      </w:r>
    </w:p>
    <w:p>
      <w:pPr>
        <w:numPr>
          <w:ilvl w:val="0"/>
          <w:numId w:val="1013"/>
        </w:numPr>
        <w:pStyle w:val="Compact"/>
      </w:pPr>
      <w:r>
        <w:t xml:space="preserve">não mover dados de pacientes ou proprietários para e-mail ou nuvem pessoal;</w:t>
      </w:r>
    </w:p>
    <w:p>
      <w:pPr>
        <w:numPr>
          <w:ilvl w:val="0"/>
          <w:numId w:val="1013"/>
        </w:numPr>
        <w:pStyle w:val="Compact"/>
      </w:pPr>
      <w:r>
        <w:t xml:space="preserve">não conectar USB não autorizado;</w:t>
      </w:r>
    </w:p>
    <w:p>
      <w:pPr>
        <w:numPr>
          <w:ilvl w:val="0"/>
          <w:numId w:val="1013"/>
        </w:numPr>
        <w:pStyle w:val="Compact"/>
      </w:pPr>
      <w:r>
        <w:t xml:space="preserve">reportar phishing e comportamento suspeito;</w:t>
      </w:r>
    </w:p>
    <w:p>
      <w:pPr>
        <w:numPr>
          <w:ilvl w:val="0"/>
          <w:numId w:val="1013"/>
        </w:numPr>
        <w:pStyle w:val="Compact"/>
      </w:pPr>
      <w:r>
        <w:t xml:space="preserve">seguir procedimentos de contingência em indisponibilidade;</w:t>
      </w:r>
    </w:p>
    <w:p>
      <w:pPr>
        <w:numPr>
          <w:ilvl w:val="0"/>
          <w:numId w:val="1013"/>
        </w:numPr>
        <w:pStyle w:val="Compact"/>
      </w:pPr>
      <w:r>
        <w:t xml:space="preserve">preservar registros em papel/eletrônicos criados durante a contingência;</w:t>
      </w:r>
    </w:p>
    <w:p>
      <w:pPr>
        <w:numPr>
          <w:ilvl w:val="0"/>
          <w:numId w:val="1013"/>
        </w:numPr>
        <w:pStyle w:val="Compact"/>
      </w:pPr>
      <w:r>
        <w:t xml:space="preserve">reconciliar os dados após restauração conforme procedimento.</w:t>
      </w:r>
    </w:p>
    <w:p>
      <w:pPr>
        <w:pStyle w:val="FirstParagraph"/>
      </w:pPr>
      <w:r>
        <w:t xml:space="preserve">Em ambientes dos EUA cobertos pela HIPAA, informações de saúde protegidas estão sujeitas a requisitos aplicáveis de privacidade e segurança. Outros países possuem seus próprios marcos. Este guia não oferece aconselhamento jurídico; use o programa do empregador e regras oficiais vigentes.</w:t>
      </w:r>
    </w:p>
    <w:bookmarkEnd w:id="56"/>
    <w:bookmarkStart w:id="59" w:name="ia-responsável"/>
    <w:p>
      <w:pPr>
        <w:pStyle w:val="Heading2"/>
      </w:pPr>
      <w:r>
        <w:t xml:space="preserve">IA responsável</w:t>
      </w:r>
    </w:p>
    <w:p>
      <w:pPr>
        <w:pStyle w:val="FirstParagraph"/>
      </w:pPr>
      <w:r>
        <w:t xml:space="preserve">A IA pode apoiar tarefas de baixo risco, mas o laboratório clínico é um ambiente de alta consequência.</w:t>
      </w:r>
    </w:p>
    <w:bookmarkStart w:id="57" w:name="usos-de-menor-risco-podem-incluir"/>
    <w:p>
      <w:pPr>
        <w:pStyle w:val="Heading3"/>
      </w:pPr>
      <w:r>
        <w:t xml:space="preserve">Usos de menor risco podem incluir</w:t>
      </w:r>
    </w:p>
    <w:p>
      <w:pPr>
        <w:numPr>
          <w:ilvl w:val="0"/>
          <w:numId w:val="1014"/>
        </w:numPr>
        <w:pStyle w:val="Compact"/>
      </w:pPr>
      <w:r>
        <w:t xml:space="preserve">explicar conceitos científicos públicos para estudo;</w:t>
      </w:r>
    </w:p>
    <w:p>
      <w:pPr>
        <w:numPr>
          <w:ilvl w:val="0"/>
          <w:numId w:val="1014"/>
        </w:numPr>
        <w:pStyle w:val="Compact"/>
      </w:pPr>
      <w:r>
        <w:t xml:space="preserve">criar perguntas de prática;</w:t>
      </w:r>
    </w:p>
    <w:p>
      <w:pPr>
        <w:numPr>
          <w:ilvl w:val="0"/>
          <w:numId w:val="1014"/>
        </w:numPr>
        <w:pStyle w:val="Compact"/>
      </w:pPr>
      <w:r>
        <w:t xml:space="preserve">organizar plano de estudos;</w:t>
      </w:r>
    </w:p>
    <w:p>
      <w:pPr>
        <w:numPr>
          <w:ilvl w:val="0"/>
          <w:numId w:val="1014"/>
        </w:numPr>
        <w:pStyle w:val="Compact"/>
      </w:pPr>
      <w:r>
        <w:t xml:space="preserve">criar checklist fictício de treinamento;</w:t>
      </w:r>
    </w:p>
    <w:p>
      <w:pPr>
        <w:numPr>
          <w:ilvl w:val="0"/>
          <w:numId w:val="1014"/>
        </w:numPr>
        <w:pStyle w:val="Compact"/>
      </w:pPr>
      <w:r>
        <w:t xml:space="preserve">melhorar clareza de texto educacional sem dados de pacientes;</w:t>
      </w:r>
    </w:p>
    <w:p>
      <w:pPr>
        <w:numPr>
          <w:ilvl w:val="0"/>
          <w:numId w:val="1014"/>
        </w:numPr>
        <w:pStyle w:val="Compact"/>
      </w:pPr>
      <w:r>
        <w:t xml:space="preserve">preparar perguntas de entrevista;</w:t>
      </w:r>
    </w:p>
    <w:p>
      <w:pPr>
        <w:numPr>
          <w:ilvl w:val="0"/>
          <w:numId w:val="1014"/>
        </w:numPr>
        <w:pStyle w:val="Compact"/>
      </w:pPr>
      <w:r>
        <w:t xml:space="preserve">resumir orientação pública para posterior verificação com a fonte original.</w:t>
      </w:r>
    </w:p>
    <w:bookmarkEnd w:id="57"/>
    <w:bookmarkStart w:id="58" w:name="Xe4274ec124777953c643a5477f8092254ab5aae"/>
    <w:p>
      <w:pPr>
        <w:pStyle w:val="Heading3"/>
      </w:pPr>
      <w:r>
        <w:t xml:space="preserve">Não use um sistema de IA não aprovado para</w:t>
      </w:r>
    </w:p>
    <w:p>
      <w:pPr>
        <w:numPr>
          <w:ilvl w:val="0"/>
          <w:numId w:val="1015"/>
        </w:numPr>
        <w:pStyle w:val="Compact"/>
      </w:pPr>
      <w:r>
        <w:t xml:space="preserve">interpretar resultado de paciente;</w:t>
      </w:r>
    </w:p>
    <w:p>
      <w:pPr>
        <w:numPr>
          <w:ilvl w:val="0"/>
          <w:numId w:val="1015"/>
        </w:numPr>
        <w:pStyle w:val="Compact"/>
      </w:pPr>
      <w:r>
        <w:t xml:space="preserve">diagnosticar doença;</w:t>
      </w:r>
    </w:p>
    <w:p>
      <w:pPr>
        <w:numPr>
          <w:ilvl w:val="0"/>
          <w:numId w:val="1015"/>
        </w:numPr>
        <w:pStyle w:val="Compact"/>
      </w:pPr>
      <w:r>
        <w:t xml:space="preserve">decidir se um valor crítico é real;</w:t>
      </w:r>
    </w:p>
    <w:p>
      <w:pPr>
        <w:numPr>
          <w:ilvl w:val="0"/>
          <w:numId w:val="1015"/>
        </w:numPr>
        <w:pStyle w:val="Compact"/>
      </w:pPr>
      <w:r>
        <w:t xml:space="preserve">aceitar ou rejeitar QC;</w:t>
      </w:r>
    </w:p>
    <w:p>
      <w:pPr>
        <w:numPr>
          <w:ilvl w:val="0"/>
          <w:numId w:val="1015"/>
        </w:numPr>
        <w:pStyle w:val="Compact"/>
      </w:pPr>
      <w:r>
        <w:t xml:space="preserve">decidir se um ensaio de proficiência deve passar;</w:t>
      </w:r>
    </w:p>
    <w:p>
      <w:pPr>
        <w:numPr>
          <w:ilvl w:val="0"/>
          <w:numId w:val="1015"/>
        </w:numPr>
        <w:pStyle w:val="Compact"/>
      </w:pPr>
      <w:r>
        <w:t xml:space="preserve">selecionar produto transfusional;</w:t>
      </w:r>
    </w:p>
    <w:p>
      <w:pPr>
        <w:numPr>
          <w:ilvl w:val="0"/>
          <w:numId w:val="1015"/>
        </w:numPr>
        <w:pStyle w:val="Compact"/>
      </w:pPr>
      <w:r>
        <w:t xml:space="preserve">identificar microrganismo como autoridade clínica final;</w:t>
      </w:r>
    </w:p>
    <w:p>
      <w:pPr>
        <w:numPr>
          <w:ilvl w:val="0"/>
          <w:numId w:val="1015"/>
        </w:numPr>
        <w:pStyle w:val="Compact"/>
      </w:pPr>
      <w:r>
        <w:t xml:space="preserve">contornar analisador ou método validado;</w:t>
      </w:r>
    </w:p>
    <w:p>
      <w:pPr>
        <w:numPr>
          <w:ilvl w:val="0"/>
          <w:numId w:val="1015"/>
        </w:numPr>
        <w:pStyle w:val="Compact"/>
      </w:pPr>
      <w:r>
        <w:t xml:space="preserve">criar instruções não verificadas de calibração ou reagentes;</w:t>
      </w:r>
    </w:p>
    <w:p>
      <w:pPr>
        <w:numPr>
          <w:ilvl w:val="0"/>
          <w:numId w:val="1015"/>
        </w:numPr>
        <w:pStyle w:val="Compact"/>
      </w:pPr>
      <w:r>
        <w:t xml:space="preserve">emitir conclusão de validação;</w:t>
      </w:r>
    </w:p>
    <w:p>
      <w:pPr>
        <w:numPr>
          <w:ilvl w:val="0"/>
          <w:numId w:val="1015"/>
        </w:numPr>
        <w:pStyle w:val="Compact"/>
      </w:pPr>
      <w:r>
        <w:t xml:space="preserve">liberar resultado de paciente;</w:t>
      </w:r>
    </w:p>
    <w:p>
      <w:pPr>
        <w:numPr>
          <w:ilvl w:val="0"/>
          <w:numId w:val="1015"/>
        </w:numPr>
        <w:pStyle w:val="Compact"/>
      </w:pPr>
      <w:r>
        <w:t xml:space="preserve">substituir revisão qualificada obrigatória;</w:t>
      </w:r>
    </w:p>
    <w:p>
      <w:pPr>
        <w:numPr>
          <w:ilvl w:val="0"/>
          <w:numId w:val="1015"/>
        </w:numPr>
        <w:pStyle w:val="Compact"/>
      </w:pPr>
      <w:r>
        <w:t xml:space="preserve">inserir identificadores, prontuários, resultados, imagens, credenciais, métodos proprietários ou informações sensíveis de segurança.</w:t>
      </w:r>
    </w:p>
    <w:p>
      <w:pPr>
        <w:pStyle w:val="FirstParagraph"/>
      </w:pPr>
      <w:r>
        <w:t xml:space="preserve">O NIST AI Risk Management Framework fornece estrutura geral para gestão de risco de IA. Políticas laboratoriais, reguladores, governança do sistema de saúde e regras de dispositivos médicos podem exigir controles adicionais.</w:t>
      </w:r>
    </w:p>
    <w:p>
      <w:pPr>
        <w:pStyle w:val="BodyText"/>
      </w:pPr>
      <w:r>
        <w:rPr>
          <w:bCs/>
          <w:b/>
        </w:rPr>
        <w:t xml:space="preserve">Regra prática:</w:t>
      </w:r>
      <w:r>
        <w:t xml:space="preserve"> </w:t>
      </w:r>
      <w:r>
        <w:t xml:space="preserve">a IA pode ajudar a organizar informações de estudo; pessoas autorizadas e sistemas validados devem ser responsáveis pelas decisões clínicas consequenciais.</w:t>
      </w:r>
    </w:p>
    <w:bookmarkEnd w:id="58"/>
    <w:bookmarkEnd w:id="59"/>
    <w:bookmarkStart w:id="64" w:name="Xd32db6b6921327d2cfa032c813adb6660784f7f"/>
    <w:p>
      <w:pPr>
        <w:pStyle w:val="Heading2"/>
      </w:pPr>
      <w:r>
        <w:t xml:space="preserve">Competências valorizadas pelos empregadores</w:t>
      </w:r>
    </w:p>
    <w:bookmarkStart w:id="60" w:name="ciência-laboratorial"/>
    <w:p>
      <w:pPr>
        <w:pStyle w:val="Heading3"/>
      </w:pPr>
      <w:r>
        <w:t xml:space="preserve">Ciência laboratorial</w:t>
      </w:r>
    </w:p>
    <w:p>
      <w:pPr>
        <w:numPr>
          <w:ilvl w:val="0"/>
          <w:numId w:val="1016"/>
        </w:numPr>
        <w:pStyle w:val="Compact"/>
      </w:pPr>
      <w:r>
        <w:t xml:space="preserve">biologia e microbiologia básicas;</w:t>
      </w:r>
    </w:p>
    <w:p>
      <w:pPr>
        <w:numPr>
          <w:ilvl w:val="0"/>
          <w:numId w:val="1016"/>
        </w:numPr>
        <w:pStyle w:val="Compact"/>
      </w:pPr>
      <w:r>
        <w:t xml:space="preserve">química básica;</w:t>
      </w:r>
    </w:p>
    <w:p>
      <w:pPr>
        <w:numPr>
          <w:ilvl w:val="0"/>
          <w:numId w:val="1016"/>
        </w:numPr>
        <w:pStyle w:val="Compact"/>
      </w:pPr>
      <w:r>
        <w:t xml:space="preserve">unidades e conversões;</w:t>
      </w:r>
    </w:p>
    <w:p>
      <w:pPr>
        <w:numPr>
          <w:ilvl w:val="0"/>
          <w:numId w:val="1016"/>
        </w:numPr>
        <w:pStyle w:val="Compact"/>
      </w:pPr>
      <w:r>
        <w:t xml:space="preserve">cálculos de diluição;</w:t>
      </w:r>
    </w:p>
    <w:p>
      <w:pPr>
        <w:numPr>
          <w:ilvl w:val="0"/>
          <w:numId w:val="1016"/>
        </w:numPr>
        <w:pStyle w:val="Compact"/>
      </w:pPr>
      <w:r>
        <w:t xml:space="preserve">pipetagem e medição;</w:t>
      </w:r>
    </w:p>
    <w:p>
      <w:pPr>
        <w:numPr>
          <w:ilvl w:val="0"/>
          <w:numId w:val="1016"/>
        </w:numPr>
        <w:pStyle w:val="Compact"/>
      </w:pPr>
      <w:r>
        <w:t xml:space="preserve">preparo de amostras;</w:t>
      </w:r>
    </w:p>
    <w:p>
      <w:pPr>
        <w:numPr>
          <w:ilvl w:val="0"/>
          <w:numId w:val="1016"/>
        </w:numPr>
        <w:pStyle w:val="Compact"/>
      </w:pPr>
      <w:r>
        <w:t xml:space="preserve">microscopia;</w:t>
      </w:r>
    </w:p>
    <w:p>
      <w:pPr>
        <w:numPr>
          <w:ilvl w:val="0"/>
          <w:numId w:val="1016"/>
        </w:numPr>
        <w:pStyle w:val="Compact"/>
      </w:pPr>
      <w:r>
        <w:t xml:space="preserve">conceitos de hematologia;</w:t>
      </w:r>
    </w:p>
    <w:p>
      <w:pPr>
        <w:numPr>
          <w:ilvl w:val="0"/>
          <w:numId w:val="1016"/>
        </w:numPr>
        <w:pStyle w:val="Compact"/>
      </w:pPr>
      <w:r>
        <w:t xml:space="preserve">conceitos de urinálise;</w:t>
      </w:r>
    </w:p>
    <w:p>
      <w:pPr>
        <w:numPr>
          <w:ilvl w:val="0"/>
          <w:numId w:val="1016"/>
        </w:numPr>
        <w:pStyle w:val="Compact"/>
      </w:pPr>
      <w:r>
        <w:t xml:space="preserve">conceitos de imunologia;</w:t>
      </w:r>
    </w:p>
    <w:p>
      <w:pPr>
        <w:numPr>
          <w:ilvl w:val="0"/>
          <w:numId w:val="1016"/>
        </w:numPr>
        <w:pStyle w:val="Compact"/>
      </w:pPr>
      <w:r>
        <w:t xml:space="preserve">controle da qualidade;</w:t>
      </w:r>
    </w:p>
    <w:p>
      <w:pPr>
        <w:numPr>
          <w:ilvl w:val="0"/>
          <w:numId w:val="1016"/>
        </w:numPr>
        <w:pStyle w:val="Compact"/>
      </w:pPr>
      <w:r>
        <w:t xml:space="preserve">prevenção de contaminação.</w:t>
      </w:r>
    </w:p>
    <w:bookmarkEnd w:id="60"/>
    <w:bookmarkStart w:id="61" w:name="qualidade-e-documentação"/>
    <w:p>
      <w:pPr>
        <w:pStyle w:val="Heading3"/>
      </w:pPr>
      <w:r>
        <w:t xml:space="preserve">Qualidade e documentação</w:t>
      </w:r>
    </w:p>
    <w:p>
      <w:pPr>
        <w:numPr>
          <w:ilvl w:val="0"/>
          <w:numId w:val="1017"/>
        </w:numPr>
        <w:pStyle w:val="Compact"/>
      </w:pPr>
      <w:r>
        <w:t xml:space="preserve">disciplina com SOP;</w:t>
      </w:r>
    </w:p>
    <w:p>
      <w:pPr>
        <w:numPr>
          <w:ilvl w:val="0"/>
          <w:numId w:val="1017"/>
        </w:numPr>
        <w:pStyle w:val="Compact"/>
      </w:pPr>
      <w:r>
        <w:t xml:space="preserve">rastreabilidade;</w:t>
      </w:r>
    </w:p>
    <w:p>
      <w:pPr>
        <w:numPr>
          <w:ilvl w:val="0"/>
          <w:numId w:val="1017"/>
        </w:numPr>
        <w:pStyle w:val="Compact"/>
      </w:pPr>
      <w:r>
        <w:t xml:space="preserve">documentação de QC;</w:t>
      </w:r>
    </w:p>
    <w:p>
      <w:pPr>
        <w:numPr>
          <w:ilvl w:val="0"/>
          <w:numId w:val="1017"/>
        </w:numPr>
        <w:pStyle w:val="Compact"/>
      </w:pPr>
      <w:r>
        <w:t xml:space="preserve">consciência de calibração;</w:t>
      </w:r>
    </w:p>
    <w:p>
      <w:pPr>
        <w:numPr>
          <w:ilvl w:val="0"/>
          <w:numId w:val="1017"/>
        </w:numPr>
        <w:pStyle w:val="Compact"/>
      </w:pPr>
      <w:r>
        <w:t xml:space="preserve">controle de lote e validade;</w:t>
      </w:r>
    </w:p>
    <w:p>
      <w:pPr>
        <w:numPr>
          <w:ilvl w:val="0"/>
          <w:numId w:val="1017"/>
        </w:numPr>
        <w:pStyle w:val="Compact"/>
      </w:pPr>
      <w:r>
        <w:t xml:space="preserve">ações corretivas;</w:t>
      </w:r>
    </w:p>
    <w:p>
      <w:pPr>
        <w:numPr>
          <w:ilvl w:val="0"/>
          <w:numId w:val="1017"/>
        </w:numPr>
        <w:pStyle w:val="Compact"/>
      </w:pPr>
      <w:r>
        <w:t xml:space="preserve">integridade de ensaios de proficiência;</w:t>
      </w:r>
    </w:p>
    <w:p>
      <w:pPr>
        <w:numPr>
          <w:ilvl w:val="0"/>
          <w:numId w:val="1017"/>
        </w:numPr>
        <w:pStyle w:val="Compact"/>
      </w:pPr>
      <w:r>
        <w:t xml:space="preserve">documentação de competência;</w:t>
      </w:r>
    </w:p>
    <w:p>
      <w:pPr>
        <w:numPr>
          <w:ilvl w:val="0"/>
          <w:numId w:val="1017"/>
        </w:numPr>
        <w:pStyle w:val="Compact"/>
      </w:pPr>
      <w:r>
        <w:t xml:space="preserve">trilhas de auditoria;</w:t>
      </w:r>
    </w:p>
    <w:p>
      <w:pPr>
        <w:numPr>
          <w:ilvl w:val="0"/>
          <w:numId w:val="1017"/>
        </w:numPr>
        <w:pStyle w:val="Compact"/>
      </w:pPr>
      <w:r>
        <w:t xml:space="preserve">comunicação de incidentes;</w:t>
      </w:r>
    </w:p>
    <w:p>
      <w:pPr>
        <w:numPr>
          <w:ilvl w:val="0"/>
          <w:numId w:val="1017"/>
        </w:numPr>
        <w:pStyle w:val="Compact"/>
      </w:pPr>
      <w:r>
        <w:t xml:space="preserve">atenção a casas decimais, unidades e identificadores.</w:t>
      </w:r>
    </w:p>
    <w:bookmarkEnd w:id="61"/>
    <w:bookmarkStart w:id="62" w:name="competências-digitais"/>
    <w:p>
      <w:pPr>
        <w:pStyle w:val="Heading3"/>
      </w:pPr>
      <w:r>
        <w:t xml:space="preserve">Competências digitais</w:t>
      </w:r>
    </w:p>
    <w:p>
      <w:pPr>
        <w:numPr>
          <w:ilvl w:val="0"/>
          <w:numId w:val="1018"/>
        </w:numPr>
        <w:pStyle w:val="Compact"/>
      </w:pPr>
      <w:r>
        <w:t xml:space="preserve">navegação autorizada em LIS/EHR;</w:t>
      </w:r>
    </w:p>
    <w:p>
      <w:pPr>
        <w:numPr>
          <w:ilvl w:val="0"/>
          <w:numId w:val="1018"/>
        </w:numPr>
        <w:pStyle w:val="Compact"/>
      </w:pPr>
      <w:r>
        <w:t xml:space="preserve">códigos de barras;</w:t>
      </w:r>
    </w:p>
    <w:p>
      <w:pPr>
        <w:numPr>
          <w:ilvl w:val="0"/>
          <w:numId w:val="1018"/>
        </w:numPr>
        <w:pStyle w:val="Compact"/>
      </w:pPr>
      <w:r>
        <w:t xml:space="preserve">planilhas;</w:t>
      </w:r>
    </w:p>
    <w:p>
      <w:pPr>
        <w:numPr>
          <w:ilvl w:val="0"/>
          <w:numId w:val="1018"/>
        </w:numPr>
        <w:pStyle w:val="Compact"/>
      </w:pPr>
      <w:r>
        <w:t xml:space="preserve">processamento de texto;</w:t>
      </w:r>
    </w:p>
    <w:p>
      <w:pPr>
        <w:numPr>
          <w:ilvl w:val="0"/>
          <w:numId w:val="1018"/>
        </w:numPr>
        <w:pStyle w:val="Compact"/>
      </w:pPr>
      <w:r>
        <w:t xml:space="preserve">e-mail seguro;</w:t>
      </w:r>
    </w:p>
    <w:p>
      <w:pPr>
        <w:numPr>
          <w:ilvl w:val="0"/>
          <w:numId w:val="1018"/>
        </w:numPr>
        <w:pStyle w:val="Compact"/>
      </w:pPr>
      <w:r>
        <w:t xml:space="preserve">middleware instrumental;</w:t>
      </w:r>
    </w:p>
    <w:p>
      <w:pPr>
        <w:numPr>
          <w:ilvl w:val="0"/>
          <w:numId w:val="1018"/>
        </w:numPr>
        <w:pStyle w:val="Compact"/>
      </w:pPr>
      <w:r>
        <w:t xml:space="preserve">sistemas em nuvem aprovados;</w:t>
      </w:r>
    </w:p>
    <w:p>
      <w:pPr>
        <w:numPr>
          <w:ilvl w:val="0"/>
          <w:numId w:val="1018"/>
        </w:numPr>
        <w:pStyle w:val="Compact"/>
      </w:pPr>
      <w:r>
        <w:t xml:space="preserve">solução básica de problemas;</w:t>
      </w:r>
    </w:p>
    <w:p>
      <w:pPr>
        <w:numPr>
          <w:ilvl w:val="0"/>
          <w:numId w:val="1018"/>
        </w:numPr>
        <w:pStyle w:val="Compact"/>
      </w:pPr>
      <w:r>
        <w:t xml:space="preserve">consciência de cibersegurança.</w:t>
      </w:r>
    </w:p>
    <w:bookmarkEnd w:id="62"/>
    <w:bookmarkStart w:id="63" w:name="competências-humanas"/>
    <w:p>
      <w:pPr>
        <w:pStyle w:val="Heading3"/>
      </w:pPr>
      <w:r>
        <w:t xml:space="preserve">Competências humanas</w:t>
      </w:r>
    </w:p>
    <w:p>
      <w:pPr>
        <w:numPr>
          <w:ilvl w:val="0"/>
          <w:numId w:val="1019"/>
        </w:numPr>
        <w:pStyle w:val="Compact"/>
      </w:pPr>
      <w:r>
        <w:t xml:space="preserve">precisão;</w:t>
      </w:r>
    </w:p>
    <w:p>
      <w:pPr>
        <w:numPr>
          <w:ilvl w:val="0"/>
          <w:numId w:val="1019"/>
        </w:numPr>
        <w:pStyle w:val="Compact"/>
      </w:pPr>
      <w:r>
        <w:t xml:space="preserve">confiabilidade;</w:t>
      </w:r>
    </w:p>
    <w:p>
      <w:pPr>
        <w:numPr>
          <w:ilvl w:val="0"/>
          <w:numId w:val="1019"/>
        </w:numPr>
        <w:pStyle w:val="Compact"/>
      </w:pPr>
      <w:r>
        <w:t xml:space="preserve">escalonamento calmo;</w:t>
      </w:r>
    </w:p>
    <w:p>
      <w:pPr>
        <w:numPr>
          <w:ilvl w:val="0"/>
          <w:numId w:val="1019"/>
        </w:numPr>
        <w:pStyle w:val="Compact"/>
      </w:pPr>
      <w:r>
        <w:t xml:space="preserve">disposição para admitir incerteza;</w:t>
      </w:r>
    </w:p>
    <w:p>
      <w:pPr>
        <w:numPr>
          <w:ilvl w:val="0"/>
          <w:numId w:val="1019"/>
        </w:numPr>
        <w:pStyle w:val="Compact"/>
      </w:pPr>
      <w:r>
        <w:t xml:space="preserve">trabalho em equipe;</w:t>
      </w:r>
    </w:p>
    <w:p>
      <w:pPr>
        <w:numPr>
          <w:ilvl w:val="0"/>
          <w:numId w:val="1019"/>
        </w:numPr>
        <w:pStyle w:val="Compact"/>
      </w:pPr>
      <w:r>
        <w:t xml:space="preserve">comunicação com enfermagem, médicos, profissionais de laboratório e transportadores;</w:t>
      </w:r>
    </w:p>
    <w:p>
      <w:pPr>
        <w:numPr>
          <w:ilvl w:val="0"/>
          <w:numId w:val="1019"/>
        </w:numPr>
        <w:pStyle w:val="Compact"/>
      </w:pPr>
      <w:r>
        <w:t xml:space="preserve">respeito à privacidade;</w:t>
      </w:r>
    </w:p>
    <w:p>
      <w:pPr>
        <w:numPr>
          <w:ilvl w:val="0"/>
          <w:numId w:val="1019"/>
        </w:numPr>
        <w:pStyle w:val="Compact"/>
      </w:pPr>
      <w:r>
        <w:t xml:space="preserve">trabalhar sob pressão sem ignorar controles;</w:t>
      </w:r>
    </w:p>
    <w:p>
      <w:pPr>
        <w:numPr>
          <w:ilvl w:val="0"/>
          <w:numId w:val="1019"/>
        </w:numPr>
        <w:pStyle w:val="Compact"/>
      </w:pPr>
      <w:r>
        <w:t xml:space="preserve">aprendizagem contínua.</w:t>
      </w:r>
    </w:p>
    <w:bookmarkEnd w:id="63"/>
    <w:bookmarkEnd w:id="64"/>
    <w:bookmarkStart w:id="65" w:name="X6426006ac2c904d342c21177c1cb11dfb411616"/>
    <w:p>
      <w:pPr>
        <w:pStyle w:val="Heading2"/>
      </w:pPr>
      <w:r>
        <w:t xml:space="preserve">Panorama do mercado de trabalho — Estados Unidos</w:t>
      </w:r>
    </w:p>
    <w:p>
      <w:pPr>
        <w:pStyle w:val="FirstParagraph"/>
      </w:pPr>
      <w:r>
        <w:t xml:space="preserve">Referência principal:</w:t>
      </w:r>
      <w:r>
        <w:t xml:space="preserve"> </w:t>
      </w:r>
      <w:r>
        <w:rPr>
          <w:bCs/>
          <w:b/>
        </w:rPr>
        <w:t xml:space="preserve">O*NET-SOC 29-2012.00 — Medical and Clinical Laboratory Technicians</w:t>
      </w:r>
      <w:r>
        <w:t xml:space="preserve">.</w:t>
      </w:r>
    </w:p>
    <w:p>
      <w:pPr>
        <w:pStyle w:val="BodyText"/>
      </w:pPr>
      <w:r>
        <w:t xml:space="preserve">A página atual do O*NET apresenta dados ligados ao BLS para a série combinada Clinical Laboratory Technologists and Technicians:</w:t>
      </w:r>
    </w:p>
    <w:p>
      <w:pPr>
        <w:numPr>
          <w:ilvl w:val="0"/>
          <w:numId w:val="1020"/>
        </w:numPr>
        <w:pStyle w:val="Compact"/>
      </w:pPr>
      <w:r>
        <w:rPr>
          <w:bCs/>
          <w:b/>
        </w:rPr>
        <w:t xml:space="preserve">mediana horária em 2025:</w:t>
      </w:r>
      <w:r>
        <w:t xml:space="preserve"> </w:t>
      </w:r>
      <w:r>
        <w:t xml:space="preserve">US$30.26;</w:t>
      </w:r>
    </w:p>
    <w:p>
      <w:pPr>
        <w:numPr>
          <w:ilvl w:val="0"/>
          <w:numId w:val="1020"/>
        </w:numPr>
        <w:pStyle w:val="Compact"/>
      </w:pPr>
      <w:r>
        <w:rPr>
          <w:bCs/>
          <w:b/>
        </w:rPr>
        <w:t xml:space="preserve">mediana anual em 2025:</w:t>
      </w:r>
      <w:r>
        <w:t xml:space="preserve"> </w:t>
      </w:r>
      <w:r>
        <w:t xml:space="preserve">US$62,930;</w:t>
      </w:r>
    </w:p>
    <w:p>
      <w:pPr>
        <w:numPr>
          <w:ilvl w:val="0"/>
          <w:numId w:val="1020"/>
        </w:numPr>
        <w:pStyle w:val="Compact"/>
      </w:pPr>
      <w:r>
        <w:rPr>
          <w:bCs/>
          <w:b/>
        </w:rPr>
        <w:t xml:space="preserve">emprego em 2024:</w:t>
      </w:r>
      <w:r>
        <w:t xml:space="preserve"> </w:t>
      </w:r>
      <w:r>
        <w:t xml:space="preserve">aproximadamente 351,200;</w:t>
      </w:r>
    </w:p>
    <w:p>
      <w:pPr>
        <w:numPr>
          <w:ilvl w:val="0"/>
          <w:numId w:val="1020"/>
        </w:numPr>
        <w:pStyle w:val="Compact"/>
      </w:pPr>
      <w:r>
        <w:rPr>
          <w:bCs/>
          <w:b/>
        </w:rPr>
        <w:t xml:space="preserve">crescimento projetado 2024–2034:</w:t>
      </w:r>
      <w:r>
        <w:t xml:space="preserve"> </w:t>
      </w:r>
      <w:r>
        <w:t xml:space="preserve">aproximadamente 1%–2%, mais lento que a média;</w:t>
      </w:r>
    </w:p>
    <w:p>
      <w:pPr>
        <w:numPr>
          <w:ilvl w:val="0"/>
          <w:numId w:val="1020"/>
        </w:numPr>
        <w:pStyle w:val="Compact"/>
      </w:pPr>
      <w:r>
        <w:rPr>
          <w:bCs/>
          <w:b/>
        </w:rPr>
        <w:t xml:space="preserve">aberturas anuais projetadas:</w:t>
      </w:r>
      <w:r>
        <w:t xml:space="preserve"> </w:t>
      </w:r>
      <w:r>
        <w:t xml:space="preserve">aproximadamente 22,600;</w:t>
      </w:r>
    </w:p>
    <w:p>
      <w:pPr>
        <w:numPr>
          <w:ilvl w:val="0"/>
          <w:numId w:val="1020"/>
        </w:numPr>
        <w:pStyle w:val="Compact"/>
      </w:pPr>
      <w:r>
        <w:rPr>
          <w:bCs/>
          <w:b/>
        </w:rPr>
        <w:t xml:space="preserve">saúde e assistência social:</w:t>
      </w:r>
      <w:r>
        <w:t xml:space="preserve"> </w:t>
      </w:r>
      <w:r>
        <w:t xml:space="preserve">cerca de 83% do emprego.</w:t>
      </w:r>
    </w:p>
    <w:p>
      <w:pPr>
        <w:pStyle w:val="FirstParagraph"/>
      </w:pPr>
      <w:r>
        <w:t xml:space="preserve">O BLS informa separadamente</w:t>
      </w:r>
      <w:r>
        <w:t xml:space="preserve"> </w:t>
      </w:r>
      <w:r>
        <w:rPr>
          <w:bCs/>
          <w:b/>
        </w:rPr>
        <w:t xml:space="preserve">mediana anual de US$61,890 em maio de 2024</w:t>
      </w:r>
      <w:r>
        <w:t xml:space="preserve"> </w:t>
      </w:r>
      <w:r>
        <w:t xml:space="preserve">para a ocupação combinada tecnólogo/técnico e crescimento de 2% entre 2024 e 2034.</w:t>
      </w:r>
    </w:p>
    <w:p>
      <w:pPr>
        <w:pStyle w:val="BodyText"/>
      </w:pPr>
      <w:r>
        <w:t xml:space="preserve">São números de uma série combinada. Não os apresente como salário garantido exclusivo de técnicos. Remuneração varia por estado, turno, instalação, certificação, sindicato, especialidade, experiência e responsabilidade.</w:t>
      </w:r>
    </w:p>
    <w:bookmarkEnd w:id="65"/>
    <w:bookmarkStart w:id="66" w:name="X952e3f13c9ebbad68bcbe0cf2cc1c56faf0a9b0"/>
    <w:p>
      <w:pPr>
        <w:pStyle w:val="Heading2"/>
      </w:pPr>
      <w:r>
        <w:t xml:space="preserve">Estimativas privadas atuais — Estados Unidos</w:t>
      </w:r>
    </w:p>
    <w:p>
      <w:pPr>
        <w:pStyle w:val="FirstParagraph"/>
      </w:pPr>
      <w:r>
        <w:t xml:space="preserve">Sites privados usam metodologias e correspondência de títulos diferentes. Não são estatísticas governamentais.</w:t>
      </w:r>
    </w:p>
    <w:p>
      <w:pPr>
        <w:pStyle w:val="BodyText"/>
      </w:pPr>
      <w:r>
        <w:t xml:space="preserve">ZipRecruiter informou cerca de</w:t>
      </w:r>
      <w:r>
        <w:t xml:space="preserve"> </w:t>
      </w:r>
      <w:r>
        <w:rPr>
          <w:bCs/>
          <w:b/>
        </w:rPr>
        <w:t xml:space="preserve">US$74,374/ano (US$35.76/hora)</w:t>
      </w:r>
      <w:r>
        <w:t xml:space="preserve"> </w:t>
      </w:r>
      <w:r>
        <w:t xml:space="preserve">para “Clinical Laboratory Technician” em 2 de agosto de 2026.</w:t>
      </w:r>
    </w:p>
    <w:p>
      <w:pPr>
        <w:pStyle w:val="BodyText"/>
      </w:pPr>
      <w:r>
        <w:t xml:space="preserve">O mesmo site informou aproximadamente</w:t>
      </w:r>
      <w:r>
        <w:t xml:space="preserve"> </w:t>
      </w:r>
      <w:r>
        <w:rPr>
          <w:bCs/>
          <w:b/>
        </w:rPr>
        <w:t xml:space="preserve">US$46,864/ano (US$22.53/hora)</w:t>
      </w:r>
      <w:r>
        <w:t xml:space="preserve"> </w:t>
      </w:r>
      <w:r>
        <w:t xml:space="preserve">para “MLT Lab Technician” em 8 de agosto de 2026.</w:t>
      </w:r>
    </w:p>
    <w:p>
      <w:pPr>
        <w:pStyle w:val="BodyText"/>
      </w:pPr>
      <w:r>
        <w:t xml:space="preserve">Glassdoor mostrava uma estimativa em torno de</w:t>
      </w:r>
      <w:r>
        <w:t xml:space="preserve"> </w:t>
      </w:r>
      <w:r>
        <w:rPr>
          <w:bCs/>
          <w:b/>
        </w:rPr>
        <w:t xml:space="preserve">US$60,000 de remuneração total mediana</w:t>
      </w:r>
      <w:r>
        <w:t xml:space="preserve"> </w:t>
      </w:r>
      <w:r>
        <w:t xml:space="preserve">para “Clinical Laboratory Technician”.</w:t>
      </w:r>
    </w:p>
    <w:p>
      <w:pPr>
        <w:pStyle w:val="BodyText"/>
      </w:pPr>
      <w:r>
        <w:t xml:space="preserve">A diferença mostra a inconsistência dos títulos. Use BLS/O*NET como principal referência nacional e sites privados apenas como contexto atual do título e local exatos.</w:t>
      </w:r>
    </w:p>
    <w:bookmarkEnd w:id="66"/>
    <w:bookmarkStart w:id="67" w:name="educação-e-entrada--estados-unidos"/>
    <w:p>
      <w:pPr>
        <w:pStyle w:val="Heading2"/>
      </w:pPr>
      <w:r>
        <w:t xml:space="preserve">Educação e entrada — Estados Unidos</w:t>
      </w:r>
    </w:p>
    <w:p>
      <w:pPr>
        <w:pStyle w:val="FirstParagraph"/>
      </w:pPr>
      <w:r>
        <w:t xml:space="preserve">O BLS informa que alguns técnicos de laboratório clínico podem se qualificar com associate degree, enquanto tecnólogos com frequência exigem bachelor’s degree. Alguns estados exigem licença e alguns empregadores preferem certificação.</w:t>
      </w:r>
    </w:p>
    <w:p>
      <w:pPr>
        <w:pStyle w:val="BodyText"/>
      </w:pPr>
      <w:r>
        <w:t xml:space="preserve">A NAACLS identifica rota de associate degree para Medical Laboratory Technician e credencia programas MLT. Um programa sólido deve incluir ciência laboratorial, qualidade, segurança e aprendizagem clínica supervisionada, não apenas teoria on-line.</w:t>
      </w:r>
    </w:p>
    <w:p>
      <w:pPr>
        <w:pStyle w:val="BodyText"/>
      </w:pPr>
      <w:r>
        <w:t xml:space="preserve">Antes de se matricular, confirme:</w:t>
      </w:r>
    </w:p>
    <w:p>
      <w:pPr>
        <w:numPr>
          <w:ilvl w:val="0"/>
          <w:numId w:val="1021"/>
        </w:numPr>
        <w:pStyle w:val="Compact"/>
      </w:pPr>
      <w:r>
        <w:t xml:space="preserve">credenciamento ou aprovação reconhecida;</w:t>
      </w:r>
    </w:p>
    <w:p>
      <w:pPr>
        <w:numPr>
          <w:ilvl w:val="0"/>
          <w:numId w:val="1021"/>
        </w:numPr>
        <w:pStyle w:val="Compact"/>
      </w:pPr>
      <w:r>
        <w:t xml:space="preserve">se inclui prática clínica;</w:t>
      </w:r>
    </w:p>
    <w:p>
      <w:pPr>
        <w:numPr>
          <w:ilvl w:val="0"/>
          <w:numId w:val="1021"/>
        </w:numPr>
        <w:pStyle w:val="Compact"/>
      </w:pPr>
      <w:r>
        <w:t xml:space="preserve">elegibilidade para o exame de certificação pretendido;</w:t>
      </w:r>
    </w:p>
    <w:p>
      <w:pPr>
        <w:numPr>
          <w:ilvl w:val="0"/>
          <w:numId w:val="1021"/>
        </w:numPr>
        <w:pStyle w:val="Compact"/>
      </w:pPr>
      <w:r>
        <w:t xml:space="preserve">exigências de licença estadual onde pretende trabalhar;</w:t>
      </w:r>
    </w:p>
    <w:p>
      <w:pPr>
        <w:numPr>
          <w:ilvl w:val="0"/>
          <w:numId w:val="1021"/>
        </w:numPr>
        <w:pStyle w:val="Compact"/>
      </w:pPr>
      <w:r>
        <w:t xml:space="preserve">custo total;</w:t>
      </w:r>
    </w:p>
    <w:p>
      <w:pPr>
        <w:numPr>
          <w:ilvl w:val="0"/>
          <w:numId w:val="1021"/>
        </w:numPr>
        <w:pStyle w:val="Compact"/>
      </w:pPr>
      <w:r>
        <w:t xml:space="preserve">requisitos de antecedentes, imunização, exames ou outros do local clínico;</w:t>
      </w:r>
    </w:p>
    <w:p>
      <w:pPr>
        <w:numPr>
          <w:ilvl w:val="0"/>
          <w:numId w:val="1021"/>
        </w:numPr>
        <w:pStyle w:val="Compact"/>
      </w:pPr>
      <w:r>
        <w:t xml:space="preserve">horário e transporte;</w:t>
      </w:r>
    </w:p>
    <w:p>
      <w:pPr>
        <w:numPr>
          <w:ilvl w:val="0"/>
          <w:numId w:val="1021"/>
        </w:numPr>
        <w:pStyle w:val="Compact"/>
      </w:pPr>
      <w:r>
        <w:t xml:space="preserve">resultados de conclusão/certificação quando disponíveis;</w:t>
      </w:r>
    </w:p>
    <w:p>
      <w:pPr>
        <w:numPr>
          <w:ilvl w:val="0"/>
          <w:numId w:val="1021"/>
        </w:numPr>
        <w:pStyle w:val="Compact"/>
      </w:pPr>
      <w:r>
        <w:t xml:space="preserve">transferência de créditos se depois buscar MLS ou outro grau.</w:t>
      </w:r>
    </w:p>
    <w:bookmarkEnd w:id="67"/>
    <w:bookmarkStart w:id="68" w:name="certificação--estados-unidos"/>
    <w:p>
      <w:pPr>
        <w:pStyle w:val="Heading2"/>
      </w:pPr>
      <w:r>
        <w:t xml:space="preserve">Certificação — Estados Unidos</w:t>
      </w:r>
    </w:p>
    <w:p>
      <w:pPr>
        <w:pStyle w:val="FirstParagraph"/>
      </w:pPr>
      <w:r>
        <w:t xml:space="preserve">ASCP Board of Certification é uma importante organização de credenciais. As rotas atuais</w:t>
      </w:r>
      <w:r>
        <w:t xml:space="preserve"> </w:t>
      </w:r>
      <w:r>
        <w:rPr>
          <w:bCs/>
          <w:b/>
        </w:rPr>
        <w:t xml:space="preserve">MLT(ASCP)</w:t>
      </w:r>
      <w:r>
        <w:t xml:space="preserve"> </w:t>
      </w:r>
      <w:r>
        <w:t xml:space="preserve">incluem, entre outras, associate degree ou 60 créditos semestrais mais conclusão recente de programa MLT credenciado pela NAACLS ou ABHES. Existem outras rotas para treinamento militar ou experiência clínica qualificável.</w:t>
      </w:r>
    </w:p>
    <w:p>
      <w:pPr>
        <w:pStyle w:val="BodyText"/>
      </w:pPr>
      <w:r>
        <w:t xml:space="preserve">Certificação nacional e licença legal não são a mesma coisa. Uma credencial pode ser preferida pelo empregador onde não existe licença estadual; um estado também pode impor requisitos adicionais.</w:t>
      </w:r>
    </w:p>
    <w:p>
      <w:pPr>
        <w:pStyle w:val="BodyText"/>
      </w:pPr>
      <w:r>
        <w:t xml:space="preserve">Verifique requisitos atuais antes de pagar educação ou exame.</w:t>
      </w:r>
    </w:p>
    <w:bookmarkEnd w:id="68"/>
    <w:bookmarkStart w:id="70" w:name="Xe87ce9c7a48f622f50dafe3ea92cbda0ae029b4"/>
    <w:p>
      <w:pPr>
        <w:pStyle w:val="Heading2"/>
      </w:pPr>
      <w:r>
        <w:t xml:space="preserve">WIOA, community colleges e caminhos de menor custo — Estados Unidos</w:t>
      </w:r>
    </w:p>
    <w:p>
      <w:pPr>
        <w:pStyle w:val="FirstParagraph"/>
      </w:pPr>
      <w:r>
        <w:t xml:space="preserve">CareerOneStop oferece um localizador estadual de programas elegíveis para WIOA:</w:t>
      </w:r>
    </w:p>
    <w:p>
      <w:pPr>
        <w:pStyle w:val="BodyText"/>
      </w:pPr>
      <w:hyperlink r:id="rId69">
        <w:hyperlink r:id="rId69">
          <w:r>
            <w:rPr>
              <w:rStyle w:val="Hyperlink"/>
            </w:rPr>
            <w:t xml:space="preserve">Source link</w:t>
          </w:r>
        </w:hyperlink>
      </w:hyperlink>
    </w:p>
    <w:p>
      <w:pPr>
        <w:pStyle w:val="BodyText"/>
      </w:pPr>
      <w:r>
        <w:t xml:space="preserve">O financiamento WIOA não é automático. Depende da pessoa, estado e programa. Pergunte a um American Job Center se um programa MLT local credenciado consta da lista e se existem serviços de apoio.</w:t>
      </w:r>
    </w:p>
    <w:p>
      <w:pPr>
        <w:pStyle w:val="BodyText"/>
      </w:pPr>
      <w:r>
        <w:t xml:space="preserve">Compare também:</w:t>
      </w:r>
    </w:p>
    <w:p>
      <w:pPr>
        <w:numPr>
          <w:ilvl w:val="0"/>
          <w:numId w:val="1022"/>
        </w:numPr>
        <w:pStyle w:val="Compact"/>
      </w:pPr>
      <w:r>
        <w:t xml:space="preserve">community colleges públicos;</w:t>
      </w:r>
    </w:p>
    <w:p>
      <w:pPr>
        <w:numPr>
          <w:ilvl w:val="0"/>
          <w:numId w:val="1022"/>
        </w:numPr>
        <w:pStyle w:val="Compact"/>
      </w:pPr>
      <w:r>
        <w:t xml:space="preserve">auxílio federal/estadual quando elegível;</w:t>
      </w:r>
    </w:p>
    <w:p>
      <w:pPr>
        <w:numPr>
          <w:ilvl w:val="0"/>
          <w:numId w:val="1022"/>
        </w:numPr>
        <w:pStyle w:val="Compact"/>
      </w:pPr>
      <w:r>
        <w:t xml:space="preserve">bolsas de hospitais, fundações ou associações;</w:t>
      </w:r>
    </w:p>
    <w:p>
      <w:pPr>
        <w:numPr>
          <w:ilvl w:val="0"/>
          <w:numId w:val="1022"/>
        </w:numPr>
        <w:pStyle w:val="Compact"/>
      </w:pPr>
      <w:r>
        <w:t xml:space="preserve">tuition assistance do empregador;</w:t>
      </w:r>
    </w:p>
    <w:p>
      <w:pPr>
        <w:numPr>
          <w:ilvl w:val="0"/>
          <w:numId w:val="1022"/>
        </w:numPr>
        <w:pStyle w:val="Compact"/>
      </w:pPr>
      <w:r>
        <w:t xml:space="preserve">parcerias educacionais hospitalares;</w:t>
      </w:r>
    </w:p>
    <w:p>
      <w:pPr>
        <w:numPr>
          <w:ilvl w:val="0"/>
          <w:numId w:val="1022"/>
        </w:numPr>
        <w:pStyle w:val="Compact"/>
      </w:pPr>
      <w:r>
        <w:t xml:space="preserve">rotas militares;</w:t>
      </w:r>
    </w:p>
    <w:p>
      <w:pPr>
        <w:numPr>
          <w:ilvl w:val="0"/>
          <w:numId w:val="1022"/>
        </w:numPr>
        <w:pStyle w:val="Compact"/>
      </w:pPr>
      <w:r>
        <w:t xml:space="preserve">estágios clínicos pagos quando disponíveis;</w:t>
      </w:r>
    </w:p>
    <w:p>
      <w:pPr>
        <w:numPr>
          <w:ilvl w:val="0"/>
          <w:numId w:val="1022"/>
        </w:numPr>
        <w:pStyle w:val="Compact"/>
      </w:pPr>
      <w:r>
        <w:t xml:space="preserve">progressão patrocinada a partir de processamento de amostras, flebotomia ou auxiliar de laboratório.</w:t>
      </w:r>
    </w:p>
    <w:bookmarkEnd w:id="70"/>
    <w:bookmarkStart w:id="72" w:name="X09bda2b2bd187252e4d6fdc27cecb98a4e3d98e"/>
    <w:p>
      <w:pPr>
        <w:pStyle w:val="Heading2"/>
      </w:pPr>
      <w:r>
        <w:t xml:space="preserve">Aprendizagem registrada e experiência de trabalho — Estados Unidos</w:t>
      </w:r>
    </w:p>
    <w:p>
      <w:pPr>
        <w:pStyle w:val="FirstParagraph"/>
      </w:pPr>
      <w:r>
        <w:t xml:space="preserve">O O*NET atualmente identifica títulos passíveis de aprendizagem relacionados a Medical and Clinical Laboratory Technicians.</w:t>
      </w:r>
    </w:p>
    <w:p>
      <w:pPr>
        <w:pStyle w:val="BodyText"/>
      </w:pPr>
      <w:r>
        <w:t xml:space="preserve">Pesquise oportunidades atuais em:</w:t>
      </w:r>
    </w:p>
    <w:p>
      <w:pPr>
        <w:pStyle w:val="BodyText"/>
      </w:pPr>
      <w:hyperlink r:id="rId71">
        <w:r>
          <w:rPr>
            <w:rStyle w:val="Hyperlink"/>
          </w:rPr>
          <w:t xml:space="preserve">https://www.apprenticeship.gov/</w:t>
        </w:r>
      </w:hyperlink>
    </w:p>
    <w:p>
      <w:pPr>
        <w:pStyle w:val="BodyText"/>
      </w:pPr>
      <w:r>
        <w:t xml:space="preserve">Um título ser apprenticeable não significa que exista vaga de Registered Apprenticeship em todos os estados ou empregadores. Verifique patrocinador, ocupação, trabalho remunerado, componente educacional e elegibilidade.</w:t>
      </w:r>
    </w:p>
    <w:bookmarkEnd w:id="72"/>
    <w:bookmarkStart w:id="75" w:name="canadá--dois-caminhos-de-comparação"/>
    <w:p>
      <w:pPr>
        <w:pStyle w:val="Heading2"/>
      </w:pPr>
      <w:r>
        <w:t xml:space="preserve">Canadá — dois caminhos de comparação</w:t>
      </w:r>
    </w:p>
    <w:p>
      <w:pPr>
        <w:pStyle w:val="FirstParagraph"/>
      </w:pPr>
      <w:r>
        <w:t xml:space="preserve">O título norte-americano “clinical laboratory technician” não deve ser traduzido automaticamente para uma única ocupação canadense sem revisar as funções.</w:t>
      </w:r>
    </w:p>
    <w:bookmarkStart w:id="73" w:name="X02ebf67d38c4fae52abf1793fd0ded551d40a55"/>
    <w:p>
      <w:pPr>
        <w:pStyle w:val="Heading3"/>
      </w:pPr>
      <w:r>
        <w:t xml:space="preserve">NOC 32120 — Medical laboratory technologists</w:t>
      </w:r>
    </w:p>
    <w:p>
      <w:pPr>
        <w:pStyle w:val="FirstParagraph"/>
      </w:pPr>
      <w:r>
        <w:t xml:space="preserve">Job Bank descreve tecnólogos de laboratório médico como profissionais que realizam testes, experimentos e análises que apoiam diagnóstico, tratamento, monitoramento e prevenção de doenças.</w:t>
      </w:r>
    </w:p>
    <w:p>
      <w:pPr>
        <w:pStyle w:val="BodyText"/>
      </w:pPr>
      <w:r>
        <w:t xml:space="preserve">Salários nacionais do Job Bank, atualizados em 19 de novembro de 2025:</w:t>
      </w:r>
    </w:p>
    <w:p>
      <w:pPr>
        <w:numPr>
          <w:ilvl w:val="0"/>
          <w:numId w:val="1023"/>
        </w:numPr>
        <w:pStyle w:val="Compact"/>
      </w:pPr>
      <w:r>
        <w:rPr>
          <w:bCs/>
          <w:b/>
        </w:rPr>
        <w:t xml:space="preserve">baixo:</w:t>
      </w:r>
      <w:r>
        <w:t xml:space="preserve"> </w:t>
      </w:r>
      <w:r>
        <w:t xml:space="preserve">C$25.13/hora;</w:t>
      </w:r>
    </w:p>
    <w:p>
      <w:pPr>
        <w:numPr>
          <w:ilvl w:val="0"/>
          <w:numId w:val="1023"/>
        </w:numPr>
        <w:pStyle w:val="Compact"/>
      </w:pPr>
      <w:r>
        <w:rPr>
          <w:bCs/>
          <w:b/>
        </w:rPr>
        <w:t xml:space="preserve">mediana:</w:t>
      </w:r>
      <w:r>
        <w:t xml:space="preserve"> </w:t>
      </w:r>
      <w:r>
        <w:t xml:space="preserve">C$39.00/hora;</w:t>
      </w:r>
    </w:p>
    <w:p>
      <w:pPr>
        <w:numPr>
          <w:ilvl w:val="0"/>
          <w:numId w:val="1023"/>
        </w:numPr>
        <w:pStyle w:val="Compact"/>
      </w:pPr>
      <w:r>
        <w:rPr>
          <w:bCs/>
          <w:b/>
        </w:rPr>
        <w:t xml:space="preserve">alto:</w:t>
      </w:r>
      <w:r>
        <w:t xml:space="preserve"> </w:t>
      </w:r>
      <w:r>
        <w:t xml:space="preserve">C$49.00/hora.</w:t>
      </w:r>
    </w:p>
    <w:p>
      <w:pPr>
        <w:pStyle w:val="FirstParagraph"/>
      </w:pPr>
      <w:r>
        <w:t xml:space="preserve">Job Bank informa que normalmente é exigido programa de college de dois ou três anos em tecnologia de laboratório médico e que pode ser necessário treinamento prático supervisionado. Registro é exigido em determinadas províncias reguladas e empregadores normalmente solicitam certificação CSMLS.</w:t>
      </w:r>
    </w:p>
    <w:p>
      <w:pPr>
        <w:pStyle w:val="BodyText"/>
      </w:pPr>
      <w:r>
        <w:t xml:space="preserve">A CSMLS descreve programas MLT canadenses normalmente com três a quatro anos em programas EQual credenciados e administra certificação nacional. Como a regulação provincial pode mudar, verifique com o regulador provincial vigente e fontes atuais Job Bank/CSMLS.</w:t>
      </w:r>
    </w:p>
    <w:bookmarkEnd w:id="73"/>
    <w:bookmarkStart w:id="74" w:name="Xce3e521203ff0c72f74b528b340c3092fa29df1"/>
    <w:p>
      <w:pPr>
        <w:pStyle w:val="Heading3"/>
      </w:pPr>
      <w:r>
        <w:t xml:space="preserve">NOC 33101 — Medical laboratory assistants and related technical occupations</w:t>
      </w:r>
    </w:p>
    <w:p>
      <w:pPr>
        <w:pStyle w:val="FirstParagraph"/>
      </w:pPr>
      <w:r>
        <w:t xml:space="preserve">Pode ser um comparador mais próximo para funções pré-analíticas ou técnicas mais limitadas. Job Bank inclui coleta de sangue e outras amostras, processamento, preparação de reagentes, testes rotineiros e manutenção de equipamentos.</w:t>
      </w:r>
    </w:p>
    <w:p>
      <w:pPr>
        <w:pStyle w:val="BodyText"/>
      </w:pPr>
      <w:r>
        <w:t xml:space="preserve">Salários nacionais do Job Bank, atualizados em 19 de novembro de 2025:</w:t>
      </w:r>
    </w:p>
    <w:p>
      <w:pPr>
        <w:numPr>
          <w:ilvl w:val="0"/>
          <w:numId w:val="1024"/>
        </w:numPr>
        <w:pStyle w:val="Compact"/>
      </w:pPr>
      <w:r>
        <w:rPr>
          <w:bCs/>
          <w:b/>
        </w:rPr>
        <w:t xml:space="preserve">baixo:</w:t>
      </w:r>
      <w:r>
        <w:t xml:space="preserve"> </w:t>
      </w:r>
      <w:r>
        <w:t xml:space="preserve">C$19.18/hora;</w:t>
      </w:r>
    </w:p>
    <w:p>
      <w:pPr>
        <w:numPr>
          <w:ilvl w:val="0"/>
          <w:numId w:val="1024"/>
        </w:numPr>
        <w:pStyle w:val="Compact"/>
      </w:pPr>
      <w:r>
        <w:rPr>
          <w:bCs/>
          <w:b/>
        </w:rPr>
        <w:t xml:space="preserve">mediana:</w:t>
      </w:r>
      <w:r>
        <w:t xml:space="preserve"> </w:t>
      </w:r>
      <w:r>
        <w:t xml:space="preserve">C$27.00/hora;</w:t>
      </w:r>
    </w:p>
    <w:p>
      <w:pPr>
        <w:numPr>
          <w:ilvl w:val="0"/>
          <w:numId w:val="1024"/>
        </w:numPr>
        <w:pStyle w:val="Compact"/>
      </w:pPr>
      <w:r>
        <w:rPr>
          <w:bCs/>
          <w:b/>
        </w:rPr>
        <w:t xml:space="preserve">alto:</w:t>
      </w:r>
      <w:r>
        <w:t xml:space="preserve"> </w:t>
      </w:r>
      <w:r>
        <w:t xml:space="preserve">C$36.11/hora.</w:t>
      </w:r>
    </w:p>
    <w:p>
      <w:pPr>
        <w:pStyle w:val="FirstParagraph"/>
      </w:pPr>
      <w:r>
        <w:t xml:space="preserve">Job Bank descreve preparação típica como educação pós-secundária/aprendizagem de menos de dois anos ou mais de seis meses de treinamento no trabalho, dependendo da função. A CSMLS descreve programas MLA geralmente com 9–12 meses e oferece certificação MLA.</w:t>
      </w:r>
    </w:p>
    <w:p>
      <w:pPr>
        <w:pStyle w:val="BodyText"/>
      </w:pPr>
      <w:r>
        <w:t xml:space="preserve">Não afirme que a rota MLA equivale a uma credencial MLT.</w:t>
      </w:r>
    </w:p>
    <w:bookmarkEnd w:id="74"/>
    <w:bookmarkEnd w:id="75"/>
    <w:bookmarkStart w:id="77" w:name="canadá--treinamento-e-apoio-financeiro"/>
    <w:p>
      <w:pPr>
        <w:pStyle w:val="Heading2"/>
      </w:pPr>
      <w:r>
        <w:t xml:space="preserve">Canadá — treinamento e apoio financeiro</w:t>
      </w:r>
    </w:p>
    <w:p>
      <w:pPr>
        <w:pStyle w:val="FirstParagraph"/>
      </w:pPr>
      <w:r>
        <w:t xml:space="preserve">O Governo do Canadá oferece portal atual com links para treinamento reconhecido, empréstimos e bolsas estudantis, apoio ao emprego, programas de habilidades e reconhecimento de credenciais estrangeiras:</w:t>
      </w:r>
    </w:p>
    <w:p>
      <w:pPr>
        <w:pStyle w:val="BodyText"/>
      </w:pPr>
      <w:hyperlink r:id="rId76">
        <w:hyperlink r:id="rId76">
          <w:r>
            <w:rPr>
              <w:rStyle w:val="Hyperlink"/>
            </w:rPr>
            <w:t xml:space="preserve">Source link</w:t>
          </w:r>
        </w:hyperlink>
      </w:hyperlink>
    </w:p>
    <w:p>
      <w:pPr>
        <w:pStyle w:val="BodyText"/>
      </w:pPr>
      <w:r>
        <w:t xml:space="preserve">A elegibilidade varia. Em profissão de saúde regulada, apoio financeiro não substitui reconhecimento da credencial nem registro provincial.</w:t>
      </w:r>
    </w:p>
    <w:bookmarkEnd w:id="77"/>
    <w:bookmarkStart w:id="79" w:name="colômbia--cuoc-32120"/>
    <w:p>
      <w:pPr>
        <w:pStyle w:val="Heading2"/>
      </w:pPr>
      <w:r>
        <w:t xml:space="preserve">Colômbia — CUOC 32120</w:t>
      </w:r>
    </w:p>
    <w:p>
      <w:pPr>
        <w:pStyle w:val="FirstParagraph"/>
      </w:pPr>
      <w:r>
        <w:t xml:space="preserve">OCUPACOL identifica</w:t>
      </w:r>
      <w:r>
        <w:t xml:space="preserve"> </w:t>
      </w:r>
      <w:r>
        <w:rPr>
          <w:bCs/>
          <w:b/>
        </w:rPr>
        <w:t xml:space="preserve">CUOC 32120 — Técnicos de laboratorios médicos</w:t>
      </w:r>
      <w:r>
        <w:t xml:space="preserve">, nível de competência 3.</w:t>
      </w:r>
    </w:p>
    <w:p>
      <w:pPr>
        <w:pStyle w:val="BodyText"/>
      </w:pPr>
      <w:r>
        <w:t xml:space="preserve">Os títulos incluem:</w:t>
      </w:r>
    </w:p>
    <w:p>
      <w:pPr>
        <w:numPr>
          <w:ilvl w:val="0"/>
          <w:numId w:val="1025"/>
        </w:numPr>
        <w:pStyle w:val="Compact"/>
      </w:pPr>
      <w:r>
        <w:t xml:space="preserve">Técnico de laboratorio clínico;</w:t>
      </w:r>
    </w:p>
    <w:p>
      <w:pPr>
        <w:numPr>
          <w:ilvl w:val="0"/>
          <w:numId w:val="1025"/>
        </w:numPr>
        <w:pStyle w:val="Compact"/>
      </w:pPr>
      <w:r>
        <w:t xml:space="preserve">Técnico de laboratorio médico;</w:t>
      </w:r>
    </w:p>
    <w:p>
      <w:pPr>
        <w:numPr>
          <w:ilvl w:val="0"/>
          <w:numId w:val="1025"/>
        </w:numPr>
        <w:pStyle w:val="Compact"/>
      </w:pPr>
      <w:r>
        <w:t xml:space="preserve">Técnico de hematología;</w:t>
      </w:r>
    </w:p>
    <w:p>
      <w:pPr>
        <w:numPr>
          <w:ilvl w:val="0"/>
          <w:numId w:val="1025"/>
        </w:numPr>
        <w:pStyle w:val="Compact"/>
      </w:pPr>
      <w:r>
        <w:t xml:space="preserve">Técnico de histología;</w:t>
      </w:r>
    </w:p>
    <w:p>
      <w:pPr>
        <w:numPr>
          <w:ilvl w:val="0"/>
          <w:numId w:val="1025"/>
        </w:numPr>
        <w:pStyle w:val="Compact"/>
      </w:pPr>
      <w:r>
        <w:t xml:space="preserve">Técnico de banco de sangre;</w:t>
      </w:r>
    </w:p>
    <w:p>
      <w:pPr>
        <w:numPr>
          <w:ilvl w:val="0"/>
          <w:numId w:val="1025"/>
        </w:numPr>
        <w:pStyle w:val="Compact"/>
      </w:pPr>
      <w:r>
        <w:t xml:space="preserve">Técnico de citología;</w:t>
      </w:r>
    </w:p>
    <w:p>
      <w:pPr>
        <w:numPr>
          <w:ilvl w:val="0"/>
          <w:numId w:val="1025"/>
        </w:numPr>
        <w:pStyle w:val="Compact"/>
      </w:pPr>
      <w:r>
        <w:t xml:space="preserve">outros títulos relacionados.</w:t>
      </w:r>
    </w:p>
    <w:p>
      <w:pPr>
        <w:pStyle w:val="FirstParagraph"/>
      </w:pPr>
      <w:r>
        <w:t xml:space="preserve">OCUPACOL descreve funções como coleta e preparação de amostras, apoio a análises químicas de fluidos corporais, análise de dados/amostras, coloração de lâminas e apoio a procedimentos relacionados à patologia sob protocolos e supervisão aplicáveis.</w:t>
      </w:r>
    </w:p>
    <w:p>
      <w:pPr>
        <w:pStyle w:val="BodyText"/>
      </w:pPr>
      <w:r>
        <w:t xml:space="preserve">Fonte:</w:t>
      </w:r>
    </w:p>
    <w:p>
      <w:pPr>
        <w:pStyle w:val="BodyText"/>
      </w:pPr>
      <w:hyperlink r:id="rId78">
        <w:hyperlink r:id="rId78">
          <w:r>
            <w:rPr>
              <w:rStyle w:val="Hyperlink"/>
            </w:rPr>
            <w:t xml:space="preserve">Source link</w:t>
          </w:r>
        </w:hyperlink>
      </w:hyperlink>
    </w:p>
    <w:p>
      <w:pPr>
        <w:pStyle w:val="BodyText"/>
      </w:pPr>
      <w:r>
        <w:t xml:space="preserve">É uma classificação ocupacional, não uma licença pessoal nem autorização para executar toda tarefa listada.</w:t>
      </w:r>
    </w:p>
    <w:bookmarkEnd w:id="79"/>
    <w:bookmarkStart w:id="81" w:name="colômbia--cuoc-53294"/>
    <w:p>
      <w:pPr>
        <w:pStyle w:val="Heading2"/>
      </w:pPr>
      <w:r>
        <w:t xml:space="preserve">Colômbia — CUOC 53294</w:t>
      </w:r>
    </w:p>
    <w:p>
      <w:pPr>
        <w:pStyle w:val="FirstParagraph"/>
      </w:pPr>
      <w:r>
        <w:t xml:space="preserve">OCUPACOL identifica separadamente</w:t>
      </w:r>
      <w:r>
        <w:t xml:space="preserve"> </w:t>
      </w:r>
      <w:r>
        <w:rPr>
          <w:bCs/>
          <w:b/>
        </w:rPr>
        <w:t xml:space="preserve">CUOC 53294 — Auxiliares de laboratorio clínico</w:t>
      </w:r>
      <w:r>
        <w:t xml:space="preserve">, nível de competência 2.</w:t>
      </w:r>
    </w:p>
    <w:p>
      <w:pPr>
        <w:pStyle w:val="BodyText"/>
      </w:pPr>
      <w:r>
        <w:t xml:space="preserve">As funções incluem receber/coletar amostras, preparar materiais, orientar coleta, preparar amostras para cultura, manter registros, verificar rotulagem/transporte e cuidar de equipamentos.</w:t>
      </w:r>
    </w:p>
    <w:p>
      <w:pPr>
        <w:pStyle w:val="BodyText"/>
      </w:pPr>
      <w:r>
        <w:t xml:space="preserve">Fonte:</w:t>
      </w:r>
    </w:p>
    <w:p>
      <w:pPr>
        <w:pStyle w:val="BodyText"/>
      </w:pPr>
      <w:hyperlink r:id="rId80">
        <w:hyperlink r:id="rId80">
          <w:r>
            <w:rPr>
              <w:rStyle w:val="Hyperlink"/>
            </w:rPr>
            <w:t xml:space="preserve">Source link</w:t>
          </w:r>
        </w:hyperlink>
      </w:hyperlink>
    </w:p>
    <w:p>
      <w:pPr>
        <w:pStyle w:val="BodyText"/>
      </w:pPr>
      <w:r>
        <w:t xml:space="preserve">Mantenha distintas as rotas auxiliar e técnica. Nenhuma classificação deve ser usada para reivindicar autoridade profissional de bacteriologista, patologista, médico, diretor de laboratório ou outro profissional de saúde regulado separadamente.</w:t>
      </w:r>
    </w:p>
    <w:bookmarkEnd w:id="81"/>
    <w:bookmarkStart w:id="83" w:name="Xb549c2593389049d2c52fd853c8f83f9782f373"/>
    <w:p>
      <w:pPr>
        <w:pStyle w:val="Heading2"/>
      </w:pPr>
      <w:r>
        <w:t xml:space="preserve">Colômbia — aprendizagem complementar atual do SENA</w:t>
      </w:r>
    </w:p>
    <w:p>
      <w:pPr>
        <w:pStyle w:val="FirstParagraph"/>
      </w:pPr>
      <w:r>
        <w:t xml:space="preserve">SENA Betowa atualmente lista</w:t>
      </w:r>
      <w:r>
        <w:t xml:space="preserve"> </w:t>
      </w:r>
      <w:r>
        <w:rPr>
          <w:bCs/>
          <w:b/>
        </w:rPr>
        <w:t xml:space="preserve">Toma de muestras para procesamiento en el laboratorio clínico</w:t>
      </w:r>
      <w:r>
        <w:t xml:space="preserve">, curso especial complementar de</w:t>
      </w:r>
      <w:r>
        <w:t xml:space="preserve"> </w:t>
      </w:r>
      <w:r>
        <w:rPr>
          <w:bCs/>
          <w:b/>
        </w:rPr>
        <w:t xml:space="preserve">48 horas</w:t>
      </w:r>
      <w:r>
        <w:t xml:space="preserve">. A oferta de Bogotá de agosto de 2026 exige ser técnico ou auxiliar de enfermagem, carta institucional e processo de seleção do centro.</w:t>
      </w:r>
    </w:p>
    <w:p>
      <w:pPr>
        <w:pStyle w:val="BodyText"/>
      </w:pPr>
      <w:r>
        <w:t xml:space="preserve">Fonte:</w:t>
      </w:r>
    </w:p>
    <w:p>
      <w:pPr>
        <w:pStyle w:val="BodyText"/>
      </w:pPr>
      <w:hyperlink r:id="rId82">
        <w:hyperlink r:id="rId82">
          <w:r>
            <w:rPr>
              <w:rStyle w:val="Hyperlink"/>
            </w:rPr>
            <w:t xml:space="preserve">Source link</w:t>
          </w:r>
        </w:hyperlink>
      </w:hyperlink>
    </w:p>
    <w:p>
      <w:pPr>
        <w:pStyle w:val="BodyText"/>
      </w:pPr>
      <w:r>
        <w:t xml:space="preserve">O curso pode fortalecer uma habilidade delegada específica. Não é formação completa de técnico de laboratório clínico. Ofertas, requisitos, cidades e datas mudam; verifique o Betowa atual.</w:t>
      </w:r>
    </w:p>
    <w:bookmarkEnd w:id="83"/>
    <w:bookmarkStart w:id="85" w:name="américa-latina-e-caribe"/>
    <w:p>
      <w:pPr>
        <w:pStyle w:val="Heading2"/>
      </w:pPr>
      <w:r>
        <w:t xml:space="preserve">América Latina e Caribe</w:t>
      </w:r>
    </w:p>
    <w:p>
      <w:pPr>
        <w:pStyle w:val="FirstParagraph"/>
      </w:pPr>
      <w:r>
        <w:t xml:space="preserve">OIT/Cinterfor oferece observatório por país e instituição de organizações de formação profissional e certificação de competências:</w:t>
      </w:r>
    </w:p>
    <w:p>
      <w:pPr>
        <w:pStyle w:val="BodyText"/>
      </w:pPr>
      <w:hyperlink r:id="rId84">
        <w:r>
          <w:rPr>
            <w:rStyle w:val="Hyperlink"/>
          </w:rPr>
          <w:t xml:space="preserve">https://www.oitcinterfor.org/statsfp/paises</w:t>
        </w:r>
      </w:hyperlink>
    </w:p>
    <w:p>
      <w:pPr>
        <w:pStyle w:val="BodyText"/>
      </w:pPr>
      <w:r>
        <w:t xml:space="preserve">Use-o para localizar instituições nacionais. Depois verifique nível do programa de saúde, prática clínica, reconhecimento oficial, escopo legal, licença/registro e aceitação por empregadores no país específico.</w:t>
      </w:r>
    </w:p>
    <w:bookmarkEnd w:id="85"/>
    <w:bookmarkStart w:id="86" w:name="sequência-de-aprendizagem-de-menor-custo"/>
    <w:p>
      <w:pPr>
        <w:pStyle w:val="Heading2"/>
      </w:pPr>
      <w:r>
        <w:t xml:space="preserve">Sequência de aprendizagem de menor custo</w:t>
      </w:r>
    </w:p>
    <w:p>
      <w:pPr>
        <w:pStyle w:val="FirstParagraph"/>
      </w:pPr>
      <w:r>
        <w:t xml:space="preserve">Não acumule certificados aleatórios. Desenvolva capacidade em uma ordem segura:</w:t>
      </w:r>
    </w:p>
    <w:p>
      <w:pPr>
        <w:numPr>
          <w:ilvl w:val="0"/>
          <w:numId w:val="1026"/>
        </w:numPr>
        <w:pStyle w:val="Compact"/>
      </w:pPr>
      <w:r>
        <w:rPr>
          <w:bCs/>
          <w:b/>
        </w:rPr>
        <w:t xml:space="preserve">Base científica:</w:t>
      </w:r>
      <w:r>
        <w:t xml:space="preserve"> </w:t>
      </w:r>
      <w:r>
        <w:t xml:space="preserve">biologia, química, matemática, unidades, proporções, porcentagens, diluições e estatística básica.</w:t>
      </w:r>
    </w:p>
    <w:p>
      <w:pPr>
        <w:numPr>
          <w:ilvl w:val="0"/>
          <w:numId w:val="1026"/>
        </w:numPr>
        <w:pStyle w:val="Compact"/>
      </w:pPr>
      <w:r>
        <w:rPr>
          <w:bCs/>
          <w:b/>
        </w:rPr>
        <w:t xml:space="preserve">Base de amostras:</w:t>
      </w:r>
      <w:r>
        <w:t xml:space="preserve"> </w:t>
      </w:r>
      <w:r>
        <w:t xml:space="preserve">identificação paciente/amostra, fundamentos de coleta, recipientes, transporte, erros pré-analíticos e cadeia de custódia quando aplicável.</w:t>
      </w:r>
    </w:p>
    <w:p>
      <w:pPr>
        <w:numPr>
          <w:ilvl w:val="0"/>
          <w:numId w:val="1026"/>
        </w:numPr>
        <w:pStyle w:val="Compact"/>
      </w:pPr>
      <w:r>
        <w:rPr>
          <w:bCs/>
          <w:b/>
        </w:rPr>
        <w:t xml:space="preserve">Segurança:</w:t>
      </w:r>
      <w:r>
        <w:t xml:space="preserve"> </w:t>
      </w:r>
      <w:r>
        <w:t xml:space="preserve">patógenos transmitidos pelo sangue, perfurocortantes, EPI, rótulos/SDS, derramamentos, resíduos e comunicação de exposições.</w:t>
      </w:r>
    </w:p>
    <w:p>
      <w:pPr>
        <w:numPr>
          <w:ilvl w:val="0"/>
          <w:numId w:val="1026"/>
        </w:numPr>
        <w:pStyle w:val="Compact"/>
      </w:pPr>
      <w:r>
        <w:rPr>
          <w:bCs/>
          <w:b/>
        </w:rPr>
        <w:t xml:space="preserve">Qualidade:</w:t>
      </w:r>
      <w:r>
        <w:t xml:space="preserve"> </w:t>
      </w:r>
      <w:r>
        <w:t xml:space="preserve">QC, calibração, faixas, documentação, desvios, ensaios de proficiência, ações corretivas e integridade de dados.</w:t>
      </w:r>
    </w:p>
    <w:p>
      <w:pPr>
        <w:numPr>
          <w:ilvl w:val="0"/>
          <w:numId w:val="1026"/>
        </w:numPr>
        <w:pStyle w:val="Compact"/>
      </w:pPr>
      <w:r>
        <w:rPr>
          <w:bCs/>
          <w:b/>
        </w:rPr>
        <w:t xml:space="preserve">Base digital:</w:t>
      </w:r>
      <w:r>
        <w:t xml:space="preserve"> </w:t>
      </w:r>
      <w:r>
        <w:t xml:space="preserve">LIS, planilhas, registros seguros, códigos de barras, privacidade e cibersegurança.</w:t>
      </w:r>
    </w:p>
    <w:p>
      <w:pPr>
        <w:numPr>
          <w:ilvl w:val="0"/>
          <w:numId w:val="1026"/>
        </w:numPr>
        <w:pStyle w:val="Compact"/>
      </w:pPr>
      <w:r>
        <w:rPr>
          <w:bCs/>
          <w:b/>
        </w:rPr>
        <w:t xml:space="preserve">Programa ocupacional reconhecido:</w:t>
      </w:r>
      <w:r>
        <w:t xml:space="preserve"> </w:t>
      </w:r>
      <w:r>
        <w:t xml:space="preserve">escolha MLT, MLA ou programa técnico específico da jurisdição que corresponda à função desejada.</w:t>
      </w:r>
    </w:p>
    <w:p>
      <w:pPr>
        <w:pStyle w:val="FirstParagraph"/>
      </w:pPr>
      <w:r>
        <w:t xml:space="preserve">Cursos curtos complementam; não substituem educação clínica ou credenciais exigidas.</w:t>
      </w:r>
    </w:p>
    <w:bookmarkEnd w:id="86"/>
    <w:bookmarkStart w:id="87" w:name="X834dc7ae72d6289c32345b82f05d5675a5e8025"/>
    <w:p>
      <w:pPr>
        <w:pStyle w:val="Heading2"/>
      </w:pPr>
      <w:r>
        <w:t xml:space="preserve">Acessibilidade e inclusão de pessoas com deficiência</w:t>
      </w:r>
    </w:p>
    <w:p>
      <w:pPr>
        <w:pStyle w:val="FirstParagraph"/>
      </w:pPr>
      <w:r>
        <w:t xml:space="preserve">Laboratórios variam. Algumas funções exigem ficar em pé, visão próxima, discriminação de cores, coordenação motora fina, pipetagem repetida, manuseio de amostras, levantamento, resposta a alarmes, turnos ou trabalho com material infeccioso.</w:t>
      </w:r>
    </w:p>
    <w:p>
      <w:pPr>
        <w:pStyle w:val="BodyText"/>
      </w:pPr>
      <w:r>
        <w:t xml:space="preserve">Não presuma que uma deficiência impede automaticamente trabalho seguro. Funções essenciais e adaptações razoáveis dependem do cargo, jurisdição e pessoa.</w:t>
      </w:r>
    </w:p>
    <w:p>
      <w:pPr>
        <w:pStyle w:val="BodyText"/>
      </w:pPr>
      <w:r>
        <w:t xml:space="preserve">Possíveis apoios:</w:t>
      </w:r>
    </w:p>
    <w:p>
      <w:pPr>
        <w:numPr>
          <w:ilvl w:val="0"/>
          <w:numId w:val="1027"/>
        </w:numPr>
        <w:pStyle w:val="Compact"/>
      </w:pPr>
      <w:r>
        <w:t xml:space="preserve">superfícies de trabalho ajustáveis;</w:t>
      </w:r>
    </w:p>
    <w:p>
      <w:pPr>
        <w:numPr>
          <w:ilvl w:val="0"/>
          <w:numId w:val="1027"/>
        </w:numPr>
        <w:pStyle w:val="Compact"/>
      </w:pPr>
      <w:r>
        <w:t xml:space="preserve">cadeiras ergonômicas ou opções sentado/em pé quando compatíveis;</w:t>
      </w:r>
    </w:p>
    <w:p>
      <w:pPr>
        <w:numPr>
          <w:ilvl w:val="0"/>
          <w:numId w:val="1027"/>
        </w:numPr>
        <w:pStyle w:val="Compact"/>
      </w:pPr>
      <w:r>
        <w:t xml:space="preserve">tapetes antifadiga;</w:t>
      </w:r>
    </w:p>
    <w:p>
      <w:pPr>
        <w:numPr>
          <w:ilvl w:val="0"/>
          <w:numId w:val="1027"/>
        </w:numPr>
        <w:pStyle w:val="Compact"/>
      </w:pPr>
      <w:r>
        <w:t xml:space="preserve">ampliação ou telas acessíveis;</w:t>
      </w:r>
    </w:p>
    <w:p>
      <w:pPr>
        <w:numPr>
          <w:ilvl w:val="0"/>
          <w:numId w:val="1027"/>
        </w:numPr>
        <w:pStyle w:val="Compact"/>
      </w:pPr>
      <w:r>
        <w:t xml:space="preserve">rótulos ampliados/de alto contraste;</w:t>
      </w:r>
    </w:p>
    <w:p>
      <w:pPr>
        <w:numPr>
          <w:ilvl w:val="0"/>
          <w:numId w:val="1027"/>
        </w:numPr>
        <w:pStyle w:val="Compact"/>
      </w:pPr>
      <w:r>
        <w:t xml:space="preserve">identificadores que não dependam apenas de cor quando o sistema permitir;</w:t>
      </w:r>
    </w:p>
    <w:p>
      <w:pPr>
        <w:numPr>
          <w:ilvl w:val="0"/>
          <w:numId w:val="1027"/>
        </w:numPr>
        <w:pStyle w:val="Compact"/>
      </w:pPr>
      <w:r>
        <w:t xml:space="preserve">sequências escritas;</w:t>
      </w:r>
    </w:p>
    <w:p>
      <w:pPr>
        <w:numPr>
          <w:ilvl w:val="0"/>
          <w:numId w:val="1027"/>
        </w:numPr>
        <w:pStyle w:val="Compact"/>
      </w:pPr>
      <w:r>
        <w:t xml:space="preserve">ferramentas de agenda acessíveis;</w:t>
      </w:r>
    </w:p>
    <w:p>
      <w:pPr>
        <w:numPr>
          <w:ilvl w:val="0"/>
          <w:numId w:val="1027"/>
        </w:numPr>
        <w:pStyle w:val="Compact"/>
      </w:pPr>
      <w:r>
        <w:t xml:space="preserve">voz para texto em rascunhos não regulados;</w:t>
      </w:r>
    </w:p>
    <w:p>
      <w:pPr>
        <w:numPr>
          <w:ilvl w:val="0"/>
          <w:numId w:val="1027"/>
        </w:numPr>
        <w:pStyle w:val="Compact"/>
      </w:pPr>
      <w:r>
        <w:t xml:space="preserve">dispositivos de entrada alternativos;</w:t>
      </w:r>
    </w:p>
    <w:p>
      <w:pPr>
        <w:numPr>
          <w:ilvl w:val="0"/>
          <w:numId w:val="1027"/>
        </w:numPr>
        <w:pStyle w:val="Compact"/>
      </w:pPr>
      <w:r>
        <w:t xml:space="preserve">pipetas ergonômicas;</w:t>
      </w:r>
    </w:p>
    <w:p>
      <w:pPr>
        <w:numPr>
          <w:ilvl w:val="0"/>
          <w:numId w:val="1027"/>
        </w:numPr>
        <w:pStyle w:val="Compact"/>
      </w:pPr>
      <w:r>
        <w:t xml:space="preserve">pausas estruturadas quando compatíveis com tempo das amostras e cobertura;</w:t>
      </w:r>
    </w:p>
    <w:p>
      <w:pPr>
        <w:numPr>
          <w:ilvl w:val="0"/>
          <w:numId w:val="1027"/>
        </w:numPr>
        <w:pStyle w:val="Compact"/>
      </w:pPr>
      <w:r>
        <w:t xml:space="preserve">alertas visuais/auditivos quando seguros e aprovados.</w:t>
      </w:r>
    </w:p>
    <w:p>
      <w:pPr>
        <w:pStyle w:val="FirstParagraph"/>
      </w:pPr>
      <w:r>
        <w:t xml:space="preserve">Uma adaptação não deve comprometer rastreabilidade, controle de infecção, competência exigida, integridade de QC ou segurança do paciente.</w:t>
      </w:r>
    </w:p>
    <w:bookmarkEnd w:id="87"/>
    <w:bookmarkStart w:id="88" w:name="estratégias-amigáveis-para-disgrafia"/>
    <w:p>
      <w:pPr>
        <w:pStyle w:val="Heading2"/>
      </w:pPr>
      <w:r>
        <w:t xml:space="preserve">Estratégias amigáveis para disgrafia</w:t>
      </w:r>
    </w:p>
    <w:p>
      <w:pPr>
        <w:pStyle w:val="FirstParagraph"/>
      </w:pPr>
      <w:r>
        <w:t xml:space="preserve">Quando a política permitir:</w:t>
      </w:r>
    </w:p>
    <w:p>
      <w:pPr>
        <w:numPr>
          <w:ilvl w:val="0"/>
          <w:numId w:val="1028"/>
        </w:numPr>
        <w:pStyle w:val="Compact"/>
      </w:pPr>
      <w:r>
        <w:t xml:space="preserve">use códigos de barras em vez de reescrever identificadores;</w:t>
      </w:r>
    </w:p>
    <w:p>
      <w:pPr>
        <w:numPr>
          <w:ilvl w:val="0"/>
          <w:numId w:val="1028"/>
        </w:numPr>
        <w:pStyle w:val="Compact"/>
      </w:pPr>
      <w:r>
        <w:t xml:space="preserve">use planilhas eletrônicas aprovadas;</w:t>
      </w:r>
    </w:p>
    <w:p>
      <w:pPr>
        <w:numPr>
          <w:ilvl w:val="0"/>
          <w:numId w:val="1028"/>
        </w:numPr>
        <w:pStyle w:val="Compact"/>
      </w:pPr>
      <w:r>
        <w:t xml:space="preserve">separe visualmente ID, teste, resultado e unidade;</w:t>
      </w:r>
    </w:p>
    <w:p>
      <w:pPr>
        <w:numPr>
          <w:ilvl w:val="0"/>
          <w:numId w:val="1028"/>
        </w:numPr>
        <w:pStyle w:val="Compact"/>
      </w:pPr>
      <w:r>
        <w:t xml:space="preserve">use checklists em preparações de várias etapas;</w:t>
      </w:r>
    </w:p>
    <w:p>
      <w:pPr>
        <w:numPr>
          <w:ilvl w:val="0"/>
          <w:numId w:val="1028"/>
        </w:numPr>
        <w:pStyle w:val="Compact"/>
      </w:pPr>
      <w:r>
        <w:t xml:space="preserve">confira duas vezes identificadores críticos e valores decimais;</w:t>
      </w:r>
    </w:p>
    <w:p>
      <w:pPr>
        <w:numPr>
          <w:ilvl w:val="0"/>
          <w:numId w:val="1028"/>
        </w:numPr>
        <w:pStyle w:val="Compact"/>
      </w:pPr>
      <w:r>
        <w:t xml:space="preserve">use modelos para notas rotineiras não clínicas;</w:t>
      </w:r>
    </w:p>
    <w:p>
      <w:pPr>
        <w:numPr>
          <w:ilvl w:val="0"/>
          <w:numId w:val="1028"/>
        </w:numPr>
        <w:pStyle w:val="Compact"/>
      </w:pPr>
      <w:r>
        <w:t xml:space="preserve">use voz para texto somente para rascunhos permitidos e verifique manualmente números e identificadores;</w:t>
      </w:r>
    </w:p>
    <w:p>
      <w:pPr>
        <w:numPr>
          <w:ilvl w:val="0"/>
          <w:numId w:val="1028"/>
        </w:numPr>
        <w:pStyle w:val="Compact"/>
      </w:pPr>
      <w:r>
        <w:t xml:space="preserve">mantenha notas pessoais de estudo separadas de registros regulados;</w:t>
      </w:r>
    </w:p>
    <w:p>
      <w:pPr>
        <w:numPr>
          <w:ilvl w:val="0"/>
          <w:numId w:val="1028"/>
        </w:numPr>
        <w:pStyle w:val="Compact"/>
      </w:pPr>
      <w:r>
        <w:t xml:space="preserve">use alarmes/temporizadores com rótulos claros;</w:t>
      </w:r>
    </w:p>
    <w:p>
      <w:pPr>
        <w:numPr>
          <w:ilvl w:val="0"/>
          <w:numId w:val="1028"/>
        </w:numPr>
        <w:pStyle w:val="Compact"/>
      </w:pPr>
      <w:r>
        <w:t xml:space="preserve">não dependa da memória para procedimentos de correção.</w:t>
      </w:r>
    </w:p>
    <w:p>
      <w:pPr>
        <w:pStyle w:val="FirstParagraph"/>
      </w:pPr>
      <w:r>
        <w:t xml:space="preserve">Ferramentas de acessibilidade nunca devem contornar trilhas de auditoria, autenticação, assinaturas exigidas ou controles de segurança.</w:t>
      </w:r>
    </w:p>
    <w:bookmarkEnd w:id="88"/>
    <w:bookmarkStart w:id="89" w:name="portfólio-inicial-seguro"/>
    <w:p>
      <w:pPr>
        <w:pStyle w:val="Heading2"/>
      </w:pPr>
      <w:r>
        <w:t xml:space="preserve">Portfólio inicial seguro</w:t>
      </w:r>
    </w:p>
    <w:p>
      <w:pPr>
        <w:pStyle w:val="FirstParagraph"/>
      </w:pPr>
      <w:r>
        <w:t xml:space="preserve">Um portfólio de laboratório clínico não deve conter informação real de pacientes, procedimentos confidenciais do empregador nem alegações fabricadas de competência clínica.</w:t>
      </w:r>
    </w:p>
    <w:p>
      <w:pPr>
        <w:pStyle w:val="BodyText"/>
      </w:pPr>
      <w:r>
        <w:t xml:space="preserve">Exemplos seguros:</w:t>
      </w:r>
    </w:p>
    <w:p>
      <w:pPr>
        <w:numPr>
          <w:ilvl w:val="0"/>
          <w:numId w:val="1029"/>
        </w:numPr>
        <w:pStyle w:val="Compact"/>
      </w:pPr>
      <w:r>
        <w:t xml:space="preserve">checklist fictício de recebimento de amostras;</w:t>
      </w:r>
    </w:p>
    <w:p>
      <w:pPr>
        <w:numPr>
          <w:ilvl w:val="0"/>
          <w:numId w:val="1029"/>
        </w:numPr>
        <w:pStyle w:val="Compact"/>
      </w:pPr>
      <w:r>
        <w:t xml:space="preserve">fluxo simulado de registro com identificadores inventados;</w:t>
      </w:r>
    </w:p>
    <w:p>
      <w:pPr>
        <w:numPr>
          <w:ilvl w:val="0"/>
          <w:numId w:val="1029"/>
        </w:numPr>
        <w:pStyle w:val="Compact"/>
      </w:pPr>
      <w:r>
        <w:t xml:space="preserve">planilha com valores fictícios de QC e gráfico de controle básico;</w:t>
      </w:r>
    </w:p>
    <w:p>
      <w:pPr>
        <w:numPr>
          <w:ilvl w:val="0"/>
          <w:numId w:val="1029"/>
        </w:numPr>
        <w:pStyle w:val="Compact"/>
      </w:pPr>
      <w:r>
        <w:t xml:space="preserve">registro simulado de temperatura;</w:t>
      </w:r>
    </w:p>
    <w:p>
      <w:pPr>
        <w:numPr>
          <w:ilvl w:val="0"/>
          <w:numId w:val="1029"/>
        </w:numPr>
        <w:pStyle w:val="Compact"/>
      </w:pPr>
      <w:r>
        <w:t xml:space="preserve">relatório fictício de ação corretiva por falha de temperatura de refrigerador;</w:t>
      </w:r>
    </w:p>
    <w:p>
      <w:pPr>
        <w:numPr>
          <w:ilvl w:val="0"/>
          <w:numId w:val="1029"/>
        </w:numPr>
        <w:pStyle w:val="Compact"/>
      </w:pPr>
      <w:r>
        <w:t xml:space="preserve">inventário fictício de reagentes com lote e validade;</w:t>
      </w:r>
    </w:p>
    <w:p>
      <w:pPr>
        <w:numPr>
          <w:ilvl w:val="0"/>
          <w:numId w:val="1029"/>
        </w:numPr>
        <w:pStyle w:val="Compact"/>
      </w:pPr>
      <w:r>
        <w:t xml:space="preserve">explicação escrita de erros pré-analíticos, analíticos e pós-analíticos;</w:t>
      </w:r>
    </w:p>
    <w:p>
      <w:pPr>
        <w:numPr>
          <w:ilvl w:val="0"/>
          <w:numId w:val="1029"/>
        </w:numPr>
        <w:pStyle w:val="Compact"/>
      </w:pPr>
      <w:r>
        <w:t xml:space="preserve">checklist simulado de contingência e reconciliação;</w:t>
      </w:r>
    </w:p>
    <w:p>
      <w:pPr>
        <w:numPr>
          <w:ilvl w:val="0"/>
          <w:numId w:val="1029"/>
        </w:numPr>
        <w:pStyle w:val="Compact"/>
      </w:pPr>
      <w:r>
        <w:t xml:space="preserve">pôster de estudo sobre patógenos transmitidos pelo sangue;</w:t>
      </w:r>
    </w:p>
    <w:p>
      <w:pPr>
        <w:numPr>
          <w:ilvl w:val="0"/>
          <w:numId w:val="1029"/>
        </w:numPr>
        <w:pStyle w:val="Compact"/>
      </w:pPr>
      <w:r>
        <w:t xml:space="preserve">estudo de caso fictício de integridade de dados.</w:t>
      </w:r>
    </w:p>
    <w:p>
      <w:pPr>
        <w:pStyle w:val="FirstParagraph"/>
      </w:pPr>
      <w:r>
        <w:t xml:space="preserve">Identifique claramente toda simulação. Nunca apresente exercício acadêmico como se fosse teste real de paciente.</w:t>
      </w:r>
    </w:p>
    <w:bookmarkEnd w:id="89"/>
    <w:bookmarkStart w:id="90" w:name="linguagem-para-currículo"/>
    <w:p>
      <w:pPr>
        <w:pStyle w:val="Heading2"/>
      </w:pPr>
      <w:r>
        <w:t xml:space="preserve">Linguagem para currículo</w:t>
      </w:r>
    </w:p>
    <w:p>
      <w:pPr>
        <w:pStyle w:val="FirstParagraph"/>
      </w:pPr>
      <w:r>
        <w:t xml:space="preserve">Use frases precisas e verdadeiras. Exemplos quando sustentados por experiência real:</w:t>
      </w:r>
    </w:p>
    <w:p>
      <w:pPr>
        <w:numPr>
          <w:ilvl w:val="0"/>
          <w:numId w:val="1030"/>
        </w:numPr>
        <w:pStyle w:val="Compact"/>
      </w:pPr>
      <w:r>
        <w:t xml:space="preserve">Segui procedimentos laboratoriais documentados e mantive registros precisos.</w:t>
      </w:r>
    </w:p>
    <w:p>
      <w:pPr>
        <w:numPr>
          <w:ilvl w:val="0"/>
          <w:numId w:val="1030"/>
        </w:numPr>
        <w:pStyle w:val="Compact"/>
      </w:pPr>
      <w:r>
        <w:t xml:space="preserve">Apoiei recebimento, identificação, processamento e rastreabilidade de amostras.</w:t>
      </w:r>
    </w:p>
    <w:p>
      <w:pPr>
        <w:numPr>
          <w:ilvl w:val="0"/>
          <w:numId w:val="1030"/>
        </w:numPr>
        <w:pStyle w:val="Compact"/>
      </w:pPr>
      <w:r>
        <w:t xml:space="preserve">Executei testes rotineiros dentro da competência e supervisão atribuídas.</w:t>
      </w:r>
    </w:p>
    <w:p>
      <w:pPr>
        <w:numPr>
          <w:ilvl w:val="0"/>
          <w:numId w:val="1030"/>
        </w:numPr>
        <w:pStyle w:val="Compact"/>
      </w:pPr>
      <w:r>
        <w:t xml:space="preserve">Documentei controle de qualidade e informações de equipamentos conforme procedimento.</w:t>
      </w:r>
    </w:p>
    <w:p>
      <w:pPr>
        <w:numPr>
          <w:ilvl w:val="0"/>
          <w:numId w:val="1030"/>
        </w:numPr>
        <w:pStyle w:val="Compact"/>
      </w:pPr>
      <w:r>
        <w:t xml:space="preserve">Usei sistemas de informação e códigos de barras protegendo informação confidencial.</w:t>
      </w:r>
    </w:p>
    <w:p>
      <w:pPr>
        <w:numPr>
          <w:ilvl w:val="0"/>
          <w:numId w:val="1030"/>
        </w:numPr>
        <w:pStyle w:val="Compact"/>
      </w:pPr>
      <w:r>
        <w:t xml:space="preserve">Identifiquei problemas de amostras, instrumentos ou QC e os escalei pelo processo aprovado.</w:t>
      </w:r>
    </w:p>
    <w:p>
      <w:pPr>
        <w:numPr>
          <w:ilvl w:val="0"/>
          <w:numId w:val="1030"/>
        </w:numPr>
        <w:pStyle w:val="Compact"/>
      </w:pPr>
      <w:r>
        <w:t xml:space="preserve">Cumpri requisitos de EPI, perfurocortantes, patógenos transmitidos pelo sangue e segurança química.</w:t>
      </w:r>
    </w:p>
    <w:p>
      <w:pPr>
        <w:pStyle w:val="FirstParagraph"/>
      </w:pPr>
      <w:r>
        <w:t xml:space="preserve">Não declare certificação, licença estadual, autoridade profissional de bacteriologia, competência em banco de sangue, experiência em microbiologia, contagem de flebotomias, domínio instrumental ou autoridade independente de liberação que não possua.</w:t>
      </w:r>
    </w:p>
    <w:bookmarkEnd w:id="90"/>
    <w:bookmarkStart w:id="91" w:name="preparação-para-entrevista"/>
    <w:p>
      <w:pPr>
        <w:pStyle w:val="Heading2"/>
      </w:pPr>
      <w:r>
        <w:t xml:space="preserve">Preparação para entrevista</w:t>
      </w:r>
    </w:p>
    <w:p>
      <w:pPr>
        <w:pStyle w:val="FirstParagraph"/>
      </w:pPr>
      <w:r>
        <w:t xml:space="preserve">Prepare-se para explicar:</w:t>
      </w:r>
    </w:p>
    <w:p>
      <w:pPr>
        <w:numPr>
          <w:ilvl w:val="0"/>
          <w:numId w:val="1031"/>
        </w:numPr>
        <w:pStyle w:val="Compact"/>
      </w:pPr>
      <w:r>
        <w:t xml:space="preserve">como evita erros de identificação;</w:t>
      </w:r>
    </w:p>
    <w:p>
      <w:pPr>
        <w:numPr>
          <w:ilvl w:val="0"/>
          <w:numId w:val="1031"/>
        </w:numPr>
        <w:pStyle w:val="Compact"/>
      </w:pPr>
      <w:r>
        <w:t xml:space="preserve">o que faz quando QC falha;</w:t>
      </w:r>
    </w:p>
    <w:p>
      <w:pPr>
        <w:numPr>
          <w:ilvl w:val="0"/>
          <w:numId w:val="1031"/>
        </w:numPr>
        <w:pStyle w:val="Compact"/>
      </w:pPr>
      <w:r>
        <w:t xml:space="preserve">por que erros pré-analíticos importam;</w:t>
      </w:r>
    </w:p>
    <w:p>
      <w:pPr>
        <w:numPr>
          <w:ilvl w:val="0"/>
          <w:numId w:val="1031"/>
        </w:numPr>
        <w:pStyle w:val="Compact"/>
      </w:pPr>
      <w:r>
        <w:t xml:space="preserve">como lida com amostra mal rotulada ou com vazamento;</w:t>
      </w:r>
    </w:p>
    <w:p>
      <w:pPr>
        <w:numPr>
          <w:ilvl w:val="0"/>
          <w:numId w:val="1031"/>
        </w:numPr>
        <w:pStyle w:val="Compact"/>
      </w:pPr>
      <w:r>
        <w:t xml:space="preserve">como documenta correção;</w:t>
      </w:r>
    </w:p>
    <w:p>
      <w:pPr>
        <w:numPr>
          <w:ilvl w:val="0"/>
          <w:numId w:val="1031"/>
        </w:numPr>
        <w:pStyle w:val="Compact"/>
      </w:pPr>
      <w:r>
        <w:t xml:space="preserve">o que faz após acidente com agulha ou respingo;</w:t>
      </w:r>
    </w:p>
    <w:p>
      <w:pPr>
        <w:numPr>
          <w:ilvl w:val="0"/>
          <w:numId w:val="1031"/>
        </w:numPr>
        <w:pStyle w:val="Compact"/>
      </w:pPr>
      <w:r>
        <w:t xml:space="preserve">por que perfurocortantes contaminados exigem controles especiais;</w:t>
      </w:r>
    </w:p>
    <w:p>
      <w:pPr>
        <w:numPr>
          <w:ilvl w:val="0"/>
          <w:numId w:val="1031"/>
        </w:numPr>
        <w:pStyle w:val="Compact"/>
      </w:pPr>
      <w:r>
        <w:t xml:space="preserve">o que faz se um resultado não combina com a condição da amostra;</w:t>
      </w:r>
    </w:p>
    <w:p>
      <w:pPr>
        <w:numPr>
          <w:ilvl w:val="0"/>
          <w:numId w:val="1031"/>
        </w:numPr>
        <w:pStyle w:val="Compact"/>
      </w:pPr>
      <w:r>
        <w:t xml:space="preserve">por que não repetiria teste até obter número “melhor”;</w:t>
      </w:r>
    </w:p>
    <w:p>
      <w:pPr>
        <w:numPr>
          <w:ilvl w:val="0"/>
          <w:numId w:val="1031"/>
        </w:numPr>
        <w:pStyle w:val="Compact"/>
      </w:pPr>
      <w:r>
        <w:t xml:space="preserve">como protege informação de pacientes;</w:t>
      </w:r>
    </w:p>
    <w:p>
      <w:pPr>
        <w:numPr>
          <w:ilvl w:val="0"/>
          <w:numId w:val="1031"/>
        </w:numPr>
        <w:pStyle w:val="Compact"/>
      </w:pPr>
      <w:r>
        <w:t xml:space="preserve">o que faz se pedirem para usar login de outra pessoa;</w:t>
      </w:r>
    </w:p>
    <w:p>
      <w:pPr>
        <w:numPr>
          <w:ilvl w:val="0"/>
          <w:numId w:val="1031"/>
        </w:numPr>
        <w:pStyle w:val="Compact"/>
      </w:pPr>
      <w:r>
        <w:t xml:space="preserve">que tarefas escalaria em vez de executar fora da competência;</w:t>
      </w:r>
    </w:p>
    <w:p>
      <w:pPr>
        <w:numPr>
          <w:ilvl w:val="0"/>
          <w:numId w:val="1031"/>
        </w:numPr>
        <w:pStyle w:val="Compact"/>
      </w:pPr>
      <w:r>
        <w:t xml:space="preserve">como usaria IA com segurança em laboratório clínico.</w:t>
      </w:r>
    </w:p>
    <w:p>
      <w:pPr>
        <w:pStyle w:val="FirstParagraph"/>
      </w:pPr>
      <w:r>
        <w:t xml:space="preserve">Uma resposta forte demonstra precisão, segurança, honestidade, documentação e escalonamento — não confiança sem limites.</w:t>
      </w:r>
    </w:p>
    <w:bookmarkEnd w:id="91"/>
    <w:bookmarkStart w:id="98" w:name="plano-de-ação-em-seis-passos"/>
    <w:p>
      <w:pPr>
        <w:pStyle w:val="Heading2"/>
      </w:pPr>
      <w:r>
        <w:t xml:space="preserve">Plano de ação em seis passos</w:t>
      </w:r>
    </w:p>
    <w:p>
      <w:pPr>
        <w:pStyle w:val="FirstParagraph"/>
      </w:pPr>
      <w:r>
        <w:t xml:space="preserve">Esta seção corrige intencionalmente o defeito herdado do Guia 100, cujo QA registrava</w:t>
      </w:r>
      <w:r>
        <w:t xml:space="preserve"> </w:t>
      </w:r>
      <w:r>
        <w:rPr>
          <w:bCs/>
          <w:b/>
        </w:rPr>
        <w:t xml:space="preserve">Action Plan 1 To 6: False</w:t>
      </w:r>
      <w:r>
        <w:t xml:space="preserve">.</w:t>
      </w:r>
    </w:p>
    <w:bookmarkStart w:id="92" w:name="X54152b89e452600a523eac85c0428f6eef19f62"/>
    <w:p>
      <w:pPr>
        <w:pStyle w:val="Heading3"/>
      </w:pPr>
      <w:r>
        <w:t xml:space="preserve">Passo 1 — Escolher a função e a jurisdição reais</w:t>
      </w:r>
    </w:p>
    <w:p>
      <w:pPr>
        <w:pStyle w:val="FirstParagraph"/>
      </w:pPr>
      <w:r>
        <w:t xml:space="preserve">Defina se pretende MLT/técnico de laboratório clínico nos EUA, MLT no Canadá, MLA no Canadá, trabalho técnico CUOC 32120 na Colômbia, auxiliar CUOC 53294 ou outra rota nacional. Não compare programas até entender o contexto legal e do empregador.</w:t>
      </w:r>
    </w:p>
    <w:bookmarkEnd w:id="92"/>
    <w:bookmarkStart w:id="93" w:name="X1fb529d94b8e17a0c35ad989175c516d3e6d810"/>
    <w:p>
      <w:pPr>
        <w:pStyle w:val="Heading3"/>
      </w:pPr>
      <w:r>
        <w:t xml:space="preserve">Passo 2 — Reunir 10 descrições reais de vagas</w:t>
      </w:r>
    </w:p>
    <w:p>
      <w:pPr>
        <w:pStyle w:val="FirstParagraph"/>
      </w:pPr>
      <w:r>
        <w:t xml:space="preserve">Registre:</w:t>
      </w:r>
    </w:p>
    <w:p>
      <w:pPr>
        <w:numPr>
          <w:ilvl w:val="0"/>
          <w:numId w:val="1032"/>
        </w:numPr>
        <w:pStyle w:val="Compact"/>
      </w:pPr>
      <w:r>
        <w:t xml:space="preserve">educação;</w:t>
      </w:r>
    </w:p>
    <w:p>
      <w:pPr>
        <w:numPr>
          <w:ilvl w:val="0"/>
          <w:numId w:val="1032"/>
        </w:numPr>
        <w:pStyle w:val="Compact"/>
      </w:pPr>
      <w:r>
        <w:t xml:space="preserve">credenciamento;</w:t>
      </w:r>
    </w:p>
    <w:p>
      <w:pPr>
        <w:numPr>
          <w:ilvl w:val="0"/>
          <w:numId w:val="1032"/>
        </w:numPr>
        <w:pStyle w:val="Compact"/>
      </w:pPr>
      <w:r>
        <w:t xml:space="preserve">certificação;</w:t>
      </w:r>
    </w:p>
    <w:p>
      <w:pPr>
        <w:numPr>
          <w:ilvl w:val="0"/>
          <w:numId w:val="1032"/>
        </w:numPr>
        <w:pStyle w:val="Compact"/>
      </w:pPr>
      <w:r>
        <w:t xml:space="preserve">licença/registro;</w:t>
      </w:r>
    </w:p>
    <w:p>
      <w:pPr>
        <w:numPr>
          <w:ilvl w:val="0"/>
          <w:numId w:val="1032"/>
        </w:numPr>
        <w:pStyle w:val="Compact"/>
      </w:pPr>
      <w:r>
        <w:t xml:space="preserve">experiência clínica;</w:t>
      </w:r>
    </w:p>
    <w:p>
      <w:pPr>
        <w:numPr>
          <w:ilvl w:val="0"/>
          <w:numId w:val="1032"/>
        </w:numPr>
        <w:pStyle w:val="Compact"/>
      </w:pPr>
      <w:r>
        <w:t xml:space="preserve">turno;</w:t>
      </w:r>
    </w:p>
    <w:p>
      <w:pPr>
        <w:numPr>
          <w:ilvl w:val="0"/>
          <w:numId w:val="1032"/>
        </w:numPr>
        <w:pStyle w:val="Compact"/>
      </w:pPr>
      <w:r>
        <w:t xml:space="preserve">expectativas de coleta de amostras;</w:t>
      </w:r>
    </w:p>
    <w:p>
      <w:pPr>
        <w:numPr>
          <w:ilvl w:val="0"/>
          <w:numId w:val="1032"/>
        </w:numPr>
        <w:pStyle w:val="Compact"/>
      </w:pPr>
      <w:r>
        <w:t xml:space="preserve">disciplinas;</w:t>
      </w:r>
    </w:p>
    <w:p>
      <w:pPr>
        <w:numPr>
          <w:ilvl w:val="0"/>
          <w:numId w:val="1032"/>
        </w:numPr>
        <w:pStyle w:val="Compact"/>
      </w:pPr>
      <w:r>
        <w:t xml:space="preserve">exigências físicas;</w:t>
      </w:r>
    </w:p>
    <w:p>
      <w:pPr>
        <w:numPr>
          <w:ilvl w:val="0"/>
          <w:numId w:val="1032"/>
        </w:numPr>
        <w:pStyle w:val="Compact"/>
      </w:pPr>
      <w:r>
        <w:t xml:space="preserve">salário publicado;</w:t>
      </w:r>
    </w:p>
    <w:p>
      <w:pPr>
        <w:numPr>
          <w:ilvl w:val="0"/>
          <w:numId w:val="1032"/>
        </w:numPr>
        <w:pStyle w:val="Compact"/>
      </w:pPr>
      <w:r>
        <w:t xml:space="preserve">software/instrumentos;</w:t>
      </w:r>
    </w:p>
    <w:p>
      <w:pPr>
        <w:numPr>
          <w:ilvl w:val="0"/>
          <w:numId w:val="1032"/>
        </w:numPr>
        <w:pStyle w:val="Compact"/>
      </w:pPr>
      <w:r>
        <w:t xml:space="preserve">linguagem de supervisão e liberação de resultados.</w:t>
      </w:r>
    </w:p>
    <w:bookmarkEnd w:id="93"/>
    <w:bookmarkStart w:id="94" w:name="X00f9692a440965fd7285134d4822e2dd8954309"/>
    <w:p>
      <w:pPr>
        <w:pStyle w:val="Heading3"/>
      </w:pPr>
      <w:r>
        <w:t xml:space="preserve">Passo 3 — Verificar a rota de credenciais antes de pagar</w:t>
      </w:r>
    </w:p>
    <w:p>
      <w:pPr>
        <w:pStyle w:val="FirstParagraph"/>
      </w:pPr>
      <w:r>
        <w:t xml:space="preserve">Use fontes oficiais aplicáveis: regulador estadual, informações CLIA/CMS, diretório NAACLS/educação reconhecida, certificadora, regulador provincial canadense/Job Bank/CSMLS, autoridade de saúde/educação da Colômbia, SENA ou outra autoridade nacional competente.</w:t>
      </w:r>
    </w:p>
    <w:p>
      <w:pPr>
        <w:pStyle w:val="BodyText"/>
      </w:pPr>
      <w:r>
        <w:t xml:space="preserve">Escreva a sequência exata. Não dependa apenas de publicidade da escola.</w:t>
      </w:r>
    </w:p>
    <w:bookmarkEnd w:id="94"/>
    <w:bookmarkStart w:id="95" w:name="passo-4--fechar-as-três-maiores-lacunas"/>
    <w:p>
      <w:pPr>
        <w:pStyle w:val="Heading3"/>
      </w:pPr>
      <w:r>
        <w:t xml:space="preserve">Passo 4 — Fechar as três maiores lacunas</w:t>
      </w:r>
    </w:p>
    <w:p>
      <w:pPr>
        <w:pStyle w:val="FirstParagraph"/>
      </w:pPr>
      <w:r>
        <w:t xml:space="preserve">Escolha apenas as lacunas prioritárias, por exemplo química, matemática/diluições e manuseio de amostras. Use recursos gratuitos ou baratos, pré-requisitos de community college, treinamento público ou aprendizagem patrocinada antes de comprar certificados adicionais.</w:t>
      </w:r>
    </w:p>
    <w:bookmarkEnd w:id="95"/>
    <w:bookmarkStart w:id="96" w:name="passo-5--criar-evidência-supervisionada"/>
    <w:p>
      <w:pPr>
        <w:pStyle w:val="Heading3"/>
      </w:pPr>
      <w:r>
        <w:t xml:space="preserve">Passo 5 — Criar evidência supervisionada</w:t>
      </w:r>
    </w:p>
    <w:p>
      <w:pPr>
        <w:pStyle w:val="FirstParagraph"/>
      </w:pPr>
      <w:r>
        <w:t xml:space="preserve">Conclua programa reconhecido, prática de laboratório, estágio clínico, aprendizagem aprovada, treinamento do empregador ou outra experiência supervisionada exigida. Guarde apenas evidência não confidencial que tenha direito de manter, como cursos, certificações e portfólio fictício.</w:t>
      </w:r>
    </w:p>
    <w:bookmarkEnd w:id="96"/>
    <w:bookmarkStart w:id="97" w:name="passo-6--candidatar-se-revisar-e-avançar"/>
    <w:p>
      <w:pPr>
        <w:pStyle w:val="Heading3"/>
      </w:pPr>
      <w:r>
        <w:t xml:space="preserve">Passo 6 — Candidatar-se, revisar e avançar</w:t>
      </w:r>
    </w:p>
    <w:p>
      <w:pPr>
        <w:pStyle w:val="FirstParagraph"/>
      </w:pPr>
      <w:r>
        <w:t xml:space="preserve">Candidate-se a funções compatíveis com seu escopo verificado. A cada cinco a dez candidaturas, compare requisitos recorrentes com suas evidências. Se a mesma lacuna legítima aparecer repetidamente, trate essa lacuna em vez de acumular credenciais não relacionadas. Depois de empregado, mantenha competência, educação continuada, segurança e credenciais atualizadas.</w:t>
      </w:r>
    </w:p>
    <w:bookmarkEnd w:id="97"/>
    <w:bookmarkEnd w:id="98"/>
    <w:bookmarkStart w:id="99" w:name="antes-de-aceitar-um-emprego"/>
    <w:p>
      <w:pPr>
        <w:pStyle w:val="Heading2"/>
      </w:pPr>
      <w:r>
        <w:t xml:space="preserve">Antes de aceitar um emprego</w:t>
      </w:r>
    </w:p>
    <w:p>
      <w:pPr>
        <w:pStyle w:val="FirstParagraph"/>
      </w:pPr>
      <w:r>
        <w:t xml:space="preserve">Pergunte sobre:</w:t>
      </w:r>
    </w:p>
    <w:p>
      <w:pPr>
        <w:numPr>
          <w:ilvl w:val="0"/>
          <w:numId w:val="1033"/>
        </w:numPr>
        <w:pStyle w:val="Compact"/>
      </w:pPr>
      <w:r>
        <w:t xml:space="preserve">título exato e escopo atribuído;</w:t>
      </w:r>
    </w:p>
    <w:p>
      <w:pPr>
        <w:numPr>
          <w:ilvl w:val="0"/>
          <w:numId w:val="1033"/>
        </w:numPr>
        <w:pStyle w:val="Compact"/>
      </w:pPr>
      <w:r>
        <w:t xml:space="preserve">departamento e menu de testes;</w:t>
      </w:r>
    </w:p>
    <w:p>
      <w:pPr>
        <w:numPr>
          <w:ilvl w:val="0"/>
          <w:numId w:val="1033"/>
        </w:numPr>
        <w:pStyle w:val="Compact"/>
      </w:pPr>
      <w:r>
        <w:t xml:space="preserve">trabalho</w:t>
      </w:r>
      <w:r>
        <w:t xml:space="preserve"> </w:t>
      </w:r>
      <w:r>
        <w:rPr>
          <w:rStyle w:val="VerbatimChar"/>
        </w:rPr>
        <w:t xml:space="preserve">waived</w:t>
      </w:r>
      <w:r>
        <w:t xml:space="preserve">, moderado ou de alta complexidade quando aplicável;</w:t>
      </w:r>
    </w:p>
    <w:p>
      <w:pPr>
        <w:numPr>
          <w:ilvl w:val="0"/>
          <w:numId w:val="1033"/>
        </w:numPr>
        <w:pStyle w:val="Compact"/>
      </w:pPr>
      <w:r>
        <w:t xml:space="preserve">supervisão;</w:t>
      </w:r>
    </w:p>
    <w:p>
      <w:pPr>
        <w:numPr>
          <w:ilvl w:val="0"/>
          <w:numId w:val="1033"/>
        </w:numPr>
        <w:pStyle w:val="Compact"/>
      </w:pPr>
      <w:r>
        <w:t xml:space="preserve">autoridade de revisão/liberação;</w:t>
      </w:r>
    </w:p>
    <w:p>
      <w:pPr>
        <w:numPr>
          <w:ilvl w:val="0"/>
          <w:numId w:val="1033"/>
        </w:numPr>
        <w:pStyle w:val="Compact"/>
      </w:pPr>
      <w:r>
        <w:t xml:space="preserve">expectativa de flebotomia;</w:t>
      </w:r>
    </w:p>
    <w:p>
      <w:pPr>
        <w:numPr>
          <w:ilvl w:val="0"/>
          <w:numId w:val="1033"/>
        </w:numPr>
        <w:pStyle w:val="Compact"/>
      </w:pPr>
      <w:r>
        <w:t xml:space="preserve">noites, fins de semana e feriados;</w:t>
      </w:r>
    </w:p>
    <w:p>
      <w:pPr>
        <w:numPr>
          <w:ilvl w:val="0"/>
          <w:numId w:val="1033"/>
        </w:numPr>
        <w:pStyle w:val="Compact"/>
      </w:pPr>
      <w:r>
        <w:t xml:space="preserve">orientação e avaliação de competência;</w:t>
      </w:r>
    </w:p>
    <w:p>
      <w:pPr>
        <w:numPr>
          <w:ilvl w:val="0"/>
          <w:numId w:val="1033"/>
        </w:numPr>
        <w:pStyle w:val="Compact"/>
      </w:pPr>
      <w:r>
        <w:t xml:space="preserve">prazos de certificação/licença;</w:t>
      </w:r>
    </w:p>
    <w:p>
      <w:pPr>
        <w:numPr>
          <w:ilvl w:val="0"/>
          <w:numId w:val="1033"/>
        </w:numPr>
        <w:pStyle w:val="Compact"/>
      </w:pPr>
      <w:r>
        <w:t xml:space="preserve">treinamento antes de testes independentes;</w:t>
      </w:r>
    </w:p>
    <w:p>
      <w:pPr>
        <w:numPr>
          <w:ilvl w:val="0"/>
          <w:numId w:val="1033"/>
        </w:numPr>
        <w:pStyle w:val="Compact"/>
      </w:pPr>
      <w:r>
        <w:t xml:space="preserve">programa de exposição e perfurocortantes;</w:t>
      </w:r>
    </w:p>
    <w:p>
      <w:pPr>
        <w:numPr>
          <w:ilvl w:val="0"/>
          <w:numId w:val="1033"/>
        </w:numPr>
        <w:pStyle w:val="Compact"/>
      </w:pPr>
      <w:r>
        <w:t xml:space="preserve">segurança química;</w:t>
      </w:r>
    </w:p>
    <w:p>
      <w:pPr>
        <w:numPr>
          <w:ilvl w:val="0"/>
          <w:numId w:val="1033"/>
        </w:numPr>
        <w:pStyle w:val="Compact"/>
      </w:pPr>
      <w:r>
        <w:t xml:space="preserve">EPI;</w:t>
      </w:r>
    </w:p>
    <w:p>
      <w:pPr>
        <w:numPr>
          <w:ilvl w:val="0"/>
          <w:numId w:val="1033"/>
        </w:numPr>
        <w:pStyle w:val="Compact"/>
      </w:pPr>
      <w:r>
        <w:t xml:space="preserve">exigências ergonômicas;</w:t>
      </w:r>
    </w:p>
    <w:p>
      <w:pPr>
        <w:numPr>
          <w:ilvl w:val="0"/>
          <w:numId w:val="1033"/>
        </w:numPr>
        <w:pStyle w:val="Compact"/>
      </w:pPr>
      <w:r>
        <w:t xml:space="preserve">equipe e carga de trabalho;</w:t>
      </w:r>
    </w:p>
    <w:p>
      <w:pPr>
        <w:numPr>
          <w:ilvl w:val="0"/>
          <w:numId w:val="1033"/>
        </w:numPr>
        <w:pStyle w:val="Compact"/>
      </w:pPr>
      <w:r>
        <w:t xml:space="preserve">LIS e contingência;</w:t>
      </w:r>
    </w:p>
    <w:p>
      <w:pPr>
        <w:numPr>
          <w:ilvl w:val="0"/>
          <w:numId w:val="1033"/>
        </w:numPr>
        <w:pStyle w:val="Compact"/>
      </w:pPr>
      <w:r>
        <w:t xml:space="preserve">tuition assistance;</w:t>
      </w:r>
    </w:p>
    <w:p>
      <w:pPr>
        <w:numPr>
          <w:ilvl w:val="0"/>
          <w:numId w:val="1033"/>
        </w:numPr>
        <w:pStyle w:val="Compact"/>
      </w:pPr>
      <w:r>
        <w:t xml:space="preserve">reembolso de certificação;</w:t>
      </w:r>
    </w:p>
    <w:p>
      <w:pPr>
        <w:numPr>
          <w:ilvl w:val="0"/>
          <w:numId w:val="1033"/>
        </w:numPr>
        <w:pStyle w:val="Compact"/>
      </w:pPr>
      <w:r>
        <w:t xml:space="preserve">caminho para tecnólogo/cientista ou especialidades.</w:t>
      </w:r>
    </w:p>
    <w:p>
      <w:pPr>
        <w:pStyle w:val="FirstParagraph"/>
      </w:pPr>
      <w:r>
        <w:t xml:space="preserve">Um salário inicial menor pode valer a pena se o cargo oferecer treinamento clínico supervisionado sólido, apoio reconhecido à certificação e caminho real de progressão. Um salário maior não justifica equipe insuficiente, autoridade confusa ou pressão para ignorar controles de qualidade.</w:t>
      </w:r>
    </w:p>
    <w:bookmarkEnd w:id="99"/>
    <w:bookmarkStart w:id="136" w:name="fontes-e-links-de-verificação"/>
    <w:p>
      <w:pPr>
        <w:pStyle w:val="Heading2"/>
      </w:pPr>
      <w:r>
        <w:t xml:space="preserve">Fontes e links de verificação</w:t>
      </w:r>
    </w:p>
    <w:bookmarkStart w:id="103" w:name="Xa45e6d4fe723acc65921eb5df7bba6cbfbde1ef"/>
    <w:p>
      <w:pPr>
        <w:pStyle w:val="Heading3"/>
      </w:pPr>
      <w:r>
        <w:t xml:space="preserve">Estados Unidos — ocupação e mercado de trabalho</w:t>
      </w:r>
    </w:p>
    <w:p>
      <w:pPr>
        <w:numPr>
          <w:ilvl w:val="0"/>
          <w:numId w:val="1034"/>
        </w:numPr>
        <w:pStyle w:val="Compact"/>
      </w:pPr>
      <w:r>
        <w:t xml:space="preserve">O*NET Medical and Clinical Laboratory Technicians:</w:t>
      </w:r>
      <w:r>
        <w:t xml:space="preserve"> </w:t>
      </w:r>
      <w:hyperlink r:id="rId100">
        <w:hyperlink r:id="rId100">
          <w:r>
            <w:rPr>
              <w:rStyle w:val="Hyperlink"/>
            </w:rPr>
            <w:t xml:space="preserve">Source link</w:t>
          </w:r>
        </w:hyperlink>
      </w:hyperlink>
    </w:p>
    <w:p>
      <w:pPr>
        <w:numPr>
          <w:ilvl w:val="0"/>
          <w:numId w:val="1034"/>
        </w:numPr>
        <w:pStyle w:val="Compact"/>
      </w:pPr>
      <w:r>
        <w:t xml:space="preserve">BLS Clinical Laboratory Technologists and Technicians:</w:t>
      </w:r>
      <w:r>
        <w:t xml:space="preserve"> </w:t>
      </w:r>
      <w:hyperlink r:id="rId101">
        <w:hyperlink r:id="rId101">
          <w:r>
            <w:rPr>
              <w:rStyle w:val="Hyperlink"/>
            </w:rPr>
            <w:t xml:space="preserve">Source link</w:t>
          </w:r>
        </w:hyperlink>
      </w:hyperlink>
    </w:p>
    <w:p>
      <w:pPr>
        <w:numPr>
          <w:ilvl w:val="0"/>
          <w:numId w:val="1034"/>
        </w:numPr>
        <w:pStyle w:val="Compact"/>
      </w:pPr>
      <w:r>
        <w:t xml:space="preserve">BLS 2025 OEWS national table:</w:t>
      </w:r>
      <w:r>
        <w:t xml:space="preserve"> </w:t>
      </w:r>
      <w:hyperlink r:id="rId102">
        <w:hyperlink r:id="rId102">
          <w:r>
            <w:rPr>
              <w:rStyle w:val="Hyperlink"/>
            </w:rPr>
            <w:t xml:space="preserve">Source link</w:t>
          </w:r>
        </w:hyperlink>
      </w:hyperlink>
    </w:p>
    <w:bookmarkEnd w:id="103"/>
    <w:bookmarkStart w:id="111" w:name="X1d69a29eea74bc3b067a5f44cbd49589619b881"/>
    <w:p>
      <w:pPr>
        <w:pStyle w:val="Heading3"/>
      </w:pPr>
      <w:r>
        <w:t xml:space="preserve">Estados Unidos — regulamentação e qualidade laboratorial</w:t>
      </w:r>
    </w:p>
    <w:p>
      <w:pPr>
        <w:numPr>
          <w:ilvl w:val="0"/>
          <w:numId w:val="1035"/>
        </w:numPr>
        <w:pStyle w:val="Compact"/>
      </w:pPr>
      <w:r>
        <w:t xml:space="preserve">CDC CLIA:</w:t>
      </w:r>
      <w:r>
        <w:t xml:space="preserve"> </w:t>
      </w:r>
      <w:hyperlink r:id="rId104">
        <w:r>
          <w:rPr>
            <w:rStyle w:val="Hyperlink"/>
          </w:rPr>
          <w:t xml:space="preserve">https://www.cdc.gov/clia/</w:t>
        </w:r>
      </w:hyperlink>
    </w:p>
    <w:p>
      <w:pPr>
        <w:numPr>
          <w:ilvl w:val="0"/>
          <w:numId w:val="1035"/>
        </w:numPr>
        <w:pStyle w:val="Compact"/>
      </w:pPr>
      <w:r>
        <w:t xml:space="preserve">CDC Test Complexities:</w:t>
      </w:r>
      <w:r>
        <w:t xml:space="preserve"> </w:t>
      </w:r>
      <w:hyperlink r:id="rId105">
        <w:hyperlink r:id="rId105">
          <w:r>
            <w:rPr>
              <w:rStyle w:val="Hyperlink"/>
            </w:rPr>
            <w:t xml:space="preserve">Source link</w:t>
          </w:r>
        </w:hyperlink>
      </w:hyperlink>
    </w:p>
    <w:p>
      <w:pPr>
        <w:numPr>
          <w:ilvl w:val="0"/>
          <w:numId w:val="1035"/>
        </w:numPr>
        <w:pStyle w:val="Compact"/>
      </w:pPr>
      <w:r>
        <w:t xml:space="preserve">CDC Laboratory Quality:</w:t>
      </w:r>
      <w:r>
        <w:t xml:space="preserve"> </w:t>
      </w:r>
      <w:hyperlink r:id="rId106">
        <w:hyperlink r:id="rId106">
          <w:r>
            <w:rPr>
              <w:rStyle w:val="Hyperlink"/>
            </w:rPr>
            <w:t xml:space="preserve">Source link</w:t>
          </w:r>
        </w:hyperlink>
      </w:hyperlink>
    </w:p>
    <w:p>
      <w:pPr>
        <w:numPr>
          <w:ilvl w:val="0"/>
          <w:numId w:val="1035"/>
        </w:numPr>
        <w:pStyle w:val="Compact"/>
      </w:pPr>
      <w:r>
        <w:t xml:space="preserve">CDC IQCP:</w:t>
      </w:r>
      <w:r>
        <w:t xml:space="preserve"> </w:t>
      </w:r>
      <w:hyperlink r:id="rId107">
        <w:hyperlink r:id="rId107">
          <w:r>
            <w:rPr>
              <w:rStyle w:val="Hyperlink"/>
            </w:rPr>
            <w:t xml:space="preserve">Source link</w:t>
          </w:r>
        </w:hyperlink>
      </w:hyperlink>
    </w:p>
    <w:p>
      <w:pPr>
        <w:numPr>
          <w:ilvl w:val="0"/>
          <w:numId w:val="1035"/>
        </w:numPr>
        <w:pStyle w:val="Compact"/>
      </w:pPr>
      <w:r>
        <w:t xml:space="preserve">CDC Introduction to CLIA training:</w:t>
      </w:r>
      <w:r>
        <w:t xml:space="preserve"> </w:t>
      </w:r>
      <w:hyperlink r:id="rId108">
        <w:hyperlink r:id="rId108">
          <w:r>
            <w:rPr>
              <w:rStyle w:val="Hyperlink"/>
            </w:rPr>
            <w:t xml:space="preserve">Source link</w:t>
          </w:r>
        </w:hyperlink>
      </w:hyperlink>
    </w:p>
    <w:p>
      <w:pPr>
        <w:numPr>
          <w:ilvl w:val="0"/>
          <w:numId w:val="1035"/>
        </w:numPr>
        <w:pStyle w:val="Compact"/>
      </w:pPr>
      <w:r>
        <w:t xml:space="preserve">eCFR 42 CFR Part 493:</w:t>
      </w:r>
      <w:r>
        <w:t xml:space="preserve"> </w:t>
      </w:r>
      <w:hyperlink r:id="rId109">
        <w:hyperlink r:id="rId109">
          <w:r>
            <w:rPr>
              <w:rStyle w:val="Hyperlink"/>
            </w:rPr>
            <w:t xml:space="preserve">Source link</w:t>
          </w:r>
        </w:hyperlink>
      </w:hyperlink>
    </w:p>
    <w:p>
      <w:pPr>
        <w:numPr>
          <w:ilvl w:val="0"/>
          <w:numId w:val="1035"/>
        </w:numPr>
        <w:pStyle w:val="Compact"/>
      </w:pPr>
      <w:r>
        <w:t xml:space="preserve">eCFR CLIA Personnel Subpart M:</w:t>
      </w:r>
      <w:r>
        <w:t xml:space="preserve"> </w:t>
      </w:r>
      <w:hyperlink r:id="rId110">
        <w:hyperlink r:id="rId110">
          <w:r>
            <w:rPr>
              <w:rStyle w:val="Hyperlink"/>
            </w:rPr>
            <w:t xml:space="preserve">Source link</w:t>
          </w:r>
        </w:hyperlink>
      </w:hyperlink>
    </w:p>
    <w:bookmarkEnd w:id="111"/>
    <w:bookmarkStart w:id="114" w:name="estados-unidos--segurança"/>
    <w:p>
      <w:pPr>
        <w:pStyle w:val="Heading3"/>
      </w:pPr>
      <w:r>
        <w:t xml:space="preserve">Estados Unidos — segurança</w:t>
      </w:r>
    </w:p>
    <w:p>
      <w:pPr>
        <w:numPr>
          <w:ilvl w:val="0"/>
          <w:numId w:val="1036"/>
        </w:numPr>
        <w:pStyle w:val="Compact"/>
      </w:pPr>
      <w:r>
        <w:t xml:space="preserve">OSHA Bloodborne Pathogens, 29 CFR 1910.1030:</w:t>
      </w:r>
      <w:r>
        <w:t xml:space="preserve"> </w:t>
      </w:r>
      <w:hyperlink r:id="rId112">
        <w:hyperlink r:id="rId112">
          <w:r>
            <w:rPr>
              <w:rStyle w:val="Hyperlink"/>
            </w:rPr>
            <w:t xml:space="preserve">Source link</w:t>
          </w:r>
        </w:hyperlink>
      </w:hyperlink>
    </w:p>
    <w:p>
      <w:pPr>
        <w:numPr>
          <w:ilvl w:val="0"/>
          <w:numId w:val="1036"/>
        </w:numPr>
        <w:pStyle w:val="Compact"/>
      </w:pPr>
      <w:r>
        <w:t xml:space="preserve">OSHA Laboratory Chemical Standard, 29 CFR 1910.1450:</w:t>
      </w:r>
      <w:r>
        <w:t xml:space="preserve"> </w:t>
      </w:r>
      <w:hyperlink r:id="rId113">
        <w:hyperlink r:id="rId113">
          <w:r>
            <w:rPr>
              <w:rStyle w:val="Hyperlink"/>
            </w:rPr>
            <w:t xml:space="preserve">Source link</w:t>
          </w:r>
        </w:hyperlink>
      </w:hyperlink>
    </w:p>
    <w:bookmarkEnd w:id="114"/>
    <w:bookmarkStart w:id="118" w:name="X9c28453b0db684b4576302b6eed36e72d365df4"/>
    <w:p>
      <w:pPr>
        <w:pStyle w:val="Heading3"/>
      </w:pPr>
      <w:r>
        <w:t xml:space="preserve">Estados Unidos — educação, certificação e financiamento</w:t>
      </w:r>
    </w:p>
    <w:p>
      <w:pPr>
        <w:numPr>
          <w:ilvl w:val="0"/>
          <w:numId w:val="1037"/>
        </w:numPr>
        <w:pStyle w:val="Compact"/>
      </w:pPr>
      <w:r>
        <w:t xml:space="preserve">NAACLS student information:</w:t>
      </w:r>
      <w:r>
        <w:t xml:space="preserve"> </w:t>
      </w:r>
      <w:hyperlink r:id="rId115">
        <w:r>
          <w:rPr>
            <w:rStyle w:val="Hyperlink"/>
          </w:rPr>
          <w:t xml:space="preserve">https://naacls.org/students/</w:t>
        </w:r>
      </w:hyperlink>
    </w:p>
    <w:p>
      <w:pPr>
        <w:numPr>
          <w:ilvl w:val="0"/>
          <w:numId w:val="1037"/>
        </w:numPr>
        <w:pStyle w:val="Compact"/>
      </w:pPr>
      <w:r>
        <w:t xml:space="preserve">NAACLS:</w:t>
      </w:r>
      <w:r>
        <w:t xml:space="preserve"> </w:t>
      </w:r>
      <w:hyperlink r:id="rId116">
        <w:r>
          <w:rPr>
            <w:rStyle w:val="Hyperlink"/>
          </w:rPr>
          <w:t xml:space="preserve">https://naacls.org/about/</w:t>
        </w:r>
      </w:hyperlink>
    </w:p>
    <w:p>
      <w:pPr>
        <w:numPr>
          <w:ilvl w:val="0"/>
          <w:numId w:val="1037"/>
        </w:numPr>
        <w:pStyle w:val="Compact"/>
      </w:pPr>
      <w:r>
        <w:t xml:space="preserve">ASCP BOC MLT:</w:t>
      </w:r>
      <w:r>
        <w:t xml:space="preserve"> </w:t>
      </w:r>
      <w:hyperlink r:id="rId117">
        <w:hyperlink r:id="rId117">
          <w:r>
            <w:rPr>
              <w:rStyle w:val="Hyperlink"/>
            </w:rPr>
            <w:t xml:space="preserve">Source link</w:t>
          </w:r>
        </w:hyperlink>
      </w:hyperlink>
    </w:p>
    <w:p>
      <w:pPr>
        <w:numPr>
          <w:ilvl w:val="0"/>
          <w:numId w:val="1037"/>
        </w:numPr>
        <w:pStyle w:val="Compact"/>
      </w:pPr>
      <w:r>
        <w:t xml:space="preserve">CareerOneStop WIOA finder:</w:t>
      </w:r>
      <w:r>
        <w:t xml:space="preserve"> </w:t>
      </w:r>
      <w:hyperlink r:id="rId69">
        <w:hyperlink r:id="rId69">
          <w:r>
            <w:rPr>
              <w:rStyle w:val="Hyperlink"/>
            </w:rPr>
            <w:t xml:space="preserve">Source link</w:t>
          </w:r>
        </w:hyperlink>
      </w:hyperlink>
    </w:p>
    <w:p>
      <w:pPr>
        <w:numPr>
          <w:ilvl w:val="0"/>
          <w:numId w:val="1037"/>
        </w:numPr>
        <w:pStyle w:val="Compact"/>
      </w:pPr>
      <w:r>
        <w:t xml:space="preserve">Apprenticeship.gov:</w:t>
      </w:r>
      <w:r>
        <w:t xml:space="preserve"> </w:t>
      </w:r>
      <w:hyperlink r:id="rId71">
        <w:r>
          <w:rPr>
            <w:rStyle w:val="Hyperlink"/>
          </w:rPr>
          <w:t xml:space="preserve">https://www.apprenticeship.gov/</w:t>
        </w:r>
      </w:hyperlink>
    </w:p>
    <w:bookmarkEnd w:id="118"/>
    <w:bookmarkStart w:id="127" w:name="canadá"/>
    <w:p>
      <w:pPr>
        <w:pStyle w:val="Heading3"/>
      </w:pPr>
      <w:r>
        <w:t xml:space="preserve">Canadá</w:t>
      </w:r>
    </w:p>
    <w:p>
      <w:pPr>
        <w:numPr>
          <w:ilvl w:val="0"/>
          <w:numId w:val="1038"/>
        </w:numPr>
        <w:pStyle w:val="Compact"/>
      </w:pPr>
      <w:r>
        <w:t xml:space="preserve">Job Bank NOC 32120 summary:</w:t>
      </w:r>
      <w:r>
        <w:t xml:space="preserve"> </w:t>
      </w:r>
      <w:hyperlink r:id="rId119">
        <w:hyperlink r:id="rId119">
          <w:r>
            <w:rPr>
              <w:rStyle w:val="Hyperlink"/>
            </w:rPr>
            <w:t xml:space="preserve">Source link</w:t>
          </w:r>
        </w:hyperlink>
      </w:hyperlink>
    </w:p>
    <w:p>
      <w:pPr>
        <w:numPr>
          <w:ilvl w:val="0"/>
          <w:numId w:val="1038"/>
        </w:numPr>
        <w:pStyle w:val="Compact"/>
      </w:pPr>
      <w:r>
        <w:t xml:space="preserve">Job Bank NOC 32120 wages:</w:t>
      </w:r>
      <w:r>
        <w:t xml:space="preserve"> </w:t>
      </w:r>
      <w:hyperlink r:id="rId120">
        <w:hyperlink r:id="rId120">
          <w:r>
            <w:rPr>
              <w:rStyle w:val="Hyperlink"/>
            </w:rPr>
            <w:t xml:space="preserve">Source link</w:t>
          </w:r>
        </w:hyperlink>
      </w:hyperlink>
    </w:p>
    <w:p>
      <w:pPr>
        <w:numPr>
          <w:ilvl w:val="0"/>
          <w:numId w:val="1038"/>
        </w:numPr>
        <w:pStyle w:val="Compact"/>
      </w:pPr>
      <w:r>
        <w:t xml:space="preserve">Job Bank NOC 32120 requirements:</w:t>
      </w:r>
      <w:r>
        <w:t xml:space="preserve"> </w:t>
      </w:r>
      <w:hyperlink r:id="rId121">
        <w:hyperlink r:id="rId121">
          <w:r>
            <w:rPr>
              <w:rStyle w:val="Hyperlink"/>
            </w:rPr>
            <w:t xml:space="preserve">Source link</w:t>
          </w:r>
        </w:hyperlink>
      </w:hyperlink>
    </w:p>
    <w:p>
      <w:pPr>
        <w:numPr>
          <w:ilvl w:val="0"/>
          <w:numId w:val="1038"/>
        </w:numPr>
        <w:pStyle w:val="Compact"/>
      </w:pPr>
      <w:r>
        <w:t xml:space="preserve">Job Bank NOC 32120 outlook:</w:t>
      </w:r>
      <w:r>
        <w:t xml:space="preserve"> </w:t>
      </w:r>
      <w:hyperlink r:id="rId122">
        <w:hyperlink r:id="rId122">
          <w:r>
            <w:rPr>
              <w:rStyle w:val="Hyperlink"/>
            </w:rPr>
            <w:t xml:space="preserve">Source link</w:t>
          </w:r>
        </w:hyperlink>
      </w:hyperlink>
    </w:p>
    <w:p>
      <w:pPr>
        <w:numPr>
          <w:ilvl w:val="0"/>
          <w:numId w:val="1038"/>
        </w:numPr>
        <w:pStyle w:val="Compact"/>
      </w:pPr>
      <w:r>
        <w:t xml:space="preserve">Job Bank NOC 33101 summary:</w:t>
      </w:r>
      <w:r>
        <w:t xml:space="preserve"> </w:t>
      </w:r>
      <w:hyperlink r:id="rId123">
        <w:hyperlink r:id="rId123">
          <w:r>
            <w:rPr>
              <w:rStyle w:val="Hyperlink"/>
            </w:rPr>
            <w:t xml:space="preserve">Source link</w:t>
          </w:r>
        </w:hyperlink>
      </w:hyperlink>
    </w:p>
    <w:p>
      <w:pPr>
        <w:numPr>
          <w:ilvl w:val="0"/>
          <w:numId w:val="1038"/>
        </w:numPr>
        <w:pStyle w:val="Compact"/>
      </w:pPr>
      <w:r>
        <w:t xml:space="preserve">Job Bank NOC 33101 wages:</w:t>
      </w:r>
      <w:r>
        <w:t xml:space="preserve"> </w:t>
      </w:r>
      <w:hyperlink r:id="rId124">
        <w:hyperlink r:id="rId124">
          <w:r>
            <w:rPr>
              <w:rStyle w:val="Hyperlink"/>
            </w:rPr>
            <w:t xml:space="preserve">Source link</w:t>
          </w:r>
        </w:hyperlink>
      </w:hyperlink>
    </w:p>
    <w:p>
      <w:pPr>
        <w:numPr>
          <w:ilvl w:val="0"/>
          <w:numId w:val="1038"/>
        </w:numPr>
        <w:pStyle w:val="Compact"/>
      </w:pPr>
      <w:r>
        <w:t xml:space="preserve">CSMLS education pathways:</w:t>
      </w:r>
      <w:r>
        <w:t xml:space="preserve"> </w:t>
      </w:r>
      <w:hyperlink r:id="rId125">
        <w:hyperlink r:id="rId125">
          <w:r>
            <w:rPr>
              <w:rStyle w:val="Hyperlink"/>
            </w:rPr>
            <w:t xml:space="preserve">Source link</w:t>
          </w:r>
        </w:hyperlink>
      </w:hyperlink>
    </w:p>
    <w:p>
      <w:pPr>
        <w:numPr>
          <w:ilvl w:val="0"/>
          <w:numId w:val="1038"/>
        </w:numPr>
        <w:pStyle w:val="Compact"/>
      </w:pPr>
      <w:r>
        <w:t xml:space="preserve">CSMLS certification:</w:t>
      </w:r>
      <w:r>
        <w:t xml:space="preserve"> </w:t>
      </w:r>
      <w:hyperlink r:id="rId126">
        <w:r>
          <w:rPr>
            <w:rStyle w:val="Hyperlink"/>
          </w:rPr>
          <w:t xml:space="preserve">https://csmls.org/certification/</w:t>
        </w:r>
      </w:hyperlink>
    </w:p>
    <w:p>
      <w:pPr>
        <w:numPr>
          <w:ilvl w:val="0"/>
          <w:numId w:val="1038"/>
        </w:numPr>
        <w:pStyle w:val="Compact"/>
      </w:pPr>
      <w:r>
        <w:t xml:space="preserve">Government of Canada training:</w:t>
      </w:r>
      <w:r>
        <w:t xml:space="preserve"> </w:t>
      </w:r>
      <w:hyperlink r:id="rId76">
        <w:hyperlink r:id="rId76">
          <w:r>
            <w:rPr>
              <w:rStyle w:val="Hyperlink"/>
            </w:rPr>
            <w:t xml:space="preserve">Source link</w:t>
          </w:r>
        </w:hyperlink>
      </w:hyperlink>
    </w:p>
    <w:bookmarkEnd w:id="127"/>
    <w:bookmarkStart w:id="129" w:name="colômbia-e-américa-latina"/>
    <w:p>
      <w:pPr>
        <w:pStyle w:val="Heading3"/>
      </w:pPr>
      <w:r>
        <w:t xml:space="preserve">Colômbia e América Latina</w:t>
      </w:r>
    </w:p>
    <w:p>
      <w:pPr>
        <w:numPr>
          <w:ilvl w:val="0"/>
          <w:numId w:val="1039"/>
        </w:numPr>
        <w:pStyle w:val="Compact"/>
      </w:pPr>
      <w:r>
        <w:t xml:space="preserve">OCUPACOL CUOC 32120:</w:t>
      </w:r>
      <w:r>
        <w:t xml:space="preserve"> </w:t>
      </w:r>
      <w:hyperlink r:id="rId78">
        <w:hyperlink r:id="rId78">
          <w:r>
            <w:rPr>
              <w:rStyle w:val="Hyperlink"/>
            </w:rPr>
            <w:t xml:space="preserve">Source link</w:t>
          </w:r>
        </w:hyperlink>
      </w:hyperlink>
    </w:p>
    <w:p>
      <w:pPr>
        <w:numPr>
          <w:ilvl w:val="0"/>
          <w:numId w:val="1039"/>
        </w:numPr>
        <w:pStyle w:val="Compact"/>
      </w:pPr>
      <w:r>
        <w:t xml:space="preserve">OCUPACOL CUOC 53294:</w:t>
      </w:r>
      <w:r>
        <w:t xml:space="preserve"> </w:t>
      </w:r>
      <w:hyperlink r:id="rId80">
        <w:hyperlink r:id="rId80">
          <w:r>
            <w:rPr>
              <w:rStyle w:val="Hyperlink"/>
            </w:rPr>
            <w:t xml:space="preserve">Source link</w:t>
          </w:r>
        </w:hyperlink>
      </w:hyperlink>
    </w:p>
    <w:p>
      <w:pPr>
        <w:numPr>
          <w:ilvl w:val="0"/>
          <w:numId w:val="1039"/>
        </w:numPr>
        <w:pStyle w:val="Compact"/>
      </w:pPr>
      <w:r>
        <w:t xml:space="preserve">SENA Betowa — Toma de muestras para procesamiento en el laboratorio clínico:</w:t>
      </w:r>
      <w:r>
        <w:t xml:space="preserve"> </w:t>
      </w:r>
      <w:hyperlink r:id="rId82">
        <w:hyperlink r:id="rId82">
          <w:r>
            <w:rPr>
              <w:rStyle w:val="Hyperlink"/>
            </w:rPr>
            <w:t xml:space="preserve">Source link</w:t>
          </w:r>
        </w:hyperlink>
      </w:hyperlink>
    </w:p>
    <w:p>
      <w:pPr>
        <w:numPr>
          <w:ilvl w:val="0"/>
          <w:numId w:val="1039"/>
        </w:numPr>
        <w:pStyle w:val="Compact"/>
      </w:pPr>
      <w:r>
        <w:t xml:space="preserve">SENA Public Employment Agency:</w:t>
      </w:r>
      <w:r>
        <w:t xml:space="preserve"> </w:t>
      </w:r>
      <w:hyperlink r:id="rId128">
        <w:r>
          <w:rPr>
            <w:rStyle w:val="Hyperlink"/>
          </w:rPr>
          <w:t xml:space="preserve">https://agenciapublicadeempleo.sena.edu.co/</w:t>
        </w:r>
      </w:hyperlink>
    </w:p>
    <w:p>
      <w:pPr>
        <w:numPr>
          <w:ilvl w:val="0"/>
          <w:numId w:val="1039"/>
        </w:numPr>
        <w:pStyle w:val="Compact"/>
      </w:pPr>
      <w:r>
        <w:t xml:space="preserve">OIT/Cinterfor:</w:t>
      </w:r>
      <w:r>
        <w:t xml:space="preserve"> </w:t>
      </w:r>
      <w:hyperlink r:id="rId84">
        <w:r>
          <w:rPr>
            <w:rStyle w:val="Hyperlink"/>
          </w:rPr>
          <w:t xml:space="preserve">https://www.oitcinterfor.org/statsfp/paises</w:t>
        </w:r>
      </w:hyperlink>
    </w:p>
    <w:bookmarkEnd w:id="129"/>
    <w:bookmarkStart w:id="131" w:name="ia-responsável-1"/>
    <w:p>
      <w:pPr>
        <w:pStyle w:val="Heading3"/>
      </w:pPr>
      <w:r>
        <w:t xml:space="preserve">IA responsável</w:t>
      </w:r>
    </w:p>
    <w:p>
      <w:pPr>
        <w:numPr>
          <w:ilvl w:val="0"/>
          <w:numId w:val="1040"/>
        </w:numPr>
        <w:pStyle w:val="Compact"/>
      </w:pPr>
      <w:r>
        <w:t xml:space="preserve">NIST AI Risk Management Framework:</w:t>
      </w:r>
      <w:r>
        <w:t xml:space="preserve"> </w:t>
      </w:r>
      <w:hyperlink r:id="rId130">
        <w:hyperlink r:id="rId130">
          <w:r>
            <w:rPr>
              <w:rStyle w:val="Hyperlink"/>
            </w:rPr>
            <w:t xml:space="preserve">Source link</w:t>
          </w:r>
        </w:hyperlink>
      </w:hyperlink>
    </w:p>
    <w:bookmarkEnd w:id="131"/>
    <w:bookmarkStart w:id="135" w:name="contexto-privado-atual-dos-eua"/>
    <w:p>
      <w:pPr>
        <w:pStyle w:val="Heading3"/>
      </w:pPr>
      <w:r>
        <w:t xml:space="preserve">Contexto privado atual dos EUA</w:t>
      </w:r>
    </w:p>
    <w:p>
      <w:pPr>
        <w:numPr>
          <w:ilvl w:val="0"/>
          <w:numId w:val="1041"/>
        </w:numPr>
        <w:pStyle w:val="Compact"/>
      </w:pPr>
      <w:r>
        <w:t xml:space="preserve">ZipRecruiter Clinical Laboratory Technician:</w:t>
      </w:r>
      <w:r>
        <w:t xml:space="preserve"> </w:t>
      </w:r>
      <w:hyperlink r:id="rId132">
        <w:hyperlink r:id="rId132">
          <w:r>
            <w:rPr>
              <w:rStyle w:val="Hyperlink"/>
            </w:rPr>
            <w:t xml:space="preserve">Source link</w:t>
          </w:r>
        </w:hyperlink>
      </w:hyperlink>
    </w:p>
    <w:p>
      <w:pPr>
        <w:numPr>
          <w:ilvl w:val="0"/>
          <w:numId w:val="1041"/>
        </w:numPr>
        <w:pStyle w:val="Compact"/>
      </w:pPr>
      <w:r>
        <w:t xml:space="preserve">ZipRecruiter MLT Lab Technician:</w:t>
      </w:r>
      <w:r>
        <w:t xml:space="preserve"> </w:t>
      </w:r>
      <w:hyperlink r:id="rId133">
        <w:hyperlink r:id="rId133">
          <w:r>
            <w:rPr>
              <w:rStyle w:val="Hyperlink"/>
            </w:rPr>
            <w:t xml:space="preserve">Source link</w:t>
          </w:r>
        </w:hyperlink>
      </w:hyperlink>
    </w:p>
    <w:p>
      <w:pPr>
        <w:numPr>
          <w:ilvl w:val="0"/>
          <w:numId w:val="1041"/>
        </w:numPr>
        <w:pStyle w:val="Compact"/>
      </w:pPr>
      <w:r>
        <w:t xml:space="preserve">Glassdoor Clinical Laboratory Technician:</w:t>
      </w:r>
      <w:r>
        <w:t xml:space="preserve"> </w:t>
      </w:r>
      <w:hyperlink r:id="rId134">
        <w:hyperlink r:id="rId134">
          <w:r>
            <w:rPr>
              <w:rStyle w:val="Hyperlink"/>
            </w:rPr>
            <w:t xml:space="preserve">Source link</w:t>
          </w:r>
        </w:hyperlink>
      </w:hyperlink>
    </w:p>
    <w:bookmarkEnd w:id="135"/>
    <w:bookmarkEnd w:id="136"/>
    <w:bookmarkStart w:id="137" w:name="aviso-importante"/>
    <w:p>
      <w:pPr>
        <w:pStyle w:val="Heading2"/>
      </w:pPr>
      <w:r>
        <w:t xml:space="preserve">Aviso importante</w:t>
      </w:r>
    </w:p>
    <w:p>
      <w:pPr>
        <w:pStyle w:val="FirstParagraph"/>
      </w:pPr>
      <w:r>
        <w:t xml:space="preserve">Este guia é material educacional de planejamento profissional. Não certifica competência clínica, não autoriza testes de pacientes, não oferece aconselhamento médico, jurídico ou regulatório, não estabelece elegibilidade de pessoal sob CLIA, não concede licença ou registro e não garante admissão, certificação, financiamento, emprego ou renda. Também não substitui procedimentos validados nem programas de competência do empregador.</w:t>
      </w:r>
    </w:p>
    <w:p>
      <w:pPr>
        <w:pStyle w:val="BodyText"/>
      </w:pPr>
      <w:r>
        <w:t xml:space="preserve">Os requisitos mudam conforme complexidade do teste, laboratório, empregador, acreditador, estado/província/país e data. Verifique decisões importantes com fontes oficiais atuais, regulador aplicável, organizações reconhecidas de educação/certificação e liderança autorizada do laboratório.</w:t>
      </w:r>
    </w:p>
    <w:p>
      <w:pPr>
        <w:pStyle w:val="BodyText"/>
      </w:pPr>
      <w:r>
        <w:t xml:space="preserve">Não se declara certificação humana independente, tradução certificada, revisão de credenciamento, revisão profissional de licença, revisão jurídica, revisão médica, acreditação de laboratório, certificação de segurança ou certificação de acessibilidade.</w:t>
      </w:r>
    </w:p>
    <w:bookmarkEnd w:id="137"/>
    <w:bookmarkStart w:id="138" w:name="autoria-e-assistência-de-ia"/>
    <w:p>
      <w:pPr>
        <w:pStyle w:val="Heading2"/>
      </w:pPr>
      <w:r>
        <w:t xml:space="preserve">Autoria e assistência de IA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documental sob direção do autor. O autor mantém responsabilidade pelas decisões editoriais e de publicação.</w:t>
      </w:r>
    </w:p>
    <w:bookmarkEnd w:id="138"/>
    <w:bookmarkStart w:id="139" w:name="licença"/>
    <w:p>
      <w:pPr>
        <w:pStyle w:val="Heading2"/>
      </w:pPr>
      <w:r>
        <w:t xml:space="preserve">Licença</w:t>
      </w:r>
    </w:p>
    <w:p>
      <w:pPr>
        <w:pStyle w:val="FirstParagraph"/>
      </w:pPr>
      <w:r>
        <w:t xml:space="preserve">Salvo indicação contrária em um arquivo, este material é licenciado sob</w:t>
      </w:r>
      <w:r>
        <w:t xml:space="preserve"> </w:t>
      </w:r>
      <w:r>
        <w:rPr>
          <w:bCs/>
          <w:b/>
        </w:rPr>
        <w:t xml:space="preserve">CC BY-NC-SA 4.0</w:t>
      </w:r>
      <w:r>
        <w:t xml:space="preserve">.</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s://agenciapublicadeempleo.sena.edu.co/" TargetMode="External" /><Relationship Type="http://schemas.openxmlformats.org/officeDocument/2006/relationships/hyperlink" Id="rId82" Target="https://betowa.sena.edu.co/oferta/toma-de-muestras-para-procesamiento-en-el-laboratorio-clinico?location=57011001&amp;modality=P&amp;programId=84606" TargetMode="External" /><Relationship Type="http://schemas.openxmlformats.org/officeDocument/2006/relationships/hyperlink" Id="rId126" Target="https://csmls.org/certification/" TargetMode="External" /><Relationship Type="http://schemas.openxmlformats.org/officeDocument/2006/relationships/hyperlink" Id="rId125" Target="https://csmls.org/certification/medical-laboratory-professionals/how-to-become-a-medical-lab-professional/" TargetMode="External" /><Relationship Type="http://schemas.openxmlformats.org/officeDocument/2006/relationships/hyperlink" Id="rId116" Target="https://naacls.org/about/" TargetMode="External" /><Relationship Type="http://schemas.openxmlformats.org/officeDocument/2006/relationships/hyperlink" Id="rId115" Target="https://naacls.org/students/" TargetMode="External" /><Relationship Type="http://schemas.openxmlformats.org/officeDocument/2006/relationships/hyperlink" Id="rId78" Target="https://ocupacol.mintrabajo.gov.co/Profile/OccupationalProfile/32120" TargetMode="External" /><Relationship Type="http://schemas.openxmlformats.org/officeDocument/2006/relationships/hyperlink" Id="rId80" Target="https://ocupacol.mintrabajo.gov.co/Profile/OccupationalProfile/53294" TargetMode="External" /><Relationship Type="http://schemas.openxmlformats.org/officeDocument/2006/relationships/hyperlink" Id="rId71" Target="https://www.apprenticeship.gov/" TargetMode="External" /><Relationship Type="http://schemas.openxmlformats.org/officeDocument/2006/relationships/hyperlink" Id="rId117" Target="https://www.ascp.org/boc/explore-credentials/view-all-credentials/MLT" TargetMode="External" /><Relationship Type="http://schemas.openxmlformats.org/officeDocument/2006/relationships/hyperlink" Id="rId102" Target="https://www.bls.gov/news.release/ocwage.t01.htm" TargetMode="External" /><Relationship Type="http://schemas.openxmlformats.org/officeDocument/2006/relationships/hyperlink" Id="rId101" Target="https://www.bls.gov/ooh/healthcare/clinical-laboratory-technologists-and-technicians.htm" TargetMode="External" /><Relationship Type="http://schemas.openxmlformats.org/officeDocument/2006/relationships/hyperlink" Id="rId76"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104" Target="https://www.cdc.gov/clia/" TargetMode="External" /><Relationship Type="http://schemas.openxmlformats.org/officeDocument/2006/relationships/hyperlink" Id="rId105" Target="https://www.cdc.gov/clia/php/test-complexities/index.html" TargetMode="External" /><Relationship Type="http://schemas.openxmlformats.org/officeDocument/2006/relationships/hyperlink" Id="rId106" Target="https://www.cdc.gov/lab-quality/php/about/index.html" TargetMode="External" /><Relationship Type="http://schemas.openxmlformats.org/officeDocument/2006/relationships/hyperlink" Id="rId107" Target="https://www.cdc.gov/lab-quality/php/iqcp/index.html" TargetMode="External" /><Relationship Type="http://schemas.openxmlformats.org/officeDocument/2006/relationships/hyperlink" Id="rId108" Target="https://www.cdc.gov/lab-training/php/courses/introduction-clinical-laboratory-improvement-amendments-of-1988-clia.html" TargetMode="External" /><Relationship Type="http://schemas.openxmlformats.org/officeDocument/2006/relationships/hyperlink" Id="rId109" Target="https://www.ecfr.gov/current/title-42/chapter-IV/subchapter-G/part-493" TargetMode="External" /><Relationship Type="http://schemas.openxmlformats.org/officeDocument/2006/relationships/hyperlink" Id="rId110" Target="https://www.ecfr.gov/current/title-42/chapter-IV/subchapter-G/part-493/subpart-M" TargetMode="External" /><Relationship Type="http://schemas.openxmlformats.org/officeDocument/2006/relationships/hyperlink" Id="rId134" Target="https://www.glassdoor.com/Salaries/clinical-laboratory-technician-salary-SRCH_KO0,30.htm" TargetMode="External" /><Relationship Type="http://schemas.openxmlformats.org/officeDocument/2006/relationships/hyperlink" Id="rId122" Target="https://www.jobbank.gc.ca/marketreport/outlook-occupation/4187/ca" TargetMode="External" /><Relationship Type="http://schemas.openxmlformats.org/officeDocument/2006/relationships/hyperlink" Id="rId121" Target="https://www.jobbank.gc.ca/marketreport/requirements/4189/ca" TargetMode="External" /><Relationship Type="http://schemas.openxmlformats.org/officeDocument/2006/relationships/hyperlink" Id="rId119" Target="https://www.jobbank.gc.ca/marketreport/summary-occupation/4187/ca" TargetMode="External" /><Relationship Type="http://schemas.openxmlformats.org/officeDocument/2006/relationships/hyperlink" Id="rId123" Target="https://www.jobbank.gc.ca/marketreport/summary-occupation/4207/ca" TargetMode="External" /><Relationship Type="http://schemas.openxmlformats.org/officeDocument/2006/relationships/hyperlink" Id="rId120" Target="https://www.jobbank.gc.ca/marketreport/wages-occupation/4187/ca" TargetMode="External" /><Relationship Type="http://schemas.openxmlformats.org/officeDocument/2006/relationships/hyperlink" Id="rId124" Target="https://www.jobbank.gc.ca/marketreport/wages-occupation/4207/ca" TargetMode="External" /><Relationship Type="http://schemas.openxmlformats.org/officeDocument/2006/relationships/hyperlink" Id="rId130" Target="https://www.nist.gov/itl/ai-risk-management-framework" TargetMode="External" /><Relationship Type="http://schemas.openxmlformats.org/officeDocument/2006/relationships/hyperlink" Id="rId84" Target="https://www.oitcinterfor.org/statsfp/paises" TargetMode="External" /><Relationship Type="http://schemas.openxmlformats.org/officeDocument/2006/relationships/hyperlink" Id="rId100" Target="https://www.onetonline.org/link/details/29-2012.00" TargetMode="External" /><Relationship Type="http://schemas.openxmlformats.org/officeDocument/2006/relationships/hyperlink" Id="rId112" Target="https://www.osha.gov/laws-regs/regulations/standardnumber/1910/1910.1030" TargetMode="External" /><Relationship Type="http://schemas.openxmlformats.org/officeDocument/2006/relationships/hyperlink" Id="rId113" Target="https://www.osha.gov/laws-regs/regulations/standardnumber/1910/1910.1450" TargetMode="External" /><Relationship Type="http://schemas.openxmlformats.org/officeDocument/2006/relationships/hyperlink" Id="rId132" Target="https://www.ziprecruiter.com/Salaries/Clinical-Laboratory-Technician-Salary" TargetMode="External" /><Relationship Type="http://schemas.openxmlformats.org/officeDocument/2006/relationships/hyperlink" Id="rId133" Target="https://www.ziprecruiter.com/Salaries/Mlt-Lab-Technician-Salary" TargetMode="External" /></Relationships>
</file>

<file path=word/_rels/footnotes.xml.rels><?xml version="1.0" encoding="UTF-8"?><Relationships xmlns="http://schemas.openxmlformats.org/package/2006/relationships"><Relationship Type="http://schemas.openxmlformats.org/officeDocument/2006/relationships/hyperlink" Id="rId128" Target="https://agenciapublicadeempleo.sena.edu.co/" TargetMode="External" /><Relationship Type="http://schemas.openxmlformats.org/officeDocument/2006/relationships/hyperlink" Id="rId82" Target="https://betowa.sena.edu.co/oferta/toma-de-muestras-para-procesamiento-en-el-laboratorio-clinico?location=57011001&amp;modality=P&amp;programId=84606" TargetMode="External" /><Relationship Type="http://schemas.openxmlformats.org/officeDocument/2006/relationships/hyperlink" Id="rId126" Target="https://csmls.org/certification/" TargetMode="External" /><Relationship Type="http://schemas.openxmlformats.org/officeDocument/2006/relationships/hyperlink" Id="rId125" Target="https://csmls.org/certification/medical-laboratory-professionals/how-to-become-a-medical-lab-professional/" TargetMode="External" /><Relationship Type="http://schemas.openxmlformats.org/officeDocument/2006/relationships/hyperlink" Id="rId116" Target="https://naacls.org/about/" TargetMode="External" /><Relationship Type="http://schemas.openxmlformats.org/officeDocument/2006/relationships/hyperlink" Id="rId115" Target="https://naacls.org/students/" TargetMode="External" /><Relationship Type="http://schemas.openxmlformats.org/officeDocument/2006/relationships/hyperlink" Id="rId78" Target="https://ocupacol.mintrabajo.gov.co/Profile/OccupationalProfile/32120" TargetMode="External" /><Relationship Type="http://schemas.openxmlformats.org/officeDocument/2006/relationships/hyperlink" Id="rId80" Target="https://ocupacol.mintrabajo.gov.co/Profile/OccupationalProfile/53294" TargetMode="External" /><Relationship Type="http://schemas.openxmlformats.org/officeDocument/2006/relationships/hyperlink" Id="rId71" Target="https://www.apprenticeship.gov/" TargetMode="External" /><Relationship Type="http://schemas.openxmlformats.org/officeDocument/2006/relationships/hyperlink" Id="rId117" Target="https://www.ascp.org/boc/explore-credentials/view-all-credentials/MLT" TargetMode="External" /><Relationship Type="http://schemas.openxmlformats.org/officeDocument/2006/relationships/hyperlink" Id="rId102" Target="https://www.bls.gov/news.release/ocwage.t01.htm" TargetMode="External" /><Relationship Type="http://schemas.openxmlformats.org/officeDocument/2006/relationships/hyperlink" Id="rId101" Target="https://www.bls.gov/ooh/healthcare/clinical-laboratory-technologists-and-technicians.htm" TargetMode="External" /><Relationship Type="http://schemas.openxmlformats.org/officeDocument/2006/relationships/hyperlink" Id="rId76"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104" Target="https://www.cdc.gov/clia/" TargetMode="External" /><Relationship Type="http://schemas.openxmlformats.org/officeDocument/2006/relationships/hyperlink" Id="rId105" Target="https://www.cdc.gov/clia/php/test-complexities/index.html" TargetMode="External" /><Relationship Type="http://schemas.openxmlformats.org/officeDocument/2006/relationships/hyperlink" Id="rId106" Target="https://www.cdc.gov/lab-quality/php/about/index.html" TargetMode="External" /><Relationship Type="http://schemas.openxmlformats.org/officeDocument/2006/relationships/hyperlink" Id="rId107" Target="https://www.cdc.gov/lab-quality/php/iqcp/index.html" TargetMode="External" /><Relationship Type="http://schemas.openxmlformats.org/officeDocument/2006/relationships/hyperlink" Id="rId108" Target="https://www.cdc.gov/lab-training/php/courses/introduction-clinical-laboratory-improvement-amendments-of-1988-clia.html" TargetMode="External" /><Relationship Type="http://schemas.openxmlformats.org/officeDocument/2006/relationships/hyperlink" Id="rId109" Target="https://www.ecfr.gov/current/title-42/chapter-IV/subchapter-G/part-493" TargetMode="External" /><Relationship Type="http://schemas.openxmlformats.org/officeDocument/2006/relationships/hyperlink" Id="rId110" Target="https://www.ecfr.gov/current/title-42/chapter-IV/subchapter-G/part-493/subpart-M" TargetMode="External" /><Relationship Type="http://schemas.openxmlformats.org/officeDocument/2006/relationships/hyperlink" Id="rId134" Target="https://www.glassdoor.com/Salaries/clinical-laboratory-technician-salary-SRCH_KO0,30.htm" TargetMode="External" /><Relationship Type="http://schemas.openxmlformats.org/officeDocument/2006/relationships/hyperlink" Id="rId122" Target="https://www.jobbank.gc.ca/marketreport/outlook-occupation/4187/ca" TargetMode="External" /><Relationship Type="http://schemas.openxmlformats.org/officeDocument/2006/relationships/hyperlink" Id="rId121" Target="https://www.jobbank.gc.ca/marketreport/requirements/4189/ca" TargetMode="External" /><Relationship Type="http://schemas.openxmlformats.org/officeDocument/2006/relationships/hyperlink" Id="rId119" Target="https://www.jobbank.gc.ca/marketreport/summary-occupation/4187/ca" TargetMode="External" /><Relationship Type="http://schemas.openxmlformats.org/officeDocument/2006/relationships/hyperlink" Id="rId123" Target="https://www.jobbank.gc.ca/marketreport/summary-occupation/4207/ca" TargetMode="External" /><Relationship Type="http://schemas.openxmlformats.org/officeDocument/2006/relationships/hyperlink" Id="rId120" Target="https://www.jobbank.gc.ca/marketreport/wages-occupation/4187/ca" TargetMode="External" /><Relationship Type="http://schemas.openxmlformats.org/officeDocument/2006/relationships/hyperlink" Id="rId124" Target="https://www.jobbank.gc.ca/marketreport/wages-occupation/4207/ca" TargetMode="External" /><Relationship Type="http://schemas.openxmlformats.org/officeDocument/2006/relationships/hyperlink" Id="rId130" Target="https://www.nist.gov/itl/ai-risk-management-framework" TargetMode="External" /><Relationship Type="http://schemas.openxmlformats.org/officeDocument/2006/relationships/hyperlink" Id="rId84" Target="https://www.oitcinterfor.org/statsfp/paises" TargetMode="External" /><Relationship Type="http://schemas.openxmlformats.org/officeDocument/2006/relationships/hyperlink" Id="rId100" Target="https://www.onetonline.org/link/details/29-2012.00" TargetMode="External" /><Relationship Type="http://schemas.openxmlformats.org/officeDocument/2006/relationships/hyperlink" Id="rId112" Target="https://www.osha.gov/laws-regs/regulations/standardnumber/1910/1910.1030" TargetMode="External" /><Relationship Type="http://schemas.openxmlformats.org/officeDocument/2006/relationships/hyperlink" Id="rId113" Target="https://www.osha.gov/laws-regs/regulations/standardnumber/1910/1910.1450" TargetMode="External" /><Relationship Type="http://schemas.openxmlformats.org/officeDocument/2006/relationships/hyperlink" Id="rId132" Target="https://www.ziprecruiter.com/Salaries/Clinical-Laboratory-Technician-Salary" TargetMode="External" /><Relationship Type="http://schemas.openxmlformats.org/officeDocument/2006/relationships/hyperlink" Id="rId133" Target="https://www.ziprecruiter.com/Salaries/Mlt-Lab-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2026-08-23T01:42:56Z</dcterms:created>
  <dcterms:modified xsi:type="dcterms:W3CDTF">2026-08-23T01:42:56Z</dcterms:modified>
</cp:coreProperties>
</file>

<file path=docProps/custom.xml><?xml version="1.0" encoding="utf-8"?>
<Properties xmlns="http://schemas.openxmlformats.org/officeDocument/2006/custom-properties" xmlns:vt="http://schemas.openxmlformats.org/officeDocument/2006/docPropsVTypes"/>
</file>