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X26cd30fb68e99b5d96ce6545d46e484bfad006f"/>
    <w:p>
      <w:pPr>
        <w:pStyle w:val="Heading1"/>
      </w:pPr>
      <w:r>
        <w:t xml:space="preserve">Guía de Oportunidades de por Vida 100 — Técnico/a de Laboratorio Clínico</w:t>
      </w:r>
    </w:p>
    <w:p>
      <w:pPr>
        <w:pStyle w:val="FirstParagraph"/>
      </w:pPr>
      <w:r>
        <w:rPr>
          <w:bCs/>
          <w:b/>
        </w:rPr>
        <w:t xml:space="preserve">Versión:</w:t>
      </w:r>
      <w:r>
        <w:t xml:space="preserve"> </w:t>
      </w:r>
      <w:r>
        <w:t xml:space="preserve">2.0, maestro controlado</w:t>
      </w:r>
      <w:r>
        <w:br/>
      </w:r>
      <w:r>
        <w:rPr>
          <w:bCs/>
          <w:b/>
        </w:rPr>
        <w:t xml:space="preserve">Idioma:</w:t>
      </w:r>
      <w:r>
        <w:t xml:space="preserve"> </w:t>
      </w:r>
      <w:r>
        <w:t xml:space="preserve">Español latinoamericano neutral (</w:t>
      </w:r>
      <w:r>
        <w:rPr>
          <w:rStyle w:val="VerbatimChar"/>
        </w:rPr>
        <w:t xml:space="preserve">es-419</w:t>
      </w:r>
      <w:r>
        <w:t xml:space="preserve">)</w:t>
      </w:r>
      <w:r>
        <w:br/>
      </w:r>
      <w:r>
        <w:rPr>
          <w:bCs/>
          <w:b/>
        </w:rPr>
        <w:t xml:space="preserve">Referencia ocupacional de EE. UU.:</w:t>
      </w:r>
      <w:r>
        <w:t xml:space="preserve"> </w:t>
      </w:r>
      <w:r>
        <w:t xml:space="preserve">O*NET-SOC 29-2012.00 — Medical and Clinical Laboratory Technicians</w:t>
      </w:r>
      <w:r>
        <w:br/>
      </w:r>
      <w:r>
        <w:rPr>
          <w:bCs/>
          <w:b/>
        </w:rPr>
        <w:t xml:space="preserve">Comparaciones de Canadá:</w:t>
      </w:r>
      <w:r>
        <w:t xml:space="preserve"> </w:t>
      </w:r>
      <w:r>
        <w:t xml:space="preserve">NOC 32120 — Medical laboratory technologists; NOC 33101 — Medical laboratory assistants and related technical occupations</w:t>
      </w:r>
      <w:r>
        <w:br/>
      </w:r>
      <w:r>
        <w:rPr>
          <w:bCs/>
          <w:b/>
        </w:rPr>
        <w:t xml:space="preserve">Comparaciones de Colombia:</w:t>
      </w:r>
      <w:r>
        <w:t xml:space="preserve"> </w:t>
      </w:r>
      <w:r>
        <w:t xml:space="preserve">CUOC 32120 — Técnicos de laboratorios médicos; CUOC 53294 — Auxiliares de laboratorio clínico</w:t>
      </w:r>
      <w:r>
        <w:br/>
      </w:r>
      <w:r>
        <w:rPr>
          <w:bCs/>
          <w:b/>
        </w:rPr>
        <w:t xml:space="preserve">Fecha de revisión:</w:t>
      </w:r>
      <w:r>
        <w:t xml:space="preserve"> </w:t>
      </w:r>
      <w:r>
        <w:t xml:space="preserve">2026-08-22</w:t>
      </w:r>
    </w:p>
    <w:bookmarkStart w:id="20" w:name="qué-es-esta-carrera"/>
    <w:p>
      <w:pPr>
        <w:pStyle w:val="Heading2"/>
      </w:pPr>
      <w:r>
        <w:t xml:space="preserve">Qué es esta carrera</w:t>
      </w:r>
    </w:p>
    <w:p>
      <w:pPr>
        <w:pStyle w:val="FirstParagraph"/>
      </w:pPr>
      <w:r>
        <w:t xml:space="preserve">Los técnicos de laboratorio clínico ayudan a convertir muestras humanas en información de laboratorio confiable. Según el lugar de trabajo, pueden recibir, preparar, analizar, almacenar, transportar internamente, documentar o desechar sangre, orina, tejidos, líquidos corporales, cultivos, reactivos, controles y otros materiales siguiendo procedimientos aprobados.</w:t>
      </w:r>
    </w:p>
    <w:p>
      <w:pPr>
        <w:pStyle w:val="BodyText"/>
      </w:pPr>
      <w:r>
        <w:t xml:space="preserve">En Estados Unidos, esta guía usa</w:t>
      </w:r>
      <w:r>
        <w:t xml:space="preserve"> </w:t>
      </w:r>
      <w:r>
        <w:rPr>
          <w:bCs/>
          <w:b/>
        </w:rPr>
        <w:t xml:space="preserve">O*NET-SOC 29-2012.00 — Medical and Clinical Laboratory Technicians</w:t>
      </w:r>
      <w:r>
        <w:t xml:space="preserve"> </w:t>
      </w:r>
      <w:r>
        <w:t xml:space="preserve">como referencia principal. O*NET describe la ocupación como la realización de pruebas médicas rutinarias de laboratorio para apoyar el diagnóstico, tratamiento y prevención de enfermedades, en algunos casos bajo la supervisión de un tecnólogo de laboratorio médico.</w:t>
      </w:r>
    </w:p>
    <w:p>
      <w:pPr>
        <w:pStyle w:val="BodyText"/>
      </w:pPr>
      <w:r>
        <w:t xml:space="preserve">Los entornos comunes incluyen laboratorios hospitalarios, laboratorios médicos y de diagnóstico, laboratorios de consultorios médicos, bancos de sangre, clínicas, laboratorios de salud pública, organizaciones de investigación, universidades, laboratorios de referencia e instalaciones especializadas de análisis.</w:t>
      </w:r>
    </w:p>
    <w:p>
      <w:pPr>
        <w:pStyle w:val="BodyText"/>
      </w:pPr>
      <w:r>
        <w:t xml:space="preserve">Los títulos cambian entre empleadores y países: técnico de laboratorio clínico, técnico de laboratorio médico, MLT, técnico de laboratorio, técnico clínico, técnico médico, técnico de histología, técnico de procesamiento de muestras, auxiliar de laboratorio y otros. El título por sí solo no concede autoridad legal o clínica. Revise siempre la descripción del puesto, la regulación aplicable, las políticas del laboratorio, la complejidad de las pruebas, los requisitos de certificación, las normas estatales o provinciales y la supervisión asignada.</w:t>
      </w:r>
    </w:p>
    <w:bookmarkEnd w:id="20"/>
    <w:bookmarkStart w:id="21" w:name="por-qué-puede-ser-una-oportunidad"/>
    <w:p>
      <w:pPr>
        <w:pStyle w:val="Heading2"/>
      </w:pPr>
      <w:r>
        <w:t xml:space="preserve">Por qué puede ser una oportunidad</w:t>
      </w:r>
    </w:p>
    <w:p>
      <w:pPr>
        <w:pStyle w:val="FirstParagraph"/>
      </w:pPr>
      <w:r>
        <w:t xml:space="preserve">Esta carrera puede ser adecuada para personas que disfrutan la ciencia práctica, las rutinas precisas, los instrumentos, los datos y el trabajo que apoya la atención de pacientes sin ser necesariamente la persona que emite el diagnóstico médico final.</w:t>
      </w:r>
    </w:p>
    <w:p>
      <w:pPr>
        <w:pStyle w:val="BodyText"/>
      </w:pPr>
      <w:r>
        <w:t xml:space="preserve">Puede resultar atractiva si le gusta:</w:t>
      </w:r>
    </w:p>
    <w:p>
      <w:pPr>
        <w:numPr>
          <w:ilvl w:val="0"/>
          <w:numId w:val="1001"/>
        </w:numPr>
        <w:pStyle w:val="Compact"/>
      </w:pPr>
      <w:r>
        <w:t xml:space="preserve">seguir con precisión un método validado;</w:t>
      </w:r>
    </w:p>
    <w:p>
      <w:pPr>
        <w:numPr>
          <w:ilvl w:val="0"/>
          <w:numId w:val="1001"/>
        </w:numPr>
        <w:pStyle w:val="Compact"/>
      </w:pPr>
      <w:r>
        <w:t xml:space="preserve">identificar y organizar muestras;</w:t>
      </w:r>
    </w:p>
    <w:p>
      <w:pPr>
        <w:numPr>
          <w:ilvl w:val="0"/>
          <w:numId w:val="1001"/>
        </w:numPr>
        <w:pStyle w:val="Compact"/>
      </w:pPr>
      <w:r>
        <w:t xml:space="preserve">medir, pipetear, preparar, teñir, contar, comparar y documentar;</w:t>
      </w:r>
    </w:p>
    <w:p>
      <w:pPr>
        <w:numPr>
          <w:ilvl w:val="0"/>
          <w:numId w:val="1001"/>
        </w:numPr>
        <w:pStyle w:val="Compact"/>
      </w:pPr>
      <w:r>
        <w:t xml:space="preserve">trabajar con microscopios, analizadores y sistemas de información de laboratorio;</w:t>
      </w:r>
    </w:p>
    <w:p>
      <w:pPr>
        <w:numPr>
          <w:ilvl w:val="0"/>
          <w:numId w:val="1001"/>
        </w:numPr>
        <w:pStyle w:val="Compact"/>
      </w:pPr>
      <w:r>
        <w:t xml:space="preserve">detectar cuando un control, instrumento o muestra presenta algo inusual;</w:t>
      </w:r>
    </w:p>
    <w:p>
      <w:pPr>
        <w:numPr>
          <w:ilvl w:val="0"/>
          <w:numId w:val="1001"/>
        </w:numPr>
        <w:pStyle w:val="Compact"/>
      </w:pPr>
      <w:r>
        <w:t xml:space="preserve">resolver problemas técnicos rutinarios dentro de la autoridad asignada;</w:t>
      </w:r>
    </w:p>
    <w:p>
      <w:pPr>
        <w:numPr>
          <w:ilvl w:val="0"/>
          <w:numId w:val="1001"/>
        </w:numPr>
        <w:pStyle w:val="Compact"/>
      </w:pPr>
      <w:r>
        <w:t xml:space="preserve">mantener registros exactos;</w:t>
      </w:r>
    </w:p>
    <w:p>
      <w:pPr>
        <w:numPr>
          <w:ilvl w:val="0"/>
          <w:numId w:val="1001"/>
        </w:numPr>
        <w:pStyle w:val="Compact"/>
      </w:pPr>
      <w:r>
        <w:t xml:space="preserve">trabajar como parte de un equipo de salud;</w:t>
      </w:r>
    </w:p>
    <w:p>
      <w:pPr>
        <w:numPr>
          <w:ilvl w:val="0"/>
          <w:numId w:val="1001"/>
        </w:numPr>
        <w:pStyle w:val="Compact"/>
      </w:pPr>
      <w:r>
        <w:t xml:space="preserve">proteger la privacidad del paciente y los datos del laboratorio;</w:t>
      </w:r>
    </w:p>
    <w:p>
      <w:pPr>
        <w:numPr>
          <w:ilvl w:val="0"/>
          <w:numId w:val="1001"/>
        </w:numPr>
        <w:pStyle w:val="Compact"/>
      </w:pPr>
      <w:r>
        <w:t xml:space="preserve">reportar errores en lugar de ocultarlos;</w:t>
      </w:r>
    </w:p>
    <w:p>
      <w:pPr>
        <w:numPr>
          <w:ilvl w:val="0"/>
          <w:numId w:val="1001"/>
        </w:numPr>
        <w:pStyle w:val="Compact"/>
      </w:pPr>
      <w:r>
        <w:t xml:space="preserve">aprender continuamente a medida que cambian métodos e instrumentos.</w:t>
      </w:r>
    </w:p>
    <w:p>
      <w:pPr>
        <w:pStyle w:val="FirstParagraph"/>
      </w:pPr>
      <w:r>
        <w:t xml:space="preserve">El trabajo también puede ser exigente. Puede implicar muestras infecciosas, objetos cortopunzantes, productos químicos, movimientos manuales repetitivos, trabajo visual cercano, períodos prolongados de pie, turnos nocturnos, fines de semana, festivos, muestras urgentes, alarmas, reglas estrictas de calidad y consecuencias importantes cuando se compromete la identidad de una muestra o la exactitud de una prueba.</w:t>
      </w:r>
    </w:p>
    <w:p>
      <w:pPr>
        <w:pStyle w:val="BodyText"/>
      </w:pPr>
      <w:r>
        <w:t xml:space="preserve">Antes de invertir en un programa costoso, conviene investigar el entorno real. Una visita autorizada a un laboratorio, una experiencia de observación aprobada, un puesto inicial en procesamiento de muestras, exposición a flebotomía cuando corresponda, prácticas académicas o conversaciones con profesionales pueden ayudar a evaluar el ajuste.</w:t>
      </w:r>
    </w:p>
    <w:bookmarkEnd w:id="21"/>
    <w:bookmarkStart w:id="27" w:name="X4b934ad63de0493648fe7f2b2832c2c8192e338"/>
    <w:p>
      <w:pPr>
        <w:pStyle w:val="Heading2"/>
      </w:pPr>
      <w:r>
        <w:t xml:space="preserve">Técnico, tecnólogo/científico, auxiliar, flebotomista y patólogo son funciones diferentes</w:t>
      </w:r>
    </w:p>
    <w:p>
      <w:pPr>
        <w:pStyle w:val="FirstParagraph"/>
      </w:pPr>
      <w:r>
        <w:t xml:space="preserve">Un mismo título puede significar cosas distintas según el empleador o el país. Es más seguro comprender responsabilidades y autoridad que depender únicamente del nombre del puesto.</w:t>
      </w:r>
    </w:p>
    <w:bookmarkStart w:id="22" w:name="Xd3e5e94fed5b7f1fc97a8e2cb402409b0157d16"/>
    <w:p>
      <w:pPr>
        <w:pStyle w:val="Heading3"/>
      </w:pPr>
      <w:r>
        <w:t xml:space="preserve">A un técnico de laboratorio clínico o médico se le puede asignar</w:t>
      </w:r>
    </w:p>
    <w:p>
      <w:pPr>
        <w:numPr>
          <w:ilvl w:val="0"/>
          <w:numId w:val="1002"/>
        </w:numPr>
        <w:pStyle w:val="Compact"/>
      </w:pPr>
      <w:r>
        <w:t xml:space="preserve">recibir e identificar muestras;</w:t>
      </w:r>
    </w:p>
    <w:p>
      <w:pPr>
        <w:numPr>
          <w:ilvl w:val="0"/>
          <w:numId w:val="1002"/>
        </w:numPr>
        <w:pStyle w:val="Compact"/>
      </w:pPr>
      <w:r>
        <w:t xml:space="preserve">evaluar su aceptabilidad según criterios aprobados;</w:t>
      </w:r>
    </w:p>
    <w:p>
      <w:pPr>
        <w:numPr>
          <w:ilvl w:val="0"/>
          <w:numId w:val="1002"/>
        </w:numPr>
        <w:pStyle w:val="Compact"/>
      </w:pPr>
      <w:r>
        <w:t xml:space="preserve">preparar muestras para análisis;</w:t>
      </w:r>
    </w:p>
    <w:p>
      <w:pPr>
        <w:numPr>
          <w:ilvl w:val="0"/>
          <w:numId w:val="1002"/>
        </w:numPr>
        <w:pStyle w:val="Compact"/>
      </w:pPr>
      <w:r>
        <w:t xml:space="preserve">realizar pruebas rutinarias de química, hematología, uroanálisis, inmunología, microbiología, banco de sangre u otras áreas dentro de su competencia y autorización;</w:t>
      </w:r>
    </w:p>
    <w:p>
      <w:pPr>
        <w:numPr>
          <w:ilvl w:val="0"/>
          <w:numId w:val="1002"/>
        </w:numPr>
        <w:pStyle w:val="Compact"/>
      </w:pPr>
      <w:r>
        <w:t xml:space="preserve">preparar reactivos, controles y materiales según procedimiento;</w:t>
      </w:r>
    </w:p>
    <w:p>
      <w:pPr>
        <w:numPr>
          <w:ilvl w:val="0"/>
          <w:numId w:val="1002"/>
        </w:numPr>
        <w:pStyle w:val="Compact"/>
      </w:pPr>
      <w:r>
        <w:t xml:space="preserve">cargar y operar analizadores aprobados;</w:t>
      </w:r>
    </w:p>
    <w:p>
      <w:pPr>
        <w:numPr>
          <w:ilvl w:val="0"/>
          <w:numId w:val="1002"/>
        </w:numPr>
        <w:pStyle w:val="Compact"/>
      </w:pPr>
      <w:r>
        <w:t xml:space="preserve">realizar procedimientos manuales para los que haya recibido capacitación y autorización;</w:t>
      </w:r>
    </w:p>
    <w:p>
      <w:pPr>
        <w:numPr>
          <w:ilvl w:val="0"/>
          <w:numId w:val="1002"/>
        </w:numPr>
        <w:pStyle w:val="Compact"/>
      </w:pPr>
      <w:r>
        <w:t xml:space="preserve">registrar resultados de control de calidad;</w:t>
      </w:r>
    </w:p>
    <w:p>
      <w:pPr>
        <w:numPr>
          <w:ilvl w:val="0"/>
          <w:numId w:val="1002"/>
        </w:numPr>
        <w:pStyle w:val="Compact"/>
      </w:pPr>
      <w:r>
        <w:t xml:space="preserve">calibrar, verificar, limpiar o mantener equipos cuando corresponda;</w:t>
      </w:r>
    </w:p>
    <w:p>
      <w:pPr>
        <w:numPr>
          <w:ilvl w:val="0"/>
          <w:numId w:val="1002"/>
        </w:numPr>
        <w:pStyle w:val="Compact"/>
      </w:pPr>
      <w:r>
        <w:t xml:space="preserve">documentar errores de instrumentos y acciones correctivas;</w:t>
      </w:r>
    </w:p>
    <w:p>
      <w:pPr>
        <w:numPr>
          <w:ilvl w:val="0"/>
          <w:numId w:val="1002"/>
        </w:numPr>
        <w:pStyle w:val="Compact"/>
      </w:pPr>
      <w:r>
        <w:t xml:space="preserve">ingresar o verificar datos en sistemas aprobados dentro de su autoridad;</w:t>
      </w:r>
    </w:p>
    <w:p>
      <w:pPr>
        <w:numPr>
          <w:ilvl w:val="0"/>
          <w:numId w:val="1002"/>
        </w:numPr>
        <w:pStyle w:val="Compact"/>
      </w:pPr>
      <w:r>
        <w:t xml:space="preserve">reconocer hallazgos críticos, inusuales, inconsistentes o fuera de rango y escalarlos según el procedimiento;</w:t>
      </w:r>
    </w:p>
    <w:p>
      <w:pPr>
        <w:numPr>
          <w:ilvl w:val="0"/>
          <w:numId w:val="1002"/>
        </w:numPr>
        <w:pStyle w:val="Compact"/>
      </w:pPr>
      <w:r>
        <w:t xml:space="preserve">preservar observaciones originales y datos instrumentales;</w:t>
      </w:r>
    </w:p>
    <w:p>
      <w:pPr>
        <w:numPr>
          <w:ilvl w:val="0"/>
          <w:numId w:val="1002"/>
        </w:numPr>
        <w:pStyle w:val="Compact"/>
      </w:pPr>
      <w:r>
        <w:t xml:space="preserve">cumplir controles de patógenos transmitidos por sangre, químicos, cortopunzantes, residuos, control de infecciones y EPP.</w:t>
      </w:r>
    </w:p>
    <w:bookmarkEnd w:id="22"/>
    <w:bookmarkStart w:id="23" w:name="X3dd1de8e829a167e0d93d2935c455f733f0a3a5"/>
    <w:p>
      <w:pPr>
        <w:pStyle w:val="Heading3"/>
      </w:pPr>
      <w:r>
        <w:t xml:space="preserve">Un tecnólogo o científico de laboratorio médico puede tener responsabilidades más amplias</w:t>
      </w:r>
    </w:p>
    <w:p>
      <w:pPr>
        <w:pStyle w:val="FirstParagraph"/>
      </w:pPr>
      <w:r>
        <w:t xml:space="preserve">Dependiendo de la jurisdicción y del empleador, puede realizar pruebas más complejas, solución avanzada de problemas, verificación o validación de métodos, microscopía especializada, gestión de calidad, capacitación, evaluación de competencia, supervisión, consulta técnica u otras funciones que exceden el alcance asignado a un técnico.</w:t>
      </w:r>
    </w:p>
    <w:bookmarkEnd w:id="23"/>
    <w:bookmarkStart w:id="24" w:name="Xcbe905b212b0c17f4eebaebc65205472b084f2e"/>
    <w:p>
      <w:pPr>
        <w:pStyle w:val="Heading3"/>
      </w:pPr>
      <w:r>
        <w:t xml:space="preserve">Un auxiliar de laboratorio médico puede tener un papel preanalítico más limitado</w:t>
      </w:r>
    </w:p>
    <w:p>
      <w:pPr>
        <w:pStyle w:val="FirstParagraph"/>
      </w:pPr>
      <w:r>
        <w:t xml:space="preserve">Puede concentrarse en recolección, recepción, identificación, transporte, procesamiento, centrifugación, alicuotado, preparación de reactivos, preparación de equipos, limpieza, apoyo administrativo o procedimientos rutinarios seleccionados. En Canadá, esta ruta más estrecha se representa de forma separada mediante</w:t>
      </w:r>
      <w:r>
        <w:t xml:space="preserve"> </w:t>
      </w:r>
      <w:r>
        <w:rPr>
          <w:bCs/>
          <w:b/>
        </w:rPr>
        <w:t xml:space="preserve">NOC 33101 — Medical laboratory assistants and related technical occupations</w:t>
      </w:r>
      <w:r>
        <w:t xml:space="preserve">.</w:t>
      </w:r>
    </w:p>
    <w:bookmarkEnd w:id="24"/>
    <w:bookmarkStart w:id="25" w:name="Xa1ba4241e938a8c9bd3a702a39658fd3c7ed7bb"/>
    <w:p>
      <w:pPr>
        <w:pStyle w:val="Heading3"/>
      </w:pPr>
      <w:r>
        <w:t xml:space="preserve">Un flebotomista se enfoca en la extracción de sangre</w:t>
      </w:r>
    </w:p>
    <w:p>
      <w:pPr>
        <w:pStyle w:val="FirstParagraph"/>
      </w:pPr>
      <w:r>
        <w:t xml:space="preserve">La flebotomía es una especialidad importante, pero saber tomar sangre no califica por sí solo a una persona para realizar toda la gama de pruebas de laboratorio clínico.</w:t>
      </w:r>
    </w:p>
    <w:bookmarkEnd w:id="25"/>
    <w:bookmarkStart w:id="26" w:name="X1e5ec1338dde2cc5539bb44d1681046cebdefaf"/>
    <w:p>
      <w:pPr>
        <w:pStyle w:val="Heading3"/>
      </w:pPr>
      <w:r>
        <w:t xml:space="preserve">Un patólogo, médico, director de laboratorio u otro profesional autorizado tiene responsabilidades diferentes</w:t>
      </w:r>
    </w:p>
    <w:p>
      <w:pPr>
        <w:pStyle w:val="FirstParagraph"/>
      </w:pPr>
      <w:r>
        <w:t xml:space="preserve">Puede ser responsable de interpretación médica, diagnóstico, dirección del laboratorio, aprobación de métodos, supervisión regulatoria, revisión final, consulta, políticas de liberación de resultados u otras decisiones de altas consecuencias. El técnico debe entender cómo su trabajo apoya esas decisiones sin atribuirse autoridad que no posee.</w:t>
      </w:r>
    </w:p>
    <w:bookmarkEnd w:id="26"/>
    <w:bookmarkEnd w:id="27"/>
    <w:bookmarkStart w:id="28" w:name="responsabilidades-típicas"/>
    <w:p>
      <w:pPr>
        <w:pStyle w:val="Heading2"/>
      </w:pPr>
      <w:r>
        <w:t xml:space="preserve">Responsabilidades típicas</w:t>
      </w:r>
    </w:p>
    <w:p>
      <w:pPr>
        <w:pStyle w:val="FirstParagraph"/>
      </w:pPr>
      <w:r>
        <w:t xml:space="preserve">Según el laboratorio, pueden incluir:</w:t>
      </w:r>
    </w:p>
    <w:p>
      <w:pPr>
        <w:numPr>
          <w:ilvl w:val="0"/>
          <w:numId w:val="1003"/>
        </w:numPr>
        <w:pStyle w:val="Compact"/>
      </w:pPr>
      <w:r>
        <w:t xml:space="preserve">comparar la orden y la muestra con los identificadores requeridos;</w:t>
      </w:r>
    </w:p>
    <w:p>
      <w:pPr>
        <w:numPr>
          <w:ilvl w:val="0"/>
          <w:numId w:val="1003"/>
        </w:numPr>
        <w:pStyle w:val="Compact"/>
      </w:pPr>
      <w:r>
        <w:t xml:space="preserve">etiquetar o registrar muestras mediante flujos aprobados;</w:t>
      </w:r>
    </w:p>
    <w:p>
      <w:pPr>
        <w:numPr>
          <w:ilvl w:val="0"/>
          <w:numId w:val="1003"/>
        </w:numPr>
        <w:pStyle w:val="Compact"/>
      </w:pPr>
      <w:r>
        <w:t xml:space="preserve">documentar hora de recolección o recepción;</w:t>
      </w:r>
    </w:p>
    <w:p>
      <w:pPr>
        <w:numPr>
          <w:ilvl w:val="0"/>
          <w:numId w:val="1003"/>
        </w:numPr>
        <w:pStyle w:val="Compact"/>
      </w:pPr>
      <w:r>
        <w:t xml:space="preserve">verificar tipo, volumen, recipiente, anticoagulante, transporte e integridad visible;</w:t>
      </w:r>
    </w:p>
    <w:p>
      <w:pPr>
        <w:numPr>
          <w:ilvl w:val="0"/>
          <w:numId w:val="1003"/>
        </w:numPr>
        <w:pStyle w:val="Compact"/>
      </w:pPr>
      <w:r>
        <w:t xml:space="preserve">centrifugar, separar, alicuotar o preparar muestras;</w:t>
      </w:r>
    </w:p>
    <w:p>
      <w:pPr>
        <w:numPr>
          <w:ilvl w:val="0"/>
          <w:numId w:val="1003"/>
        </w:numPr>
        <w:pStyle w:val="Compact"/>
      </w:pPr>
      <w:r>
        <w:t xml:space="preserve">preparar portaobjetos, tinciones, diluciones, estándares, controles o reactivos;</w:t>
      </w:r>
    </w:p>
    <w:p>
      <w:pPr>
        <w:numPr>
          <w:ilvl w:val="0"/>
          <w:numId w:val="1003"/>
        </w:numPr>
        <w:pStyle w:val="Compact"/>
      </w:pPr>
      <w:r>
        <w:t xml:space="preserve">realizar pruebas rutinarias automatizadas o manuales;</w:t>
      </w:r>
    </w:p>
    <w:p>
      <w:pPr>
        <w:numPr>
          <w:ilvl w:val="0"/>
          <w:numId w:val="1003"/>
        </w:numPr>
        <w:pStyle w:val="Compact"/>
      </w:pPr>
      <w:r>
        <w:t xml:space="preserve">usar microscopios y contadores celulares;</w:t>
      </w:r>
    </w:p>
    <w:p>
      <w:pPr>
        <w:numPr>
          <w:ilvl w:val="0"/>
          <w:numId w:val="1003"/>
        </w:numPr>
        <w:pStyle w:val="Compact"/>
      </w:pPr>
      <w:r>
        <w:t xml:space="preserve">operar analizadores de química o hematología;</w:t>
      </w:r>
    </w:p>
    <w:p>
      <w:pPr>
        <w:numPr>
          <w:ilvl w:val="0"/>
          <w:numId w:val="1003"/>
        </w:numPr>
        <w:pStyle w:val="Compact"/>
      </w:pPr>
      <w:r>
        <w:t xml:space="preserve">apoyar flujos de microbiología dentro de capacitación y autorización;</w:t>
      </w:r>
    </w:p>
    <w:p>
      <w:pPr>
        <w:numPr>
          <w:ilvl w:val="0"/>
          <w:numId w:val="1003"/>
        </w:numPr>
        <w:pStyle w:val="Compact"/>
      </w:pPr>
      <w:r>
        <w:t xml:space="preserve">realizar uroanálisis y otras pruebas de líquidos corporales;</w:t>
      </w:r>
    </w:p>
    <w:p>
      <w:pPr>
        <w:numPr>
          <w:ilvl w:val="0"/>
          <w:numId w:val="1003"/>
        </w:numPr>
        <w:pStyle w:val="Compact"/>
      </w:pPr>
      <w:r>
        <w:t xml:space="preserve">apoyar inmunología o servicios transfusionales dentro del alcance asignado;</w:t>
      </w:r>
    </w:p>
    <w:p>
      <w:pPr>
        <w:numPr>
          <w:ilvl w:val="0"/>
          <w:numId w:val="1003"/>
        </w:numPr>
        <w:pStyle w:val="Compact"/>
      </w:pPr>
      <w:r>
        <w:t xml:space="preserve">efectuar calibración, verificación de calibración o mantenimiento cuando esté autorizado;</w:t>
      </w:r>
    </w:p>
    <w:p>
      <w:pPr>
        <w:numPr>
          <w:ilvl w:val="0"/>
          <w:numId w:val="1003"/>
        </w:numPr>
        <w:pStyle w:val="Compact"/>
      </w:pPr>
      <w:r>
        <w:t xml:space="preserve">ejecutar y documentar controles de calidad;</w:t>
      </w:r>
    </w:p>
    <w:p>
      <w:pPr>
        <w:numPr>
          <w:ilvl w:val="0"/>
          <w:numId w:val="1003"/>
        </w:numPr>
        <w:pStyle w:val="Compact"/>
      </w:pPr>
      <w:r>
        <w:t xml:space="preserve">reconocer un control fallido o una alerta del instrumento;</w:t>
      </w:r>
    </w:p>
    <w:p>
      <w:pPr>
        <w:numPr>
          <w:ilvl w:val="0"/>
          <w:numId w:val="1003"/>
        </w:numPr>
        <w:pStyle w:val="Compact"/>
      </w:pPr>
      <w:r>
        <w:t xml:space="preserve">documentar acciones correctivas según procedimiento;</w:t>
      </w:r>
    </w:p>
    <w:p>
      <w:pPr>
        <w:numPr>
          <w:ilvl w:val="0"/>
          <w:numId w:val="1003"/>
        </w:numPr>
        <w:pStyle w:val="Compact"/>
      </w:pPr>
      <w:r>
        <w:t xml:space="preserve">registrar resultados en el sistema de información del laboratorio;</w:t>
      </w:r>
    </w:p>
    <w:p>
      <w:pPr>
        <w:numPr>
          <w:ilvl w:val="0"/>
          <w:numId w:val="1003"/>
        </w:numPr>
        <w:pStyle w:val="Compact"/>
      </w:pPr>
      <w:r>
        <w:t xml:space="preserve">comunicar problemas urgentes de flujo a personal autorizado;</w:t>
      </w:r>
    </w:p>
    <w:p>
      <w:pPr>
        <w:numPr>
          <w:ilvl w:val="0"/>
          <w:numId w:val="1003"/>
        </w:numPr>
        <w:pStyle w:val="Compact"/>
      </w:pPr>
      <w:r>
        <w:t xml:space="preserve">mantener registros de reactivos, lotes, vencimientos y temperaturas;</w:t>
      </w:r>
    </w:p>
    <w:p>
      <w:pPr>
        <w:numPr>
          <w:ilvl w:val="0"/>
          <w:numId w:val="1003"/>
        </w:numPr>
        <w:pStyle w:val="Compact"/>
      </w:pPr>
      <w:r>
        <w:t xml:space="preserve">limpiar áreas y equipos según procedimiento;</w:t>
      </w:r>
    </w:p>
    <w:p>
      <w:pPr>
        <w:numPr>
          <w:ilvl w:val="0"/>
          <w:numId w:val="1003"/>
        </w:numPr>
        <w:pStyle w:val="Compact"/>
      </w:pPr>
      <w:r>
        <w:t xml:space="preserve">manejar residuos regulados mediante procesos aprobados;</w:t>
      </w:r>
    </w:p>
    <w:p>
      <w:pPr>
        <w:numPr>
          <w:ilvl w:val="0"/>
          <w:numId w:val="1003"/>
        </w:numPr>
        <w:pStyle w:val="Compact"/>
      </w:pPr>
      <w:r>
        <w:t xml:space="preserve">seguir procedimientos ante exposiciones, derrames e incidentes;</w:t>
      </w:r>
    </w:p>
    <w:p>
      <w:pPr>
        <w:numPr>
          <w:ilvl w:val="0"/>
          <w:numId w:val="1003"/>
        </w:numPr>
        <w:pStyle w:val="Compact"/>
      </w:pPr>
      <w:r>
        <w:t xml:space="preserve">participar en competencia, ensayos de aptitud o actividades de calidad conforme a las reglas del laboratorio.</w:t>
      </w:r>
    </w:p>
    <w:bookmarkEnd w:id="28"/>
    <w:bookmarkStart w:id="29" w:name="lo-que-no-debe-hacer-sin-autoridad"/>
    <w:p>
      <w:pPr>
        <w:pStyle w:val="Heading2"/>
      </w:pPr>
      <w:r>
        <w:t xml:space="preserve">Lo que no debe hacer sin autoridad</w:t>
      </w:r>
    </w:p>
    <w:p>
      <w:pPr>
        <w:pStyle w:val="FirstParagraph"/>
      </w:pPr>
      <w:r>
        <w:t xml:space="preserve">La habilidad técnica no crea autoridad clínica ilimitada.</w:t>
      </w:r>
    </w:p>
    <w:p>
      <w:pPr>
        <w:pStyle w:val="BodyText"/>
      </w:pPr>
      <w:r>
        <w:t xml:space="preserve">No debe:</w:t>
      </w:r>
    </w:p>
    <w:p>
      <w:pPr>
        <w:numPr>
          <w:ilvl w:val="0"/>
          <w:numId w:val="1004"/>
        </w:numPr>
        <w:pStyle w:val="Compact"/>
      </w:pPr>
      <w:r>
        <w:t xml:space="preserve">diagnosticar a un paciente;</w:t>
      </w:r>
    </w:p>
    <w:p>
      <w:pPr>
        <w:numPr>
          <w:ilvl w:val="0"/>
          <w:numId w:val="1004"/>
        </w:numPr>
        <w:pStyle w:val="Compact"/>
      </w:pPr>
      <w:r>
        <w:t xml:space="preserve">explicar médicamente a un paciente qué significa su resultado salvo que esa comunicación esté expresamente dentro de su función y proceso aprobado;</w:t>
      </w:r>
    </w:p>
    <w:p>
      <w:pPr>
        <w:numPr>
          <w:ilvl w:val="0"/>
          <w:numId w:val="1004"/>
        </w:numPr>
        <w:pStyle w:val="Compact"/>
      </w:pPr>
      <w:r>
        <w:t xml:space="preserve">liberar o verificar resultados fuera de su autorización;</w:t>
      </w:r>
    </w:p>
    <w:p>
      <w:pPr>
        <w:numPr>
          <w:ilvl w:val="0"/>
          <w:numId w:val="1004"/>
        </w:numPr>
        <w:pStyle w:val="Compact"/>
      </w:pPr>
      <w:r>
        <w:t xml:space="preserve">cambiar un método validado porque otra forma parece más rápida;</w:t>
      </w:r>
    </w:p>
    <w:p>
      <w:pPr>
        <w:numPr>
          <w:ilvl w:val="0"/>
          <w:numId w:val="1004"/>
        </w:numPr>
        <w:pStyle w:val="Compact"/>
      </w:pPr>
      <w:r>
        <w:t xml:space="preserve">ignorar o anular controles de calidad fallidos;</w:t>
      </w:r>
    </w:p>
    <w:p>
      <w:pPr>
        <w:numPr>
          <w:ilvl w:val="0"/>
          <w:numId w:val="1004"/>
        </w:numPr>
        <w:pStyle w:val="Compact"/>
      </w:pPr>
      <w:r>
        <w:t xml:space="preserve">modificar límites de aceptación sin autorización;</w:t>
      </w:r>
    </w:p>
    <w:p>
      <w:pPr>
        <w:numPr>
          <w:ilvl w:val="0"/>
          <w:numId w:val="1004"/>
        </w:numPr>
        <w:pStyle w:val="Compact"/>
      </w:pPr>
      <w:r>
        <w:t xml:space="preserve">repetir una prueba hasta obtener un resultado preferido, salvo que el procedimiento aprobado defina cuándo corresponde repetirla;</w:t>
      </w:r>
    </w:p>
    <w:p>
      <w:pPr>
        <w:numPr>
          <w:ilvl w:val="0"/>
          <w:numId w:val="1004"/>
        </w:numPr>
        <w:pStyle w:val="Compact"/>
      </w:pPr>
      <w:r>
        <w:t xml:space="preserve">borrar, retrofechar, sobrescribir, fabricar u omitir selectivamente datos;</w:t>
      </w:r>
    </w:p>
    <w:p>
      <w:pPr>
        <w:numPr>
          <w:ilvl w:val="0"/>
          <w:numId w:val="1004"/>
        </w:numPr>
        <w:pStyle w:val="Compact"/>
      </w:pPr>
      <w:r>
        <w:t xml:space="preserve">copiar un resultado de otra muestra;</w:t>
      </w:r>
    </w:p>
    <w:p>
      <w:pPr>
        <w:numPr>
          <w:ilvl w:val="0"/>
          <w:numId w:val="1004"/>
        </w:numPr>
        <w:pStyle w:val="Compact"/>
      </w:pPr>
      <w:r>
        <w:t xml:space="preserve">cambiar el identificador de un paciente o muestra para que los registros parezcan coincidir;</w:t>
      </w:r>
    </w:p>
    <w:p>
      <w:pPr>
        <w:numPr>
          <w:ilvl w:val="0"/>
          <w:numId w:val="1004"/>
        </w:numPr>
        <w:pStyle w:val="Compact"/>
      </w:pPr>
      <w:r>
        <w:t xml:space="preserve">usar credenciales, iniciales o firma electrónica de otra persona;</w:t>
      </w:r>
    </w:p>
    <w:p>
      <w:pPr>
        <w:numPr>
          <w:ilvl w:val="0"/>
          <w:numId w:val="1004"/>
        </w:numPr>
        <w:pStyle w:val="Compact"/>
      </w:pPr>
      <w:r>
        <w:t xml:space="preserve">reportar un resultado de ensayo de aptitud obtenido mediante colaboración o remisión prohibida;</w:t>
      </w:r>
    </w:p>
    <w:p>
      <w:pPr>
        <w:numPr>
          <w:ilvl w:val="0"/>
          <w:numId w:val="1004"/>
        </w:numPr>
        <w:pStyle w:val="Compact"/>
      </w:pPr>
      <w:r>
        <w:t xml:space="preserve">operar un método o instrumento antes de completar la capacitación y competencia requeridas;</w:t>
      </w:r>
    </w:p>
    <w:p>
      <w:pPr>
        <w:numPr>
          <w:ilvl w:val="0"/>
          <w:numId w:val="1004"/>
        </w:numPr>
        <w:pStyle w:val="Compact"/>
      </w:pPr>
      <w:r>
        <w:t xml:space="preserve">improvisar ante un derrame, exposición, cultivo, producto químico o incidente con cortopunzantes;</w:t>
      </w:r>
    </w:p>
    <w:p>
      <w:pPr>
        <w:numPr>
          <w:ilvl w:val="0"/>
          <w:numId w:val="1004"/>
        </w:numPr>
        <w:pStyle w:val="Compact"/>
      </w:pPr>
      <w:r>
        <w:t xml:space="preserve">volver a tapar, doblar o manipular agujas contaminadas en contra del procedimiento aprobado;</w:t>
      </w:r>
    </w:p>
    <w:p>
      <w:pPr>
        <w:numPr>
          <w:ilvl w:val="0"/>
          <w:numId w:val="1004"/>
        </w:numPr>
        <w:pStyle w:val="Compact"/>
      </w:pPr>
      <w:r>
        <w:t xml:space="preserve">introducir información del paciente, resultados, exportaciones instrumentales, imágenes, credenciales o métodos propietarios en una herramienta de IA no aprobada;</w:t>
      </w:r>
    </w:p>
    <w:p>
      <w:pPr>
        <w:numPr>
          <w:ilvl w:val="0"/>
          <w:numId w:val="1004"/>
        </w:numPr>
        <w:pStyle w:val="Compact"/>
      </w:pPr>
      <w:r>
        <w:t xml:space="preserve">declarar una certificación ASCP, licencia estatal, registro provincial, credencial colombiana u otra que no haya obtenido;</w:t>
      </w:r>
    </w:p>
    <w:p>
      <w:pPr>
        <w:numPr>
          <w:ilvl w:val="0"/>
          <w:numId w:val="1004"/>
        </w:numPr>
        <w:pStyle w:val="Compact"/>
      </w:pPr>
      <w:r>
        <w:t xml:space="preserve">afirmar que un curso corto lo hace legalmente competente para una función clínica regulada.</w:t>
      </w:r>
    </w:p>
    <w:p>
      <w:pPr>
        <w:pStyle w:val="FirstParagraph"/>
      </w:pPr>
      <w:r>
        <w:t xml:space="preserve">Cuando algo esté mal, preserve la muestra y los registros si es seguro, proteja a las personas de un peligro inmediato y escale mediante el proceso aprobado del laboratorio.</w:t>
      </w:r>
    </w:p>
    <w:bookmarkEnd w:id="29"/>
    <w:bookmarkStart w:id="36" w:name="flujo-sencillo-de-muestra-a-resultado"/>
    <w:p>
      <w:pPr>
        <w:pStyle w:val="Heading2"/>
      </w:pPr>
      <w:r>
        <w:t xml:space="preserve">Flujo sencillo de muestra a resultado</w:t>
      </w:r>
    </w:p>
    <w:bookmarkStart w:id="30" w:name="X49e61949722614adf8f05f5dce23ab4844a888a"/>
    <w:p>
      <w:pPr>
        <w:pStyle w:val="Heading3"/>
      </w:pPr>
      <w:r>
        <w:t xml:space="preserve">1. Confirmar la orden y la identidad</w:t>
      </w:r>
    </w:p>
    <w:p>
      <w:pPr>
        <w:pStyle w:val="FirstParagraph"/>
      </w:pPr>
      <w:r>
        <w:t xml:space="preserve">Antes de analizar, confirme los identificadores requeridos, la prueba solicitada, el tipo de muestra, el recipiente y los requisitos de recolección y manejo.</w:t>
      </w:r>
    </w:p>
    <w:p>
      <w:pPr>
        <w:pStyle w:val="BodyText"/>
      </w:pPr>
      <w:r>
        <w:t xml:space="preserve">Nunca “corrija” un problema de identidad adivinando. Si los identificadores no cumplen la política, use el proceso de rechazo, nueva toma o excepción definido por el laboratorio.</w:t>
      </w:r>
    </w:p>
    <w:bookmarkEnd w:id="30"/>
    <w:bookmarkStart w:id="31" w:name="Xbfc0475d89644b337977ccc5cdb76b800d4768c"/>
    <w:p>
      <w:pPr>
        <w:pStyle w:val="Heading3"/>
      </w:pPr>
      <w:r>
        <w:t xml:space="preserve">2. Proteger la muestra durante la fase preanalítica</w:t>
      </w:r>
    </w:p>
    <w:p>
      <w:pPr>
        <w:pStyle w:val="FirstParagraph"/>
      </w:pPr>
      <w:r>
        <w:t xml:space="preserve">Compruebe lo que el procedimiento exige para:</w:t>
      </w:r>
    </w:p>
    <w:p>
      <w:pPr>
        <w:numPr>
          <w:ilvl w:val="0"/>
          <w:numId w:val="1005"/>
        </w:numPr>
        <w:pStyle w:val="Compact"/>
      </w:pPr>
      <w:r>
        <w:t xml:space="preserve">recipiente y aditivo;</w:t>
      </w:r>
    </w:p>
    <w:p>
      <w:pPr>
        <w:numPr>
          <w:ilvl w:val="0"/>
          <w:numId w:val="1005"/>
        </w:numPr>
        <w:pStyle w:val="Compact"/>
      </w:pPr>
      <w:r>
        <w:t xml:space="preserve">volumen;</w:t>
      </w:r>
    </w:p>
    <w:p>
      <w:pPr>
        <w:numPr>
          <w:ilvl w:val="0"/>
          <w:numId w:val="1005"/>
        </w:numPr>
        <w:pStyle w:val="Compact"/>
      </w:pPr>
      <w:r>
        <w:t xml:space="preserve">etiquetado;</w:t>
      </w:r>
    </w:p>
    <w:p>
      <w:pPr>
        <w:numPr>
          <w:ilvl w:val="0"/>
          <w:numId w:val="1005"/>
        </w:numPr>
        <w:pStyle w:val="Compact"/>
      </w:pPr>
      <w:r>
        <w:t xml:space="preserve">hora de recolección;</w:t>
      </w:r>
    </w:p>
    <w:p>
      <w:pPr>
        <w:numPr>
          <w:ilvl w:val="0"/>
          <w:numId w:val="1005"/>
        </w:numPr>
        <w:pStyle w:val="Compact"/>
      </w:pPr>
      <w:r>
        <w:t xml:space="preserve">tiempo de transporte;</w:t>
      </w:r>
    </w:p>
    <w:p>
      <w:pPr>
        <w:numPr>
          <w:ilvl w:val="0"/>
          <w:numId w:val="1005"/>
        </w:numPr>
        <w:pStyle w:val="Compact"/>
      </w:pPr>
      <w:r>
        <w:t xml:space="preserve">temperatura;</w:t>
      </w:r>
    </w:p>
    <w:p>
      <w:pPr>
        <w:numPr>
          <w:ilvl w:val="0"/>
          <w:numId w:val="1005"/>
        </w:numPr>
        <w:pStyle w:val="Compact"/>
      </w:pPr>
      <w:r>
        <w:t xml:space="preserve">protección de la luz;</w:t>
      </w:r>
    </w:p>
    <w:p>
      <w:pPr>
        <w:numPr>
          <w:ilvl w:val="0"/>
          <w:numId w:val="1005"/>
        </w:numPr>
        <w:pStyle w:val="Compact"/>
      </w:pPr>
      <w:r>
        <w:t xml:space="preserve">centrifugación;</w:t>
      </w:r>
    </w:p>
    <w:p>
      <w:pPr>
        <w:numPr>
          <w:ilvl w:val="0"/>
          <w:numId w:val="1005"/>
        </w:numPr>
        <w:pStyle w:val="Compact"/>
      </w:pPr>
      <w:r>
        <w:t xml:space="preserve">coagulación;</w:t>
      </w:r>
    </w:p>
    <w:p>
      <w:pPr>
        <w:numPr>
          <w:ilvl w:val="0"/>
          <w:numId w:val="1005"/>
        </w:numPr>
        <w:pStyle w:val="Compact"/>
      </w:pPr>
      <w:r>
        <w:t xml:space="preserve">hemólisis, lipemia, contaminación o fuga;</w:t>
      </w:r>
    </w:p>
    <w:p>
      <w:pPr>
        <w:numPr>
          <w:ilvl w:val="0"/>
          <w:numId w:val="1005"/>
        </w:numPr>
        <w:pStyle w:val="Compact"/>
      </w:pPr>
      <w:r>
        <w:t xml:space="preserve">almacenamiento y estabilidad.</w:t>
      </w:r>
    </w:p>
    <w:p>
      <w:pPr>
        <w:pStyle w:val="FirstParagraph"/>
      </w:pPr>
      <w:r>
        <w:t xml:space="preserve">Un analizador sofisticado no puede corregir una muestra del paciente equivocado o manejada fuera de condiciones validadas.</w:t>
      </w:r>
    </w:p>
    <w:bookmarkEnd w:id="31"/>
    <w:bookmarkStart w:id="32" w:name="X296a8f49d41c46c19332defdf9202e109664111"/>
    <w:p>
      <w:pPr>
        <w:pStyle w:val="Heading3"/>
      </w:pPr>
      <w:r>
        <w:t xml:space="preserve">3. Verificar instrumento, reactivos y estado de QC</w:t>
      </w:r>
    </w:p>
    <w:p>
      <w:pPr>
        <w:pStyle w:val="FirstParagraph"/>
      </w:pPr>
      <w:r>
        <w:t xml:space="preserve">Antes de analizar muestras de pacientes, confirme que equipo, reactivos, controles, calibración y mantenimiento cumplen los requisitos aprobados.</w:t>
      </w:r>
    </w:p>
    <w:p>
      <w:pPr>
        <w:pStyle w:val="BodyText"/>
      </w:pPr>
      <w:r>
        <w:t xml:space="preserve">Si falla el control de calidad, deténgase y siga el procedimiento. No decida por cuenta propia que los resultados del paciente “probablemente están bien”.</w:t>
      </w:r>
    </w:p>
    <w:bookmarkEnd w:id="32"/>
    <w:bookmarkStart w:id="33" w:name="Xe47095849dec1df51fe02a1f3c8fe4e6dd83277"/>
    <w:p>
      <w:pPr>
        <w:pStyle w:val="Heading3"/>
      </w:pPr>
      <w:r>
        <w:t xml:space="preserve">4. Ejecutar el procedimiento aprobado</w:t>
      </w:r>
    </w:p>
    <w:p>
      <w:pPr>
        <w:pStyle w:val="FirstParagraph"/>
      </w:pPr>
      <w:r>
        <w:t xml:space="preserve">Siga el SOP vigente y las instrucciones validadas del fabricante/laboratorio. Use unidades, volúmenes, tiempos, secuencia y controles de seguridad correctos. No haga atajos no documentados.</w:t>
      </w:r>
    </w:p>
    <w:bookmarkEnd w:id="33"/>
    <w:bookmarkStart w:id="34" w:name="X1b88207c36b506e491a1d9f7584457af3c4ba3c"/>
    <w:p>
      <w:pPr>
        <w:pStyle w:val="Heading3"/>
      </w:pPr>
      <w:r>
        <w:t xml:space="preserve">5. Revisar la validez técnica</w:t>
      </w:r>
    </w:p>
    <w:p>
      <w:pPr>
        <w:pStyle w:val="FirstParagraph"/>
      </w:pPr>
      <w:r>
        <w:t xml:space="preserve">Dentro de su función, revise alertas del instrumento, estado de controles, reglas de rangos de referencia o reporte, diluciones, combinaciones imposibles, problemas de muestra, delta checks u otros criterios definidos por el laboratorio.</w:t>
      </w:r>
    </w:p>
    <w:bookmarkEnd w:id="34"/>
    <w:bookmarkStart w:id="35" w:name="X97ba4063d758a1103129f20f5ec849a028f805a"/>
    <w:p>
      <w:pPr>
        <w:pStyle w:val="Heading3"/>
      </w:pPr>
      <w:r>
        <w:t xml:space="preserve">6. Documentar y escalar</w:t>
      </w:r>
    </w:p>
    <w:p>
      <w:pPr>
        <w:pStyle w:val="FirstParagraph"/>
      </w:pPr>
      <w:r>
        <w:t xml:space="preserve">Registre lo que realmente ocurrió. Si un resultado es crítico, inconsistente, excede límites reportables, está afectado por QC fallido, se relaciona con un problema de muestra o requiere revisión por otra razón, siga el procedimiento de escalamiento y comunicación.</w:t>
      </w:r>
    </w:p>
    <w:bookmarkEnd w:id="35"/>
    <w:bookmarkEnd w:id="36"/>
    <w:bookmarkStart w:id="37" w:name="X9466f4dd64ed58f6b5ea95e67a781e2b13642b3"/>
    <w:p>
      <w:pPr>
        <w:pStyle w:val="Heading2"/>
      </w:pPr>
      <w:r>
        <w:t xml:space="preserve">CLIA y complejidad de pruebas — Estados Unidos</w:t>
      </w:r>
    </w:p>
    <w:p>
      <w:pPr>
        <w:pStyle w:val="FirstParagraph"/>
      </w:pPr>
      <w:r>
        <w:t xml:space="preserve">Las</w:t>
      </w:r>
      <w:r>
        <w:t xml:space="preserve"> </w:t>
      </w:r>
      <w:r>
        <w:rPr>
          <w:bCs/>
          <w:b/>
        </w:rPr>
        <w:t xml:space="preserve">Clinical Laboratory Improvement Amendments of 1988 (CLIA)</w:t>
      </w:r>
      <w:r>
        <w:t xml:space="preserve"> </w:t>
      </w:r>
      <w:r>
        <w:t xml:space="preserve">establecen estándares federales de calidad para instalaciones o sitios de Estados Unidos que analizan muestras humanas para evaluación de salud o para diagnóstico, prevención o tratamiento de enfermedades.</w:t>
      </w:r>
    </w:p>
    <w:p>
      <w:pPr>
        <w:pStyle w:val="BodyText"/>
      </w:pPr>
      <w:r>
        <w:t xml:space="preserve">Las pruebas pueden clasificarse como exentas (</w:t>
      </w:r>
      <w:r>
        <w:rPr>
          <w:rStyle w:val="VerbatimChar"/>
        </w:rPr>
        <w:t xml:space="preserve">waived</w:t>
      </w:r>
      <w:r>
        <w:t xml:space="preserve">), de complejidad moderada o de alta complejidad. El certificado aplicable del laboratorio, los requisitos del sistema de calidad y las calificaciones del personal dependen de las pruebas y de otros factores.</w:t>
      </w:r>
    </w:p>
    <w:p>
      <w:pPr>
        <w:pStyle w:val="BodyText"/>
      </w:pPr>
      <w:r>
        <w:t xml:space="preserve">Puntos importantes:</w:t>
      </w:r>
    </w:p>
    <w:p>
      <w:pPr>
        <w:numPr>
          <w:ilvl w:val="0"/>
          <w:numId w:val="1006"/>
        </w:numPr>
        <w:pStyle w:val="Compact"/>
      </w:pPr>
      <w:r>
        <w:rPr>
          <w:rStyle w:val="VerbatimChar"/>
        </w:rPr>
        <w:t xml:space="preserve">waived</w:t>
      </w:r>
      <w:r>
        <w:t xml:space="preserve"> </w:t>
      </w:r>
      <w:r>
        <w:t xml:space="preserve">no significa libre de errores;</w:t>
      </w:r>
    </w:p>
    <w:p>
      <w:pPr>
        <w:numPr>
          <w:ilvl w:val="0"/>
          <w:numId w:val="1006"/>
        </w:numPr>
        <w:pStyle w:val="Compact"/>
      </w:pPr>
      <w:r>
        <w:t xml:space="preserve">las pruebas no exentas están sujetas a requisitos adicionales de calidad;</w:t>
      </w:r>
    </w:p>
    <w:p>
      <w:pPr>
        <w:numPr>
          <w:ilvl w:val="0"/>
          <w:numId w:val="1006"/>
        </w:numPr>
        <w:pStyle w:val="Compact"/>
      </w:pPr>
      <w:r>
        <w:t xml:space="preserve">las pruebas de complejidad moderada y alta tienen requisitos de personal;</w:t>
      </w:r>
    </w:p>
    <w:p>
      <w:pPr>
        <w:numPr>
          <w:ilvl w:val="0"/>
          <w:numId w:val="1006"/>
        </w:numPr>
        <w:pStyle w:val="Compact"/>
      </w:pPr>
      <w:r>
        <w:t xml:space="preserve">las pruebas desarrolladas por el laboratorio o modificadas respecto del fabricante pueden clasificarse como alta complejidad;</w:t>
      </w:r>
    </w:p>
    <w:p>
      <w:pPr>
        <w:numPr>
          <w:ilvl w:val="0"/>
          <w:numId w:val="1006"/>
        </w:numPr>
        <w:pStyle w:val="Compact"/>
      </w:pPr>
      <w:r>
        <w:t xml:space="preserve">CLIA no es necesariamente la única regla: leyes estatales, acreditadores y políticas del empleador pueden añadir requisitos;</w:t>
      </w:r>
    </w:p>
    <w:p>
      <w:pPr>
        <w:numPr>
          <w:ilvl w:val="0"/>
          <w:numId w:val="1006"/>
        </w:numPr>
        <w:pStyle w:val="Compact"/>
      </w:pPr>
      <w:r>
        <w:t xml:space="preserve">un título de puesto no demuestra por sí mismo que una persona cumple las calificaciones de personal para un sistema o función concreta.</w:t>
      </w:r>
    </w:p>
    <w:p>
      <w:pPr>
        <w:pStyle w:val="FirstParagraph"/>
      </w:pPr>
      <w:r>
        <w:t xml:space="preserve">Para decisiones reales de elegibilidad, consulte fuentes vigentes de CMS/CDC/eCFR y al liderazgo autorizado de cumplimiento del laboratorio.</w:t>
      </w:r>
    </w:p>
    <w:bookmarkEnd w:id="37"/>
    <w:bookmarkStart w:id="41" w:name="X669245cc94aace66313dc3d9b8c3cd8e527e516"/>
    <w:p>
      <w:pPr>
        <w:pStyle w:val="Heading2"/>
      </w:pPr>
      <w:r>
        <w:t xml:space="preserve">Control de calidad, aseguramiento de calidad y ensayos de aptitud</w:t>
      </w:r>
    </w:p>
    <w:p>
      <w:pPr>
        <w:pStyle w:val="FirstParagraph"/>
      </w:pPr>
      <w:r>
        <w:t xml:space="preserve">La confiabilidad depende de sistemas, no de la confianza individual.</w:t>
      </w:r>
    </w:p>
    <w:bookmarkStart w:id="38" w:name="control-de-calidad"/>
    <w:p>
      <w:pPr>
        <w:pStyle w:val="Heading3"/>
      </w:pPr>
      <w:r>
        <w:t xml:space="preserve">Control de calidad</w:t>
      </w:r>
    </w:p>
    <w:p>
      <w:pPr>
        <w:pStyle w:val="FirstParagraph"/>
      </w:pPr>
      <w:r>
        <w:t xml:space="preserve">El QC monitorea si el sistema de prueba funciona dentro de expectativas definidas. Un técnico puede ejecutar controles, revisar su estado dentro de su autoridad, documentar fallas, investigar causas definidas y escalar problemas no resueltos.</w:t>
      </w:r>
    </w:p>
    <w:p>
      <w:pPr>
        <w:pStyle w:val="BodyText"/>
      </w:pPr>
      <w:r>
        <w:t xml:space="preserve">No use resultados de pacientes cuando el sistema de calidad indica que son inválidos.</w:t>
      </w:r>
    </w:p>
    <w:bookmarkEnd w:id="38"/>
    <w:bookmarkStart w:id="39" w:name="aseguramiento-y-gestión-de-calidad"/>
    <w:p>
      <w:pPr>
        <w:pStyle w:val="Heading3"/>
      </w:pPr>
      <w:r>
        <w:t xml:space="preserve">Aseguramiento y gestión de calidad</w:t>
      </w:r>
    </w:p>
    <w:p>
      <w:pPr>
        <w:pStyle w:val="FirstParagraph"/>
      </w:pPr>
      <w:r>
        <w:t xml:space="preserve">La calidad cubre el proceso completo:</w:t>
      </w:r>
    </w:p>
    <w:p>
      <w:pPr>
        <w:numPr>
          <w:ilvl w:val="0"/>
          <w:numId w:val="1007"/>
        </w:numPr>
        <w:pStyle w:val="Compact"/>
      </w:pPr>
      <w:r>
        <w:t xml:space="preserve">orden correcta;</w:t>
      </w:r>
    </w:p>
    <w:p>
      <w:pPr>
        <w:numPr>
          <w:ilvl w:val="0"/>
          <w:numId w:val="1007"/>
        </w:numPr>
        <w:pStyle w:val="Compact"/>
      </w:pPr>
      <w:r>
        <w:t xml:space="preserve">identificación de paciente/muestra;</w:t>
      </w:r>
    </w:p>
    <w:p>
      <w:pPr>
        <w:numPr>
          <w:ilvl w:val="0"/>
          <w:numId w:val="1007"/>
        </w:numPr>
        <w:pStyle w:val="Compact"/>
      </w:pPr>
      <w:r>
        <w:t xml:space="preserve">recolección;</w:t>
      </w:r>
    </w:p>
    <w:p>
      <w:pPr>
        <w:numPr>
          <w:ilvl w:val="0"/>
          <w:numId w:val="1007"/>
        </w:numPr>
        <w:pStyle w:val="Compact"/>
      </w:pPr>
      <w:r>
        <w:t xml:space="preserve">transporte;</w:t>
      </w:r>
    </w:p>
    <w:p>
      <w:pPr>
        <w:numPr>
          <w:ilvl w:val="0"/>
          <w:numId w:val="1007"/>
        </w:numPr>
        <w:pStyle w:val="Compact"/>
      </w:pPr>
      <w:r>
        <w:t xml:space="preserve">preparación;</w:t>
      </w:r>
    </w:p>
    <w:p>
      <w:pPr>
        <w:numPr>
          <w:ilvl w:val="0"/>
          <w:numId w:val="1007"/>
        </w:numPr>
        <w:pStyle w:val="Compact"/>
      </w:pPr>
      <w:r>
        <w:t xml:space="preserve">análisis;</w:t>
      </w:r>
    </w:p>
    <w:p>
      <w:pPr>
        <w:numPr>
          <w:ilvl w:val="0"/>
          <w:numId w:val="1007"/>
        </w:numPr>
        <w:pStyle w:val="Compact"/>
      </w:pPr>
      <w:r>
        <w:t xml:space="preserve">revisión;</w:t>
      </w:r>
    </w:p>
    <w:p>
      <w:pPr>
        <w:numPr>
          <w:ilvl w:val="0"/>
          <w:numId w:val="1007"/>
        </w:numPr>
        <w:pStyle w:val="Compact"/>
      </w:pPr>
      <w:r>
        <w:t xml:space="preserve">reporte;</w:t>
      </w:r>
    </w:p>
    <w:p>
      <w:pPr>
        <w:numPr>
          <w:ilvl w:val="0"/>
          <w:numId w:val="1007"/>
        </w:numPr>
        <w:pStyle w:val="Compact"/>
      </w:pPr>
      <w:r>
        <w:t xml:space="preserve">conservación de registros;</w:t>
      </w:r>
    </w:p>
    <w:p>
      <w:pPr>
        <w:numPr>
          <w:ilvl w:val="0"/>
          <w:numId w:val="1007"/>
        </w:numPr>
        <w:pStyle w:val="Compact"/>
      </w:pPr>
      <w:r>
        <w:t xml:space="preserve">acción correctiva;</w:t>
      </w:r>
    </w:p>
    <w:p>
      <w:pPr>
        <w:numPr>
          <w:ilvl w:val="0"/>
          <w:numId w:val="1007"/>
        </w:numPr>
        <w:pStyle w:val="Compact"/>
      </w:pPr>
      <w:r>
        <w:t xml:space="preserve">gestión de equipos;</w:t>
      </w:r>
    </w:p>
    <w:p>
      <w:pPr>
        <w:numPr>
          <w:ilvl w:val="0"/>
          <w:numId w:val="1007"/>
        </w:numPr>
        <w:pStyle w:val="Compact"/>
      </w:pPr>
      <w:r>
        <w:t xml:space="preserve">competencia;</w:t>
      </w:r>
    </w:p>
    <w:p>
      <w:pPr>
        <w:numPr>
          <w:ilvl w:val="0"/>
          <w:numId w:val="1007"/>
        </w:numPr>
        <w:pStyle w:val="Compact"/>
      </w:pPr>
      <w:r>
        <w:t xml:space="preserve">control documental;</w:t>
      </w:r>
    </w:p>
    <w:p>
      <w:pPr>
        <w:numPr>
          <w:ilvl w:val="0"/>
          <w:numId w:val="1007"/>
        </w:numPr>
        <w:pStyle w:val="Compact"/>
      </w:pPr>
      <w:r>
        <w:t xml:space="preserve">gestión de incidentes.</w:t>
      </w:r>
    </w:p>
    <w:bookmarkEnd w:id="39"/>
    <w:bookmarkStart w:id="40" w:name="ensayos-de-aptitud"/>
    <w:p>
      <w:pPr>
        <w:pStyle w:val="Heading3"/>
      </w:pPr>
      <w:r>
        <w:t xml:space="preserve">Ensayos de aptitud</w:t>
      </w:r>
    </w:p>
    <w:p>
      <w:pPr>
        <w:pStyle w:val="FirstParagraph"/>
      </w:pPr>
      <w:r>
        <w:t xml:space="preserve">Los ensayos de aptitud evalúan el desempeño con muestras externas cuando corresponde. Trate estas muestras conforme a las reglas aplicables y al procedimiento del laboratorio. No solicite ayuda externa prohibida, sustituya el resultado de otro laboratorio ni manipule el proceso para obtener una calificación aprobatoria.</w:t>
      </w:r>
    </w:p>
    <w:bookmarkEnd w:id="40"/>
    <w:bookmarkEnd w:id="41"/>
    <w:bookmarkStart w:id="42" w:name="Xbf9fe20cbf159b33d0121b597e0c7d562aa0124"/>
    <w:p>
      <w:pPr>
        <w:pStyle w:val="Heading2"/>
      </w:pPr>
      <w:r>
        <w:t xml:space="preserve">Identificación y trazabilidad de muestras</w:t>
      </w:r>
    </w:p>
    <w:p>
      <w:pPr>
        <w:pStyle w:val="FirstParagraph"/>
      </w:pPr>
      <w:r>
        <w:t xml:space="preserve">La identidad de la muestra es un control de seguridad del paciente.</w:t>
      </w:r>
    </w:p>
    <w:p>
      <w:pPr>
        <w:pStyle w:val="BodyText"/>
      </w:pPr>
      <w:r>
        <w:t xml:space="preserve">Buenas prácticas:</w:t>
      </w:r>
    </w:p>
    <w:p>
      <w:pPr>
        <w:numPr>
          <w:ilvl w:val="0"/>
          <w:numId w:val="1008"/>
        </w:numPr>
        <w:pStyle w:val="Compact"/>
      </w:pPr>
      <w:r>
        <w:t xml:space="preserve">usar los identificadores requeridos;</w:t>
      </w:r>
    </w:p>
    <w:p>
      <w:pPr>
        <w:numPr>
          <w:ilvl w:val="0"/>
          <w:numId w:val="1008"/>
        </w:numPr>
        <w:pStyle w:val="Compact"/>
      </w:pPr>
      <w:r>
        <w:t xml:space="preserve">etiquetar en el punto exigido por el proceso;</w:t>
      </w:r>
    </w:p>
    <w:p>
      <w:pPr>
        <w:numPr>
          <w:ilvl w:val="0"/>
          <w:numId w:val="1008"/>
        </w:numPr>
        <w:pStyle w:val="Compact"/>
      </w:pPr>
      <w:r>
        <w:t xml:space="preserve">conservar horas de recolección y recepción;</w:t>
      </w:r>
    </w:p>
    <w:p>
      <w:pPr>
        <w:numPr>
          <w:ilvl w:val="0"/>
          <w:numId w:val="1008"/>
        </w:numPr>
        <w:pStyle w:val="Compact"/>
      </w:pPr>
      <w:r>
        <w:t xml:space="preserve">usar códigos de barras solo como fueron diseñados;</w:t>
      </w:r>
    </w:p>
    <w:p>
      <w:pPr>
        <w:numPr>
          <w:ilvl w:val="0"/>
          <w:numId w:val="1008"/>
        </w:numPr>
        <w:pStyle w:val="Compact"/>
      </w:pPr>
      <w:r>
        <w:t xml:space="preserve">verificar la identidad de alícuotas;</w:t>
      </w:r>
    </w:p>
    <w:p>
      <w:pPr>
        <w:numPr>
          <w:ilvl w:val="0"/>
          <w:numId w:val="1008"/>
        </w:numPr>
        <w:pStyle w:val="Compact"/>
      </w:pPr>
      <w:r>
        <w:t xml:space="preserve">mantener trazable la relación entre muestra original y derivadas;</w:t>
      </w:r>
    </w:p>
    <w:p>
      <w:pPr>
        <w:numPr>
          <w:ilvl w:val="0"/>
          <w:numId w:val="1008"/>
        </w:numPr>
        <w:pStyle w:val="Compact"/>
      </w:pPr>
      <w:r>
        <w:t xml:space="preserve">documentar transferencias y envíos externos;</w:t>
      </w:r>
    </w:p>
    <w:p>
      <w:pPr>
        <w:numPr>
          <w:ilvl w:val="0"/>
          <w:numId w:val="1008"/>
        </w:numPr>
        <w:pStyle w:val="Compact"/>
      </w:pPr>
      <w:r>
        <w:t xml:space="preserve">cumplir cadena de custodia cuando corresponda;</w:t>
      </w:r>
    </w:p>
    <w:p>
      <w:pPr>
        <w:numPr>
          <w:ilvl w:val="0"/>
          <w:numId w:val="1008"/>
        </w:numPr>
        <w:pStyle w:val="Compact"/>
      </w:pPr>
      <w:r>
        <w:t xml:space="preserve">registrar rechazo o nueva toma en sistemas aprobados;</w:t>
      </w:r>
    </w:p>
    <w:p>
      <w:pPr>
        <w:numPr>
          <w:ilvl w:val="0"/>
          <w:numId w:val="1008"/>
        </w:numPr>
        <w:pStyle w:val="Compact"/>
      </w:pPr>
      <w:r>
        <w:t xml:space="preserve">nunca reetiquetar de memoria.</w:t>
      </w:r>
    </w:p>
    <w:p>
      <w:pPr>
        <w:pStyle w:val="FirstParagraph"/>
      </w:pPr>
      <w:r>
        <w:t xml:space="preserve">Si la identidad es incierta, deténgase y escale.</w:t>
      </w:r>
    </w:p>
    <w:bookmarkEnd w:id="42"/>
    <w:bookmarkStart w:id="43" w:name="X1af1c497ea5f71ca0abc1016e4ca49eea76a679"/>
    <w:p>
      <w:pPr>
        <w:pStyle w:val="Heading2"/>
      </w:pPr>
      <w:r>
        <w:t xml:space="preserve">Patógenos transmitidos por sangre y objetos cortopunzantes</w:t>
      </w:r>
    </w:p>
    <w:p>
      <w:pPr>
        <w:pStyle w:val="FirstParagraph"/>
      </w:pPr>
      <w:r>
        <w:t xml:space="preserve">El personal de laboratorio clínico puede entrar en contacto con sangre y otros materiales potencialmente infecciosos.</w:t>
      </w:r>
    </w:p>
    <w:p>
      <w:pPr>
        <w:pStyle w:val="BodyText"/>
      </w:pPr>
      <w:r>
        <w:t xml:space="preserve">En Estados Unidos, la norma OSHA 29 CFR 1910.1030 aborda la exposición ocupacional e incluye planes de control, precauciones universales, controles de ingeniería y de práctica laboral, EPP, seguridad con cortopunzantes, capacitación y procesos posteriores a la exposición.</w:t>
      </w:r>
    </w:p>
    <w:p>
      <w:pPr>
        <w:pStyle w:val="BodyText"/>
      </w:pPr>
      <w:r>
        <w:t xml:space="preserve">Hábitos prácticos:</w:t>
      </w:r>
    </w:p>
    <w:p>
      <w:pPr>
        <w:numPr>
          <w:ilvl w:val="0"/>
          <w:numId w:val="1009"/>
        </w:numPr>
        <w:pStyle w:val="Compact"/>
      </w:pPr>
      <w:r>
        <w:t xml:space="preserve">tratar los materiales humanos aplicables como potencialmente infecciosos;</w:t>
      </w:r>
    </w:p>
    <w:p>
      <w:pPr>
        <w:numPr>
          <w:ilvl w:val="0"/>
          <w:numId w:val="1009"/>
        </w:numPr>
        <w:pStyle w:val="Compact"/>
      </w:pPr>
      <w:r>
        <w:t xml:space="preserve">usar el EPP requerido;</w:t>
      </w:r>
    </w:p>
    <w:p>
      <w:pPr>
        <w:numPr>
          <w:ilvl w:val="0"/>
          <w:numId w:val="1009"/>
        </w:numPr>
        <w:pStyle w:val="Compact"/>
      </w:pPr>
      <w:r>
        <w:t xml:space="preserve">mantener las manos alejadas de la cara mientras usa guantes;</w:t>
      </w:r>
    </w:p>
    <w:p>
      <w:pPr>
        <w:numPr>
          <w:ilvl w:val="0"/>
          <w:numId w:val="1009"/>
        </w:numPr>
        <w:pStyle w:val="Compact"/>
      </w:pPr>
      <w:r>
        <w:t xml:space="preserve">lavarse las manos después de retirar guantes y según requiera el incidente;</w:t>
      </w:r>
    </w:p>
    <w:p>
      <w:pPr>
        <w:numPr>
          <w:ilvl w:val="0"/>
          <w:numId w:val="1009"/>
        </w:numPr>
        <w:pStyle w:val="Compact"/>
      </w:pPr>
      <w:r>
        <w:t xml:space="preserve">usar recipientes aprobados para cortopunzantes;</w:t>
      </w:r>
    </w:p>
    <w:p>
      <w:pPr>
        <w:numPr>
          <w:ilvl w:val="0"/>
          <w:numId w:val="1009"/>
        </w:numPr>
        <w:pStyle w:val="Compact"/>
      </w:pPr>
      <w:r>
        <w:t xml:space="preserve">no doblar, romper o volver a tapar agujas contaminadas salvo circunstancias estrechamente definidas y controladas;</w:t>
      </w:r>
    </w:p>
    <w:p>
      <w:pPr>
        <w:numPr>
          <w:ilvl w:val="0"/>
          <w:numId w:val="1009"/>
        </w:numPr>
        <w:pStyle w:val="Compact"/>
      </w:pPr>
      <w:r>
        <w:t xml:space="preserve">nunca pipetear con la boca;</w:t>
      </w:r>
    </w:p>
    <w:p>
      <w:pPr>
        <w:numPr>
          <w:ilvl w:val="0"/>
          <w:numId w:val="1009"/>
        </w:numPr>
        <w:pStyle w:val="Compact"/>
      </w:pPr>
      <w:r>
        <w:t xml:space="preserve">usar recipientes que eviten fugas;</w:t>
      </w:r>
    </w:p>
    <w:p>
      <w:pPr>
        <w:numPr>
          <w:ilvl w:val="0"/>
          <w:numId w:val="1009"/>
        </w:numPr>
        <w:pStyle w:val="Compact"/>
      </w:pPr>
      <w:r>
        <w:t xml:space="preserve">descontaminar equipos según procedimiento;</w:t>
      </w:r>
    </w:p>
    <w:p>
      <w:pPr>
        <w:numPr>
          <w:ilvl w:val="0"/>
          <w:numId w:val="1009"/>
        </w:numPr>
        <w:pStyle w:val="Compact"/>
      </w:pPr>
      <w:r>
        <w:t xml:space="preserve">reportar inmediatamente pinchazos, salpicaduras y otras exposiciones.</w:t>
      </w:r>
    </w:p>
    <w:p>
      <w:pPr>
        <w:pStyle w:val="FirstParagraph"/>
      </w:pPr>
      <w:r>
        <w:t xml:space="preserve">No retrase un reporte de exposición por vergüenza o porque crea que la muestra era de bajo riesgo.</w:t>
      </w:r>
    </w:p>
    <w:bookmarkEnd w:id="43"/>
    <w:bookmarkStart w:id="44" w:name="seguridad-química"/>
    <w:p>
      <w:pPr>
        <w:pStyle w:val="Heading2"/>
      </w:pPr>
      <w:r>
        <w:t xml:space="preserve">Seguridad química</w:t>
      </w:r>
    </w:p>
    <w:p>
      <w:pPr>
        <w:pStyle w:val="FirstParagraph"/>
      </w:pPr>
      <w:r>
        <w:t xml:space="preserve">Los laboratorios pueden usar tinciones, solventes, ácidos, bases, fijadores, desinfectantes y otros químicos peligrosos.</w:t>
      </w:r>
    </w:p>
    <w:p>
      <w:pPr>
        <w:pStyle w:val="BodyText"/>
      </w:pPr>
      <w:r>
        <w:t xml:space="preserve">La norma de laboratorios OSHA 29 CFR 1910.1450 exige a empleadores cubiertos un Plan de Higiene Química y controles adecuados.</w:t>
      </w:r>
    </w:p>
    <w:p>
      <w:pPr>
        <w:pStyle w:val="BodyText"/>
      </w:pPr>
      <w:r>
        <w:t xml:space="preserve">Antes de usar un químico:</w:t>
      </w:r>
    </w:p>
    <w:p>
      <w:pPr>
        <w:numPr>
          <w:ilvl w:val="0"/>
          <w:numId w:val="1010"/>
        </w:numPr>
        <w:pStyle w:val="Compact"/>
      </w:pPr>
      <w:r>
        <w:t xml:space="preserve">confirme identidad y concentración;</w:t>
      </w:r>
    </w:p>
    <w:p>
      <w:pPr>
        <w:numPr>
          <w:ilvl w:val="0"/>
          <w:numId w:val="1010"/>
        </w:numPr>
        <w:pStyle w:val="Compact"/>
      </w:pPr>
      <w:r>
        <w:t xml:space="preserve">use el SOP vigente;</w:t>
      </w:r>
    </w:p>
    <w:p>
      <w:pPr>
        <w:numPr>
          <w:ilvl w:val="0"/>
          <w:numId w:val="1010"/>
        </w:numPr>
        <w:pStyle w:val="Compact"/>
      </w:pPr>
      <w:r>
        <w:t xml:space="preserve">revise etiquetas e información de seguridad;</w:t>
      </w:r>
    </w:p>
    <w:p>
      <w:pPr>
        <w:numPr>
          <w:ilvl w:val="0"/>
          <w:numId w:val="1010"/>
        </w:numPr>
        <w:pStyle w:val="Compact"/>
      </w:pPr>
      <w:r>
        <w:t xml:space="preserve">use ventilación o contención requerida;</w:t>
      </w:r>
    </w:p>
    <w:p>
      <w:pPr>
        <w:numPr>
          <w:ilvl w:val="0"/>
          <w:numId w:val="1010"/>
        </w:numPr>
        <w:pStyle w:val="Compact"/>
      </w:pPr>
      <w:r>
        <w:t xml:space="preserve">use EPP;</w:t>
      </w:r>
    </w:p>
    <w:p>
      <w:pPr>
        <w:numPr>
          <w:ilvl w:val="0"/>
          <w:numId w:val="1010"/>
        </w:numPr>
        <w:pStyle w:val="Compact"/>
      </w:pPr>
      <w:r>
        <w:t xml:space="preserve">verifique incompatibilidades antes de mezclar;</w:t>
      </w:r>
    </w:p>
    <w:p>
      <w:pPr>
        <w:numPr>
          <w:ilvl w:val="0"/>
          <w:numId w:val="1010"/>
        </w:numPr>
        <w:pStyle w:val="Compact"/>
      </w:pPr>
      <w:r>
        <w:t xml:space="preserve">conozca procedimientos de derrame y exposición;</w:t>
      </w:r>
    </w:p>
    <w:p>
      <w:pPr>
        <w:numPr>
          <w:ilvl w:val="0"/>
          <w:numId w:val="1010"/>
        </w:numPr>
        <w:pStyle w:val="Compact"/>
      </w:pPr>
      <w:r>
        <w:t xml:space="preserve">etiquete correctamente soluciones preparadas;</w:t>
      </w:r>
    </w:p>
    <w:p>
      <w:pPr>
        <w:numPr>
          <w:ilvl w:val="0"/>
          <w:numId w:val="1010"/>
        </w:numPr>
        <w:pStyle w:val="Compact"/>
      </w:pPr>
      <w:r>
        <w:t xml:space="preserve">almacene en sitios aprobados;</w:t>
      </w:r>
    </w:p>
    <w:p>
      <w:pPr>
        <w:numPr>
          <w:ilvl w:val="0"/>
          <w:numId w:val="1010"/>
        </w:numPr>
        <w:pStyle w:val="Compact"/>
      </w:pPr>
      <w:r>
        <w:t xml:space="preserve">elimine residuos mediante canales autorizados.</w:t>
      </w:r>
    </w:p>
    <w:p>
      <w:pPr>
        <w:pStyle w:val="FirstParagraph"/>
      </w:pPr>
      <w:r>
        <w:t xml:space="preserve">No prepare un reactivo adivinando una concentración, sustituyendo material desconocido o siguiendo una receta generada por IA que no haya sido validada y aprobada.</w:t>
      </w:r>
    </w:p>
    <w:bookmarkEnd w:id="44"/>
    <w:bookmarkStart w:id="53" w:name="principales-disciplinas-del-laboratorio"/>
    <w:p>
      <w:pPr>
        <w:pStyle w:val="Heading2"/>
      </w:pPr>
      <w:r>
        <w:t xml:space="preserve">Principales disciplinas del laboratorio</w:t>
      </w:r>
    </w:p>
    <w:p>
      <w:pPr>
        <w:pStyle w:val="FirstParagraph"/>
      </w:pPr>
      <w:r>
        <w:t xml:space="preserve">La exposición depende del programa, la capacitación, la credencial, la complejidad de la prueba y la autorización del laboratorio.</w:t>
      </w:r>
    </w:p>
    <w:bookmarkStart w:id="45" w:name="química-clínica"/>
    <w:p>
      <w:pPr>
        <w:pStyle w:val="Heading3"/>
      </w:pPr>
      <w:r>
        <w:t xml:space="preserve">Química clínica</w:t>
      </w:r>
    </w:p>
    <w:p>
      <w:pPr>
        <w:pStyle w:val="FirstParagraph"/>
      </w:pPr>
      <w:r>
        <w:t xml:space="preserve">Puede incluir análisis de electrolitos, enzimas, metabolitos, proteínas, hormonas y otros analitos mediante métodos automatizados o manuales.</w:t>
      </w:r>
    </w:p>
    <w:bookmarkEnd w:id="45"/>
    <w:bookmarkStart w:id="46" w:name="hematología-y-hemostasia"/>
    <w:p>
      <w:pPr>
        <w:pStyle w:val="Heading3"/>
      </w:pPr>
      <w:r>
        <w:t xml:space="preserve">Hematología y hemostasia</w:t>
      </w:r>
    </w:p>
    <w:p>
      <w:pPr>
        <w:pStyle w:val="FirstParagraph"/>
      </w:pPr>
      <w:r>
        <w:t xml:space="preserve">Puede incluir hemogramas, apoyo a morfología celular, coagulación y procedimientos relacionados dentro del alcance asignado.</w:t>
      </w:r>
    </w:p>
    <w:bookmarkEnd w:id="46"/>
    <w:bookmarkStart w:id="47" w:name="uroanálisis-y-líquidos-corporales"/>
    <w:p>
      <w:pPr>
        <w:pStyle w:val="Heading3"/>
      </w:pPr>
      <w:r>
        <w:t xml:space="preserve">Uroanálisis y líquidos corporales</w:t>
      </w:r>
    </w:p>
    <w:p>
      <w:pPr>
        <w:pStyle w:val="FirstParagraph"/>
      </w:pPr>
      <w:r>
        <w:t xml:space="preserve">Puede incluir examen físico, químico y microscópico bajo métodos aprobados.</w:t>
      </w:r>
    </w:p>
    <w:bookmarkEnd w:id="47"/>
    <w:bookmarkStart w:id="48" w:name="inmunología-y-serología"/>
    <w:p>
      <w:pPr>
        <w:pStyle w:val="Heading3"/>
      </w:pPr>
      <w:r>
        <w:t xml:space="preserve">Inmunología y serología</w:t>
      </w:r>
    </w:p>
    <w:p>
      <w:pPr>
        <w:pStyle w:val="FirstParagraph"/>
      </w:pPr>
      <w:r>
        <w:t xml:space="preserve">Puede incluir ensayos para detectar anticuerpos, antígenos u otros marcadores inmunológicos.</w:t>
      </w:r>
    </w:p>
    <w:bookmarkEnd w:id="48"/>
    <w:bookmarkStart w:id="49" w:name="microbiología"/>
    <w:p>
      <w:pPr>
        <w:pStyle w:val="Heading3"/>
      </w:pPr>
      <w:r>
        <w:t xml:space="preserve">Microbiología</w:t>
      </w:r>
    </w:p>
    <w:p>
      <w:pPr>
        <w:pStyle w:val="FirstParagraph"/>
      </w:pPr>
      <w:r>
        <w:t xml:space="preserve">Puede incluir preparación de muestras, tareas relacionadas con cultivos, tinciones, instrumentos o identificación dentro de capacitación, bioseguridad y autorización.</w:t>
      </w:r>
    </w:p>
    <w:bookmarkEnd w:id="49"/>
    <w:bookmarkStart w:id="50" w:name="X58707630bd3e52006a394394032e01427a9ca12"/>
    <w:p>
      <w:pPr>
        <w:pStyle w:val="Heading3"/>
      </w:pPr>
      <w:r>
        <w:t xml:space="preserve">Inmunohematología / servicios transfusionales</w:t>
      </w:r>
    </w:p>
    <w:p>
      <w:pPr>
        <w:pStyle w:val="FirstParagraph"/>
      </w:pPr>
      <w:r>
        <w:t xml:space="preserve">Puede incluir tipificación sanguínea y pruebas relacionadas bajo procedimientos estrictos. Los errores pueden tener consecuencias graves; ningún aprendiz o técnico debe exceder su competencia ni omitir controles de verificación.</w:t>
      </w:r>
    </w:p>
    <w:bookmarkEnd w:id="50"/>
    <w:bookmarkStart w:id="51" w:name="histología"/>
    <w:p>
      <w:pPr>
        <w:pStyle w:val="Heading3"/>
      </w:pPr>
      <w:r>
        <w:t xml:space="preserve">Histología</w:t>
      </w:r>
    </w:p>
    <w:p>
      <w:pPr>
        <w:pStyle w:val="FirstParagraph"/>
      </w:pPr>
      <w:r>
        <w:t xml:space="preserve">Los técnicos de histología pueden procesar, incluir, cortar, teñir o preparar tejido para revisión por profesionales debidamente calificados.</w:t>
      </w:r>
    </w:p>
    <w:bookmarkEnd w:id="51"/>
    <w:bookmarkStart w:id="52" w:name="pruebas-moleculares"/>
    <w:p>
      <w:pPr>
        <w:pStyle w:val="Heading3"/>
      </w:pPr>
      <w:r>
        <w:t xml:space="preserve">Pruebas moleculares</w:t>
      </w:r>
    </w:p>
    <w:p>
      <w:pPr>
        <w:pStyle w:val="FirstParagraph"/>
      </w:pPr>
      <w:r>
        <w:t xml:space="preserve">Pueden incluir preparación de ácidos nucleicos, amplificación, detección, controles de contaminación y flujos especializados. Las pruebas desarrolladas o modificadas por el laboratorio pueden implicar requisitos adicionales de regulación y validación.</w:t>
      </w:r>
    </w:p>
    <w:bookmarkEnd w:id="52"/>
    <w:bookmarkEnd w:id="53"/>
    <w:bookmarkStart w:id="54" w:name="equipos-calibración-y-mantenimiento"/>
    <w:p>
      <w:pPr>
        <w:pStyle w:val="Heading2"/>
      </w:pPr>
      <w:r>
        <w:t xml:space="preserve">Equipos, calibración y mantenimiento</w:t>
      </w:r>
    </w:p>
    <w:p>
      <w:pPr>
        <w:pStyle w:val="FirstParagraph"/>
      </w:pPr>
      <w:r>
        <w:t xml:space="preserve">Los laboratorios dependen de instrumentos que deben funcionar de manera predecible.</w:t>
      </w:r>
    </w:p>
    <w:p>
      <w:pPr>
        <w:pStyle w:val="BodyText"/>
      </w:pPr>
      <w:r>
        <w:t xml:space="preserve">Un técnico puede tener asignado:</w:t>
      </w:r>
    </w:p>
    <w:p>
      <w:pPr>
        <w:numPr>
          <w:ilvl w:val="0"/>
          <w:numId w:val="1011"/>
        </w:numPr>
        <w:pStyle w:val="Compact"/>
      </w:pPr>
      <w:r>
        <w:t xml:space="preserve">inicio y cierre diario;</w:t>
      </w:r>
    </w:p>
    <w:p>
      <w:pPr>
        <w:numPr>
          <w:ilvl w:val="0"/>
          <w:numId w:val="1011"/>
        </w:numPr>
        <w:pStyle w:val="Compact"/>
      </w:pPr>
      <w:r>
        <w:t xml:space="preserve">calibración o verificación de calibración;</w:t>
      </w:r>
    </w:p>
    <w:p>
      <w:pPr>
        <w:numPr>
          <w:ilvl w:val="0"/>
          <w:numId w:val="1011"/>
        </w:numPr>
        <w:pStyle w:val="Compact"/>
      </w:pPr>
      <w:r>
        <w:t xml:space="preserve">documentación de mantenimiento;</w:t>
      </w:r>
    </w:p>
    <w:p>
      <w:pPr>
        <w:numPr>
          <w:ilvl w:val="0"/>
          <w:numId w:val="1011"/>
        </w:numPr>
        <w:pStyle w:val="Compact"/>
      </w:pPr>
      <w:r>
        <w:t xml:space="preserve">cambio de consumibles;</w:t>
      </w:r>
    </w:p>
    <w:p>
      <w:pPr>
        <w:numPr>
          <w:ilvl w:val="0"/>
          <w:numId w:val="1011"/>
        </w:numPr>
        <w:pStyle w:val="Compact"/>
      </w:pPr>
      <w:r>
        <w:t xml:space="preserve">revisión de temperaturas o condiciones ambientales;</w:t>
      </w:r>
    </w:p>
    <w:p>
      <w:pPr>
        <w:numPr>
          <w:ilvl w:val="0"/>
          <w:numId w:val="1011"/>
        </w:numPr>
        <w:pStyle w:val="Compact"/>
      </w:pPr>
      <w:r>
        <w:t xml:space="preserve">registro de reactivos y cambios de lote;</w:t>
      </w:r>
    </w:p>
    <w:p>
      <w:pPr>
        <w:numPr>
          <w:ilvl w:val="0"/>
          <w:numId w:val="1011"/>
        </w:numPr>
        <w:pStyle w:val="Compact"/>
      </w:pPr>
      <w:r>
        <w:t xml:space="preserve">solución de problemas aprobada;</w:t>
      </w:r>
    </w:p>
    <w:p>
      <w:pPr>
        <w:numPr>
          <w:ilvl w:val="0"/>
          <w:numId w:val="1011"/>
        </w:numPr>
        <w:pStyle w:val="Compact"/>
      </w:pPr>
      <w:r>
        <w:t xml:space="preserve">contacto con soporte autorizado cuando el problema excede el procedimiento local.</w:t>
      </w:r>
    </w:p>
    <w:p>
      <w:pPr>
        <w:pStyle w:val="FirstParagraph"/>
      </w:pPr>
      <w:r>
        <w:t xml:space="preserve">No devuelva un instrumento a pruebas de pacientes simplemente porque enciende. Cumpla los criterios de aceptación definidos después de servicio, mantenimiento, calibración o reparación.</w:t>
      </w:r>
    </w:p>
    <w:bookmarkEnd w:id="54"/>
    <w:bookmarkStart w:id="55" w:name="integridad-de-datos"/>
    <w:p>
      <w:pPr>
        <w:pStyle w:val="Heading2"/>
      </w:pPr>
      <w:r>
        <w:t xml:space="preserve">Integridad de datos</w:t>
      </w:r>
    </w:p>
    <w:p>
      <w:pPr>
        <w:pStyle w:val="FirstParagraph"/>
      </w:pPr>
      <w:r>
        <w:t xml:space="preserve">Los resultados pueden influir en decisiones médicas. La integridad de datos es, por tanto, un asunto de seguridad del paciente.</w:t>
      </w:r>
    </w:p>
    <w:p>
      <w:pPr>
        <w:pStyle w:val="BodyText"/>
      </w:pPr>
      <w:r>
        <w:t xml:space="preserve">Buenas prácticas:</w:t>
      </w:r>
    </w:p>
    <w:p>
      <w:pPr>
        <w:numPr>
          <w:ilvl w:val="0"/>
          <w:numId w:val="1012"/>
        </w:numPr>
        <w:pStyle w:val="Compact"/>
      </w:pPr>
      <w:r>
        <w:t xml:space="preserve">registrar resultados y observaciones cuando se generan;</w:t>
      </w:r>
    </w:p>
    <w:p>
      <w:pPr>
        <w:numPr>
          <w:ilvl w:val="0"/>
          <w:numId w:val="1012"/>
        </w:numPr>
        <w:pStyle w:val="Compact"/>
      </w:pPr>
      <w:r>
        <w:t xml:space="preserve">conservar archivos instrumentales originales cuando se requiera;</w:t>
      </w:r>
    </w:p>
    <w:p>
      <w:pPr>
        <w:numPr>
          <w:ilvl w:val="0"/>
          <w:numId w:val="1012"/>
        </w:numPr>
        <w:pStyle w:val="Compact"/>
      </w:pPr>
      <w:r>
        <w:t xml:space="preserve">usar el identificador correcto;</w:t>
      </w:r>
    </w:p>
    <w:p>
      <w:pPr>
        <w:numPr>
          <w:ilvl w:val="0"/>
          <w:numId w:val="1012"/>
        </w:numPr>
        <w:pStyle w:val="Compact"/>
      </w:pPr>
      <w:r>
        <w:t xml:space="preserve">usar su propia cuenta;</w:t>
      </w:r>
    </w:p>
    <w:p>
      <w:pPr>
        <w:numPr>
          <w:ilvl w:val="0"/>
          <w:numId w:val="1012"/>
        </w:numPr>
        <w:pStyle w:val="Compact"/>
      </w:pPr>
      <w:r>
        <w:t xml:space="preserve">documentar correcciones mediante la pista de auditoría aprobada;</w:t>
      </w:r>
    </w:p>
    <w:p>
      <w:pPr>
        <w:numPr>
          <w:ilvl w:val="0"/>
          <w:numId w:val="1012"/>
        </w:numPr>
        <w:pStyle w:val="Compact"/>
      </w:pPr>
      <w:r>
        <w:t xml:space="preserve">documentar repeticiones y diluciones;</w:t>
      </w:r>
    </w:p>
    <w:p>
      <w:pPr>
        <w:numPr>
          <w:ilvl w:val="0"/>
          <w:numId w:val="1012"/>
        </w:numPr>
        <w:pStyle w:val="Compact"/>
      </w:pPr>
      <w:r>
        <w:t xml:space="preserve">conservar registros de QC y calibración;</w:t>
      </w:r>
    </w:p>
    <w:p>
      <w:pPr>
        <w:numPr>
          <w:ilvl w:val="0"/>
          <w:numId w:val="1012"/>
        </w:numPr>
        <w:pStyle w:val="Compact"/>
      </w:pPr>
      <w:r>
        <w:t xml:space="preserve">no ocultar alarmas;</w:t>
      </w:r>
    </w:p>
    <w:p>
      <w:pPr>
        <w:numPr>
          <w:ilvl w:val="0"/>
          <w:numId w:val="1012"/>
        </w:numPr>
        <w:pStyle w:val="Compact"/>
      </w:pPr>
      <w:r>
        <w:t xml:space="preserve">no retrofechar resultados o mantenimiento;</w:t>
      </w:r>
    </w:p>
    <w:p>
      <w:pPr>
        <w:numPr>
          <w:ilvl w:val="0"/>
          <w:numId w:val="1012"/>
        </w:numPr>
        <w:pStyle w:val="Compact"/>
      </w:pPr>
      <w:r>
        <w:t xml:space="preserve">reportar sospechas de manipulación;</w:t>
      </w:r>
    </w:p>
    <w:p>
      <w:pPr>
        <w:numPr>
          <w:ilvl w:val="0"/>
          <w:numId w:val="1012"/>
        </w:numPr>
        <w:pStyle w:val="Compact"/>
      </w:pPr>
      <w:r>
        <w:t xml:space="preserve">distinguir un resultado corregido del original según política.</w:t>
      </w:r>
    </w:p>
    <w:p>
      <w:pPr>
        <w:pStyle w:val="FirstParagraph"/>
      </w:pPr>
      <w:r>
        <w:t xml:space="preserve">Un error honesto y trazable puede investigarse. Un error oculto debilita todo el sistema de calidad.</w:t>
      </w:r>
    </w:p>
    <w:bookmarkEnd w:id="55"/>
    <w:bookmarkStart w:id="56" w:name="X412ab4538dd56c7c52733207850f0546272c9bf"/>
    <w:p>
      <w:pPr>
        <w:pStyle w:val="Heading2"/>
      </w:pPr>
      <w:r>
        <w:t xml:space="preserve">Sistemas de información, privacidad y ciberseguridad</w:t>
      </w:r>
    </w:p>
    <w:p>
      <w:pPr>
        <w:pStyle w:val="FirstParagraph"/>
      </w:pPr>
      <w:r>
        <w:t xml:space="preserve">Los laboratorios modernos usan LIS, historias clínicas electrónicas, middleware, analizadores, códigos de barras, redes, servicios en la nube, portales e instrumentos conectados.</w:t>
      </w:r>
    </w:p>
    <w:p>
      <w:pPr>
        <w:pStyle w:val="BodyText"/>
      </w:pPr>
      <w:r>
        <w:t xml:space="preserve">Controles prácticos:</w:t>
      </w:r>
    </w:p>
    <w:p>
      <w:pPr>
        <w:numPr>
          <w:ilvl w:val="0"/>
          <w:numId w:val="1013"/>
        </w:numPr>
        <w:pStyle w:val="Compact"/>
      </w:pPr>
      <w:r>
        <w:t xml:space="preserve">usar solo sistemas y cuentas aprobados;</w:t>
      </w:r>
    </w:p>
    <w:p>
      <w:pPr>
        <w:numPr>
          <w:ilvl w:val="0"/>
          <w:numId w:val="1013"/>
        </w:numPr>
        <w:pStyle w:val="Compact"/>
      </w:pPr>
      <w:r>
        <w:t xml:space="preserve">usar MFA cuando esté disponible;</w:t>
      </w:r>
    </w:p>
    <w:p>
      <w:pPr>
        <w:numPr>
          <w:ilvl w:val="0"/>
          <w:numId w:val="1013"/>
        </w:numPr>
        <w:pStyle w:val="Compact"/>
      </w:pPr>
      <w:r>
        <w:t xml:space="preserve">no compartir contraseñas o credenciales físicas;</w:t>
      </w:r>
    </w:p>
    <w:p>
      <w:pPr>
        <w:numPr>
          <w:ilvl w:val="0"/>
          <w:numId w:val="1013"/>
        </w:numPr>
        <w:pStyle w:val="Compact"/>
      </w:pPr>
      <w:r>
        <w:t xml:space="preserve">verificar identidad antes de ver o ingresar datos;</w:t>
      </w:r>
    </w:p>
    <w:p>
      <w:pPr>
        <w:numPr>
          <w:ilvl w:val="0"/>
          <w:numId w:val="1013"/>
        </w:numPr>
        <w:pStyle w:val="Compact"/>
      </w:pPr>
      <w:r>
        <w:t xml:space="preserve">no consultar registros sin motivo laboral;</w:t>
      </w:r>
    </w:p>
    <w:p>
      <w:pPr>
        <w:numPr>
          <w:ilvl w:val="0"/>
          <w:numId w:val="1013"/>
        </w:numPr>
        <w:pStyle w:val="Compact"/>
      </w:pPr>
      <w:r>
        <w:t xml:space="preserve">bloquear la estación al alejarse;</w:t>
      </w:r>
    </w:p>
    <w:p>
      <w:pPr>
        <w:numPr>
          <w:ilvl w:val="0"/>
          <w:numId w:val="1013"/>
        </w:numPr>
        <w:pStyle w:val="Compact"/>
      </w:pPr>
      <w:r>
        <w:t xml:space="preserve">no mover información del paciente o datos propietarios a correo o nube personal;</w:t>
      </w:r>
    </w:p>
    <w:p>
      <w:pPr>
        <w:numPr>
          <w:ilvl w:val="0"/>
          <w:numId w:val="1013"/>
        </w:numPr>
        <w:pStyle w:val="Compact"/>
      </w:pPr>
      <w:r>
        <w:t xml:space="preserve">no conectar USB no autorizados;</w:t>
      </w:r>
    </w:p>
    <w:p>
      <w:pPr>
        <w:numPr>
          <w:ilvl w:val="0"/>
          <w:numId w:val="1013"/>
        </w:numPr>
        <w:pStyle w:val="Compact"/>
      </w:pPr>
      <w:r>
        <w:t xml:space="preserve">reportar phishing y comportamiento sospechoso;</w:t>
      </w:r>
    </w:p>
    <w:p>
      <w:pPr>
        <w:numPr>
          <w:ilvl w:val="0"/>
          <w:numId w:val="1013"/>
        </w:numPr>
        <w:pStyle w:val="Compact"/>
      </w:pPr>
      <w:r>
        <w:t xml:space="preserve">cumplir procedimientos de contingencia durante caídas;</w:t>
      </w:r>
    </w:p>
    <w:p>
      <w:pPr>
        <w:numPr>
          <w:ilvl w:val="0"/>
          <w:numId w:val="1013"/>
        </w:numPr>
        <w:pStyle w:val="Compact"/>
      </w:pPr>
      <w:r>
        <w:t xml:space="preserve">conservar registros en papel/electrónicos creados durante la contingencia;</w:t>
      </w:r>
    </w:p>
    <w:p>
      <w:pPr>
        <w:numPr>
          <w:ilvl w:val="0"/>
          <w:numId w:val="1013"/>
        </w:numPr>
        <w:pStyle w:val="Compact"/>
      </w:pPr>
      <w:r>
        <w:t xml:space="preserve">reconciliar datos al restablecer sistemas según procedimiento.</w:t>
      </w:r>
    </w:p>
    <w:p>
      <w:pPr>
        <w:pStyle w:val="FirstParagraph"/>
      </w:pPr>
      <w:r>
        <w:t xml:space="preserve">En entornos de EE. UU. cubiertos por HIPAA, la información de salud protegida está sujeta a requisitos aplicables de privacidad y seguridad. Otros países tienen sus propios marcos. Esta guía no ofrece asesoría legal; use el programa de privacidad/ciberseguridad del empleador y las normas oficiales vigentes.</w:t>
      </w:r>
    </w:p>
    <w:bookmarkEnd w:id="56"/>
    <w:bookmarkStart w:id="59" w:name="ia-responsable"/>
    <w:p>
      <w:pPr>
        <w:pStyle w:val="Heading2"/>
      </w:pPr>
      <w:r>
        <w:t xml:space="preserve">IA responsable</w:t>
      </w:r>
    </w:p>
    <w:p>
      <w:pPr>
        <w:pStyle w:val="FirstParagraph"/>
      </w:pPr>
      <w:r>
        <w:t xml:space="preserve">La IA puede apoyar tareas de bajo riesgo, pero el laboratorio clínico es un entorno de altas consecuencias.</w:t>
      </w:r>
    </w:p>
    <w:bookmarkStart w:id="57" w:name="usos-de-menor-riesgo-pueden-incluir"/>
    <w:p>
      <w:pPr>
        <w:pStyle w:val="Heading3"/>
      </w:pPr>
      <w:r>
        <w:t xml:space="preserve">Usos de menor riesgo pueden incluir</w:t>
      </w:r>
    </w:p>
    <w:p>
      <w:pPr>
        <w:numPr>
          <w:ilvl w:val="0"/>
          <w:numId w:val="1014"/>
        </w:numPr>
        <w:pStyle w:val="Compact"/>
      </w:pPr>
      <w:r>
        <w:t xml:space="preserve">explicar conceptos científicos públicos para estudio;</w:t>
      </w:r>
    </w:p>
    <w:p>
      <w:pPr>
        <w:numPr>
          <w:ilvl w:val="0"/>
          <w:numId w:val="1014"/>
        </w:numPr>
        <w:pStyle w:val="Compact"/>
      </w:pPr>
      <w:r>
        <w:t xml:space="preserve">crear preguntas de práctica;</w:t>
      </w:r>
    </w:p>
    <w:p>
      <w:pPr>
        <w:numPr>
          <w:ilvl w:val="0"/>
          <w:numId w:val="1014"/>
        </w:numPr>
        <w:pStyle w:val="Compact"/>
      </w:pPr>
      <w:r>
        <w:t xml:space="preserve">organizar un plan de estudio;</w:t>
      </w:r>
    </w:p>
    <w:p>
      <w:pPr>
        <w:numPr>
          <w:ilvl w:val="0"/>
          <w:numId w:val="1014"/>
        </w:numPr>
        <w:pStyle w:val="Compact"/>
      </w:pPr>
      <w:r>
        <w:t xml:space="preserve">redactar una lista ficticia de entrenamiento;</w:t>
      </w:r>
    </w:p>
    <w:p>
      <w:pPr>
        <w:numPr>
          <w:ilvl w:val="0"/>
          <w:numId w:val="1014"/>
        </w:numPr>
        <w:pStyle w:val="Compact"/>
      </w:pPr>
      <w:r>
        <w:t xml:space="preserve">mejorar la claridad de texto educativo sin datos de pacientes;</w:t>
      </w:r>
    </w:p>
    <w:p>
      <w:pPr>
        <w:numPr>
          <w:ilvl w:val="0"/>
          <w:numId w:val="1014"/>
        </w:numPr>
        <w:pStyle w:val="Compact"/>
      </w:pPr>
      <w:r>
        <w:t xml:space="preserve">preparar preguntas de entrevista;</w:t>
      </w:r>
    </w:p>
    <w:p>
      <w:pPr>
        <w:numPr>
          <w:ilvl w:val="0"/>
          <w:numId w:val="1014"/>
        </w:numPr>
        <w:pStyle w:val="Compact"/>
      </w:pPr>
      <w:r>
        <w:t xml:space="preserve">resumir orientación pública para luego verificarla contra la fuente original.</w:t>
      </w:r>
    </w:p>
    <w:bookmarkEnd w:id="57"/>
    <w:bookmarkStart w:id="58" w:name="no-use-un-sistema-de-ia-no-aprobado-para"/>
    <w:p>
      <w:pPr>
        <w:pStyle w:val="Heading3"/>
      </w:pPr>
      <w:r>
        <w:t xml:space="preserve">No use un sistema de IA no aprobado para</w:t>
      </w:r>
    </w:p>
    <w:p>
      <w:pPr>
        <w:numPr>
          <w:ilvl w:val="0"/>
          <w:numId w:val="1015"/>
        </w:numPr>
        <w:pStyle w:val="Compact"/>
      </w:pPr>
      <w:r>
        <w:t xml:space="preserve">interpretar el resultado de un paciente;</w:t>
      </w:r>
    </w:p>
    <w:p>
      <w:pPr>
        <w:numPr>
          <w:ilvl w:val="0"/>
          <w:numId w:val="1015"/>
        </w:numPr>
        <w:pStyle w:val="Compact"/>
      </w:pPr>
      <w:r>
        <w:t xml:space="preserve">diagnosticar una enfermedad;</w:t>
      </w:r>
    </w:p>
    <w:p>
      <w:pPr>
        <w:numPr>
          <w:ilvl w:val="0"/>
          <w:numId w:val="1015"/>
        </w:numPr>
        <w:pStyle w:val="Compact"/>
      </w:pPr>
      <w:r>
        <w:t xml:space="preserve">decidir si un valor crítico es real;</w:t>
      </w:r>
    </w:p>
    <w:p>
      <w:pPr>
        <w:numPr>
          <w:ilvl w:val="0"/>
          <w:numId w:val="1015"/>
        </w:numPr>
        <w:pStyle w:val="Compact"/>
      </w:pPr>
      <w:r>
        <w:t xml:space="preserve">aceptar o rechazar QC;</w:t>
      </w:r>
    </w:p>
    <w:p>
      <w:pPr>
        <w:numPr>
          <w:ilvl w:val="0"/>
          <w:numId w:val="1015"/>
        </w:numPr>
        <w:pStyle w:val="Compact"/>
      </w:pPr>
      <w:r>
        <w:t xml:space="preserve">determinar si un ensayo de aptitud debe aprobarse;</w:t>
      </w:r>
    </w:p>
    <w:p>
      <w:pPr>
        <w:numPr>
          <w:ilvl w:val="0"/>
          <w:numId w:val="1015"/>
        </w:numPr>
        <w:pStyle w:val="Compact"/>
      </w:pPr>
      <w:r>
        <w:t xml:space="preserve">seleccionar un producto transfusional;</w:t>
      </w:r>
    </w:p>
    <w:p>
      <w:pPr>
        <w:numPr>
          <w:ilvl w:val="0"/>
          <w:numId w:val="1015"/>
        </w:numPr>
        <w:pStyle w:val="Compact"/>
      </w:pPr>
      <w:r>
        <w:t xml:space="preserve">identificar un microorganismo como autoridad clínica final;</w:t>
      </w:r>
    </w:p>
    <w:p>
      <w:pPr>
        <w:numPr>
          <w:ilvl w:val="0"/>
          <w:numId w:val="1015"/>
        </w:numPr>
        <w:pStyle w:val="Compact"/>
      </w:pPr>
      <w:r>
        <w:t xml:space="preserve">anular un analizador o método validado;</w:t>
      </w:r>
    </w:p>
    <w:p>
      <w:pPr>
        <w:numPr>
          <w:ilvl w:val="0"/>
          <w:numId w:val="1015"/>
        </w:numPr>
        <w:pStyle w:val="Compact"/>
      </w:pPr>
      <w:r>
        <w:t xml:space="preserve">crear instrucciones no verificadas de calibración o reactivos;</w:t>
      </w:r>
    </w:p>
    <w:p>
      <w:pPr>
        <w:numPr>
          <w:ilvl w:val="0"/>
          <w:numId w:val="1015"/>
        </w:numPr>
        <w:pStyle w:val="Compact"/>
      </w:pPr>
      <w:r>
        <w:t xml:space="preserve">emitir una conclusión de validación;</w:t>
      </w:r>
    </w:p>
    <w:p>
      <w:pPr>
        <w:numPr>
          <w:ilvl w:val="0"/>
          <w:numId w:val="1015"/>
        </w:numPr>
        <w:pStyle w:val="Compact"/>
      </w:pPr>
      <w:r>
        <w:t xml:space="preserve">liberar resultados de pacientes;</w:t>
      </w:r>
    </w:p>
    <w:p>
      <w:pPr>
        <w:numPr>
          <w:ilvl w:val="0"/>
          <w:numId w:val="1015"/>
        </w:numPr>
        <w:pStyle w:val="Compact"/>
      </w:pPr>
      <w:r>
        <w:t xml:space="preserve">sustituir la revisión calificada requerida;</w:t>
      </w:r>
    </w:p>
    <w:p>
      <w:pPr>
        <w:numPr>
          <w:ilvl w:val="0"/>
          <w:numId w:val="1015"/>
        </w:numPr>
        <w:pStyle w:val="Compact"/>
      </w:pPr>
      <w:r>
        <w:t xml:space="preserve">introducir identificadores, historias clínicas, resultados, imágenes, credenciales, métodos propietarios o información sensible de seguridad.</w:t>
      </w:r>
    </w:p>
    <w:p>
      <w:pPr>
        <w:pStyle w:val="FirstParagraph"/>
      </w:pPr>
      <w:r>
        <w:t xml:space="preserve">El NIST AI Risk Management Framework ofrece un marco general de gestión de riesgos de IA. Las políticas del laboratorio, reguladores, gobierno del sistema de salud y reglas sobre dispositivos médicos pueden imponer controles adicionales.</w:t>
      </w:r>
    </w:p>
    <w:p>
      <w:pPr>
        <w:pStyle w:val="BodyText"/>
      </w:pPr>
      <w:r>
        <w:rPr>
          <w:bCs/>
          <w:b/>
        </w:rPr>
        <w:t xml:space="preserve">Regla práctica:</w:t>
      </w:r>
      <w:r>
        <w:t xml:space="preserve"> </w:t>
      </w:r>
      <w:r>
        <w:t xml:space="preserve">la IA puede ayudar a organizar información de aprendizaje; personas autorizadas y sistemas validados deben ser responsables de las decisiones clínicas de consecuencias relevantes.</w:t>
      </w:r>
    </w:p>
    <w:bookmarkEnd w:id="58"/>
    <w:bookmarkEnd w:id="59"/>
    <w:bookmarkStart w:id="64" w:name="habilidades-valoradas-por-empleadores"/>
    <w:p>
      <w:pPr>
        <w:pStyle w:val="Heading2"/>
      </w:pPr>
      <w:r>
        <w:t xml:space="preserve">Habilidades valoradas por empleadores</w:t>
      </w:r>
    </w:p>
    <w:bookmarkStart w:id="60" w:name="ciencia-de-laboratorio"/>
    <w:p>
      <w:pPr>
        <w:pStyle w:val="Heading3"/>
      </w:pPr>
      <w:r>
        <w:t xml:space="preserve">Ciencia de laboratorio</w:t>
      </w:r>
    </w:p>
    <w:p>
      <w:pPr>
        <w:numPr>
          <w:ilvl w:val="0"/>
          <w:numId w:val="1016"/>
        </w:numPr>
        <w:pStyle w:val="Compact"/>
      </w:pPr>
      <w:r>
        <w:t xml:space="preserve">biología y microbiología básica;</w:t>
      </w:r>
    </w:p>
    <w:p>
      <w:pPr>
        <w:numPr>
          <w:ilvl w:val="0"/>
          <w:numId w:val="1016"/>
        </w:numPr>
        <w:pStyle w:val="Compact"/>
      </w:pPr>
      <w:r>
        <w:t xml:space="preserve">química básica;</w:t>
      </w:r>
    </w:p>
    <w:p>
      <w:pPr>
        <w:numPr>
          <w:ilvl w:val="0"/>
          <w:numId w:val="1016"/>
        </w:numPr>
        <w:pStyle w:val="Compact"/>
      </w:pPr>
      <w:r>
        <w:t xml:space="preserve">unidades y conversiones;</w:t>
      </w:r>
    </w:p>
    <w:p>
      <w:pPr>
        <w:numPr>
          <w:ilvl w:val="0"/>
          <w:numId w:val="1016"/>
        </w:numPr>
        <w:pStyle w:val="Compact"/>
      </w:pPr>
      <w:r>
        <w:t xml:space="preserve">cálculos de diluciones;</w:t>
      </w:r>
    </w:p>
    <w:p>
      <w:pPr>
        <w:numPr>
          <w:ilvl w:val="0"/>
          <w:numId w:val="1016"/>
        </w:numPr>
        <w:pStyle w:val="Compact"/>
      </w:pPr>
      <w:r>
        <w:t xml:space="preserve">pipeteo y medición;</w:t>
      </w:r>
    </w:p>
    <w:p>
      <w:pPr>
        <w:numPr>
          <w:ilvl w:val="0"/>
          <w:numId w:val="1016"/>
        </w:numPr>
        <w:pStyle w:val="Compact"/>
      </w:pPr>
      <w:r>
        <w:t xml:space="preserve">preparación de muestras;</w:t>
      </w:r>
    </w:p>
    <w:p>
      <w:pPr>
        <w:numPr>
          <w:ilvl w:val="0"/>
          <w:numId w:val="1016"/>
        </w:numPr>
        <w:pStyle w:val="Compact"/>
      </w:pPr>
      <w:r>
        <w:t xml:space="preserve">microscopía;</w:t>
      </w:r>
    </w:p>
    <w:p>
      <w:pPr>
        <w:numPr>
          <w:ilvl w:val="0"/>
          <w:numId w:val="1016"/>
        </w:numPr>
        <w:pStyle w:val="Compact"/>
      </w:pPr>
      <w:r>
        <w:t xml:space="preserve">conceptos de hematología;</w:t>
      </w:r>
    </w:p>
    <w:p>
      <w:pPr>
        <w:numPr>
          <w:ilvl w:val="0"/>
          <w:numId w:val="1016"/>
        </w:numPr>
        <w:pStyle w:val="Compact"/>
      </w:pPr>
      <w:r>
        <w:t xml:space="preserve">conceptos de uroanálisis;</w:t>
      </w:r>
    </w:p>
    <w:p>
      <w:pPr>
        <w:numPr>
          <w:ilvl w:val="0"/>
          <w:numId w:val="1016"/>
        </w:numPr>
        <w:pStyle w:val="Compact"/>
      </w:pPr>
      <w:r>
        <w:t xml:space="preserve">conceptos de inmunología;</w:t>
      </w:r>
    </w:p>
    <w:p>
      <w:pPr>
        <w:numPr>
          <w:ilvl w:val="0"/>
          <w:numId w:val="1016"/>
        </w:numPr>
        <w:pStyle w:val="Compact"/>
      </w:pPr>
      <w:r>
        <w:t xml:space="preserve">control de calidad;</w:t>
      </w:r>
    </w:p>
    <w:p>
      <w:pPr>
        <w:numPr>
          <w:ilvl w:val="0"/>
          <w:numId w:val="1016"/>
        </w:numPr>
        <w:pStyle w:val="Compact"/>
      </w:pPr>
      <w:r>
        <w:t xml:space="preserve">prevención de contaminación.</w:t>
      </w:r>
    </w:p>
    <w:bookmarkEnd w:id="60"/>
    <w:bookmarkStart w:id="61" w:name="calidad-y-documentación"/>
    <w:p>
      <w:pPr>
        <w:pStyle w:val="Heading3"/>
      </w:pPr>
      <w:r>
        <w:t xml:space="preserve">Calidad y documentación</w:t>
      </w:r>
    </w:p>
    <w:p>
      <w:pPr>
        <w:numPr>
          <w:ilvl w:val="0"/>
          <w:numId w:val="1017"/>
        </w:numPr>
        <w:pStyle w:val="Compact"/>
      </w:pPr>
      <w:r>
        <w:t xml:space="preserve">disciplina con SOP;</w:t>
      </w:r>
    </w:p>
    <w:p>
      <w:pPr>
        <w:numPr>
          <w:ilvl w:val="0"/>
          <w:numId w:val="1017"/>
        </w:numPr>
        <w:pStyle w:val="Compact"/>
      </w:pPr>
      <w:r>
        <w:t xml:space="preserve">trazabilidad;</w:t>
      </w:r>
    </w:p>
    <w:p>
      <w:pPr>
        <w:numPr>
          <w:ilvl w:val="0"/>
          <w:numId w:val="1017"/>
        </w:numPr>
        <w:pStyle w:val="Compact"/>
      </w:pPr>
      <w:r>
        <w:t xml:space="preserve">documentación de QC;</w:t>
      </w:r>
    </w:p>
    <w:p>
      <w:pPr>
        <w:numPr>
          <w:ilvl w:val="0"/>
          <w:numId w:val="1017"/>
        </w:numPr>
        <w:pStyle w:val="Compact"/>
      </w:pPr>
      <w:r>
        <w:t xml:space="preserve">conocimiento de calibración;</w:t>
      </w:r>
    </w:p>
    <w:p>
      <w:pPr>
        <w:numPr>
          <w:ilvl w:val="0"/>
          <w:numId w:val="1017"/>
        </w:numPr>
        <w:pStyle w:val="Compact"/>
      </w:pPr>
      <w:r>
        <w:t xml:space="preserve">control de lote y vencimiento;</w:t>
      </w:r>
    </w:p>
    <w:p>
      <w:pPr>
        <w:numPr>
          <w:ilvl w:val="0"/>
          <w:numId w:val="1017"/>
        </w:numPr>
        <w:pStyle w:val="Compact"/>
      </w:pPr>
      <w:r>
        <w:t xml:space="preserve">acciones correctivas;</w:t>
      </w:r>
    </w:p>
    <w:p>
      <w:pPr>
        <w:numPr>
          <w:ilvl w:val="0"/>
          <w:numId w:val="1017"/>
        </w:numPr>
        <w:pStyle w:val="Compact"/>
      </w:pPr>
      <w:r>
        <w:t xml:space="preserve">integridad de ensayos de aptitud;</w:t>
      </w:r>
    </w:p>
    <w:p>
      <w:pPr>
        <w:numPr>
          <w:ilvl w:val="0"/>
          <w:numId w:val="1017"/>
        </w:numPr>
        <w:pStyle w:val="Compact"/>
      </w:pPr>
      <w:r>
        <w:t xml:space="preserve">documentación de competencia;</w:t>
      </w:r>
    </w:p>
    <w:p>
      <w:pPr>
        <w:numPr>
          <w:ilvl w:val="0"/>
          <w:numId w:val="1017"/>
        </w:numPr>
        <w:pStyle w:val="Compact"/>
      </w:pPr>
      <w:r>
        <w:t xml:space="preserve">pistas de auditoría;</w:t>
      </w:r>
    </w:p>
    <w:p>
      <w:pPr>
        <w:numPr>
          <w:ilvl w:val="0"/>
          <w:numId w:val="1017"/>
        </w:numPr>
        <w:pStyle w:val="Compact"/>
      </w:pPr>
      <w:r>
        <w:t xml:space="preserve">reporte de incidentes;</w:t>
      </w:r>
    </w:p>
    <w:p>
      <w:pPr>
        <w:numPr>
          <w:ilvl w:val="0"/>
          <w:numId w:val="1017"/>
        </w:numPr>
        <w:pStyle w:val="Compact"/>
      </w:pPr>
      <w:r>
        <w:t xml:space="preserve">atención a decimales, unidades e identificadores.</w:t>
      </w:r>
    </w:p>
    <w:bookmarkEnd w:id="61"/>
    <w:bookmarkStart w:id="62" w:name="habilidades-digitales"/>
    <w:p>
      <w:pPr>
        <w:pStyle w:val="Heading3"/>
      </w:pPr>
      <w:r>
        <w:t xml:space="preserve">Habilidades digitales</w:t>
      </w:r>
    </w:p>
    <w:p>
      <w:pPr>
        <w:numPr>
          <w:ilvl w:val="0"/>
          <w:numId w:val="1018"/>
        </w:numPr>
        <w:pStyle w:val="Compact"/>
      </w:pPr>
      <w:r>
        <w:t xml:space="preserve">navegación autorizada en LIS/EHR;</w:t>
      </w:r>
    </w:p>
    <w:p>
      <w:pPr>
        <w:numPr>
          <w:ilvl w:val="0"/>
          <w:numId w:val="1018"/>
        </w:numPr>
        <w:pStyle w:val="Compact"/>
      </w:pPr>
      <w:r>
        <w:t xml:space="preserve">códigos de barras;</w:t>
      </w:r>
    </w:p>
    <w:p>
      <w:pPr>
        <w:numPr>
          <w:ilvl w:val="0"/>
          <w:numId w:val="1018"/>
        </w:numPr>
        <w:pStyle w:val="Compact"/>
      </w:pPr>
      <w:r>
        <w:t xml:space="preserve">hojas de cálculo;</w:t>
      </w:r>
    </w:p>
    <w:p>
      <w:pPr>
        <w:numPr>
          <w:ilvl w:val="0"/>
          <w:numId w:val="1018"/>
        </w:numPr>
        <w:pStyle w:val="Compact"/>
      </w:pPr>
      <w:r>
        <w:t xml:space="preserve">procesamiento de texto;</w:t>
      </w:r>
    </w:p>
    <w:p>
      <w:pPr>
        <w:numPr>
          <w:ilvl w:val="0"/>
          <w:numId w:val="1018"/>
        </w:numPr>
        <w:pStyle w:val="Compact"/>
      </w:pPr>
      <w:r>
        <w:t xml:space="preserve">correo seguro;</w:t>
      </w:r>
    </w:p>
    <w:p>
      <w:pPr>
        <w:numPr>
          <w:ilvl w:val="0"/>
          <w:numId w:val="1018"/>
        </w:numPr>
        <w:pStyle w:val="Compact"/>
      </w:pPr>
      <w:r>
        <w:t xml:space="preserve">middleware instrumental;</w:t>
      </w:r>
    </w:p>
    <w:p>
      <w:pPr>
        <w:numPr>
          <w:ilvl w:val="0"/>
          <w:numId w:val="1018"/>
        </w:numPr>
        <w:pStyle w:val="Compact"/>
      </w:pPr>
      <w:r>
        <w:t xml:space="preserve">sistemas en la nube aprobados;</w:t>
      </w:r>
    </w:p>
    <w:p>
      <w:pPr>
        <w:numPr>
          <w:ilvl w:val="0"/>
          <w:numId w:val="1018"/>
        </w:numPr>
        <w:pStyle w:val="Compact"/>
      </w:pPr>
      <w:r>
        <w:t xml:space="preserve">solución básica de problemas;</w:t>
      </w:r>
    </w:p>
    <w:p>
      <w:pPr>
        <w:numPr>
          <w:ilvl w:val="0"/>
          <w:numId w:val="1018"/>
        </w:numPr>
        <w:pStyle w:val="Compact"/>
      </w:pPr>
      <w:r>
        <w:t xml:space="preserve">conciencia de ciberseguridad.</w:t>
      </w:r>
    </w:p>
    <w:bookmarkEnd w:id="62"/>
    <w:bookmarkStart w:id="63" w:name="habilidades-humanas"/>
    <w:p>
      <w:pPr>
        <w:pStyle w:val="Heading3"/>
      </w:pPr>
      <w:r>
        <w:t xml:space="preserve">Habilidades humanas</w:t>
      </w:r>
    </w:p>
    <w:p>
      <w:pPr>
        <w:numPr>
          <w:ilvl w:val="0"/>
          <w:numId w:val="1019"/>
        </w:numPr>
        <w:pStyle w:val="Compact"/>
      </w:pPr>
      <w:r>
        <w:t xml:space="preserve">precisión;</w:t>
      </w:r>
    </w:p>
    <w:p>
      <w:pPr>
        <w:numPr>
          <w:ilvl w:val="0"/>
          <w:numId w:val="1019"/>
        </w:numPr>
        <w:pStyle w:val="Compact"/>
      </w:pPr>
      <w:r>
        <w:t xml:space="preserve">confiabilidad;</w:t>
      </w:r>
    </w:p>
    <w:p>
      <w:pPr>
        <w:numPr>
          <w:ilvl w:val="0"/>
          <w:numId w:val="1019"/>
        </w:numPr>
        <w:pStyle w:val="Compact"/>
      </w:pPr>
      <w:r>
        <w:t xml:space="preserve">escalamiento tranquilo;</w:t>
      </w:r>
    </w:p>
    <w:p>
      <w:pPr>
        <w:numPr>
          <w:ilvl w:val="0"/>
          <w:numId w:val="1019"/>
        </w:numPr>
        <w:pStyle w:val="Compact"/>
      </w:pPr>
      <w:r>
        <w:t xml:space="preserve">disposición a admitir incertidumbre;</w:t>
      </w:r>
    </w:p>
    <w:p>
      <w:pPr>
        <w:numPr>
          <w:ilvl w:val="0"/>
          <w:numId w:val="1019"/>
        </w:numPr>
        <w:pStyle w:val="Compact"/>
      </w:pPr>
      <w:r>
        <w:t xml:space="preserve">trabajo en equipo;</w:t>
      </w:r>
    </w:p>
    <w:p>
      <w:pPr>
        <w:numPr>
          <w:ilvl w:val="0"/>
          <w:numId w:val="1019"/>
        </w:numPr>
        <w:pStyle w:val="Compact"/>
      </w:pPr>
      <w:r>
        <w:t xml:space="preserve">comunicación con enfermería, médicos, profesionales de laboratorio y mensajería;</w:t>
      </w:r>
    </w:p>
    <w:p>
      <w:pPr>
        <w:numPr>
          <w:ilvl w:val="0"/>
          <w:numId w:val="1019"/>
        </w:numPr>
        <w:pStyle w:val="Compact"/>
      </w:pPr>
      <w:r>
        <w:t xml:space="preserve">respeto por privacidad;</w:t>
      </w:r>
    </w:p>
    <w:p>
      <w:pPr>
        <w:numPr>
          <w:ilvl w:val="0"/>
          <w:numId w:val="1019"/>
        </w:numPr>
        <w:pStyle w:val="Compact"/>
      </w:pPr>
      <w:r>
        <w:t xml:space="preserve">trabajar bajo presión sin omitir controles;</w:t>
      </w:r>
    </w:p>
    <w:p>
      <w:pPr>
        <w:numPr>
          <w:ilvl w:val="0"/>
          <w:numId w:val="1019"/>
        </w:numPr>
        <w:pStyle w:val="Compact"/>
      </w:pPr>
      <w:r>
        <w:t xml:space="preserve">aprendizaje continuo.</w:t>
      </w:r>
    </w:p>
    <w:bookmarkEnd w:id="63"/>
    <w:bookmarkEnd w:id="64"/>
    <w:bookmarkStart w:id="65" w:name="panorama-laboral--estados-unidos"/>
    <w:p>
      <w:pPr>
        <w:pStyle w:val="Heading2"/>
      </w:pPr>
      <w:r>
        <w:t xml:space="preserve">Panorama laboral — Estados Unidos</w:t>
      </w:r>
    </w:p>
    <w:p>
      <w:pPr>
        <w:pStyle w:val="FirstParagraph"/>
      </w:pPr>
      <w:r>
        <w:t xml:space="preserve">Referencia principal:</w:t>
      </w:r>
      <w:r>
        <w:t xml:space="preserve"> </w:t>
      </w:r>
      <w:r>
        <w:rPr>
          <w:bCs/>
          <w:b/>
        </w:rPr>
        <w:t xml:space="preserve">O*NET-SOC 29-2012.00 — Medical and Clinical Laboratory Technicians</w:t>
      </w:r>
      <w:r>
        <w:t xml:space="preserve">.</w:t>
      </w:r>
    </w:p>
    <w:p>
      <w:pPr>
        <w:pStyle w:val="BodyText"/>
      </w:pPr>
      <w:r>
        <w:t xml:space="preserve">La página actual de O*NET reporta datos BLS vinculados a la serie combinada de Clinical Laboratory Technologists and Technicians:</w:t>
      </w:r>
    </w:p>
    <w:p>
      <w:pPr>
        <w:numPr>
          <w:ilvl w:val="0"/>
          <w:numId w:val="1020"/>
        </w:numPr>
        <w:pStyle w:val="Compact"/>
      </w:pPr>
      <w:r>
        <w:rPr>
          <w:bCs/>
          <w:b/>
        </w:rPr>
        <w:t xml:space="preserve">mediana 2025 por hora:</w:t>
      </w:r>
      <w:r>
        <w:t xml:space="preserve"> </w:t>
      </w:r>
      <w:r>
        <w:t xml:space="preserve">US$30.26;</w:t>
      </w:r>
    </w:p>
    <w:p>
      <w:pPr>
        <w:numPr>
          <w:ilvl w:val="0"/>
          <w:numId w:val="1020"/>
        </w:numPr>
        <w:pStyle w:val="Compact"/>
      </w:pPr>
      <w:r>
        <w:rPr>
          <w:bCs/>
          <w:b/>
        </w:rPr>
        <w:t xml:space="preserve">mediana anual 2025:</w:t>
      </w:r>
      <w:r>
        <w:t xml:space="preserve"> </w:t>
      </w:r>
      <w:r>
        <w:t xml:space="preserve">US$62,930;</w:t>
      </w:r>
    </w:p>
    <w:p>
      <w:pPr>
        <w:numPr>
          <w:ilvl w:val="0"/>
          <w:numId w:val="1020"/>
        </w:numPr>
        <w:pStyle w:val="Compact"/>
      </w:pPr>
      <w:r>
        <w:rPr>
          <w:bCs/>
          <w:b/>
        </w:rPr>
        <w:t xml:space="preserve">empleo 2024:</w:t>
      </w:r>
      <w:r>
        <w:t xml:space="preserve"> </w:t>
      </w:r>
      <w:r>
        <w:t xml:space="preserve">aproximadamente 351,200;</w:t>
      </w:r>
    </w:p>
    <w:p>
      <w:pPr>
        <w:numPr>
          <w:ilvl w:val="0"/>
          <w:numId w:val="1020"/>
        </w:numPr>
        <w:pStyle w:val="Compact"/>
      </w:pPr>
      <w:r>
        <w:rPr>
          <w:bCs/>
          <w:b/>
        </w:rPr>
        <w:t xml:space="preserve">crecimiento proyectado 2024–2034:</w:t>
      </w:r>
      <w:r>
        <w:t xml:space="preserve"> </w:t>
      </w:r>
      <w:r>
        <w:t xml:space="preserve">aproximadamente 1%–2%, más lento que el promedio;</w:t>
      </w:r>
    </w:p>
    <w:p>
      <w:pPr>
        <w:numPr>
          <w:ilvl w:val="0"/>
          <w:numId w:val="1020"/>
        </w:numPr>
        <w:pStyle w:val="Compact"/>
      </w:pPr>
      <w:r>
        <w:rPr>
          <w:bCs/>
          <w:b/>
        </w:rPr>
        <w:t xml:space="preserve">vacantes anuales proyectadas:</w:t>
      </w:r>
      <w:r>
        <w:t xml:space="preserve"> </w:t>
      </w:r>
      <w:r>
        <w:t xml:space="preserve">aproximadamente 22,600;</w:t>
      </w:r>
    </w:p>
    <w:p>
      <w:pPr>
        <w:numPr>
          <w:ilvl w:val="0"/>
          <w:numId w:val="1020"/>
        </w:numPr>
        <w:pStyle w:val="Compact"/>
      </w:pPr>
      <w:r>
        <w:rPr>
          <w:bCs/>
          <w:b/>
        </w:rPr>
        <w:t xml:space="preserve">salud y asistencia social:</w:t>
      </w:r>
      <w:r>
        <w:t xml:space="preserve"> </w:t>
      </w:r>
      <w:r>
        <w:t xml:space="preserve">alrededor de 83% del empleo.</w:t>
      </w:r>
    </w:p>
    <w:p>
      <w:pPr>
        <w:pStyle w:val="FirstParagraph"/>
      </w:pPr>
      <w:r>
        <w:t xml:space="preserve">BLS reporta por separado una</w:t>
      </w:r>
      <w:r>
        <w:t xml:space="preserve"> </w:t>
      </w:r>
      <w:r>
        <w:rPr>
          <w:bCs/>
          <w:b/>
        </w:rPr>
        <w:t xml:space="preserve">mediana anual de US$61,890 en mayo de 2024</w:t>
      </w:r>
      <w:r>
        <w:t xml:space="preserve"> </w:t>
      </w:r>
      <w:r>
        <w:t xml:space="preserve">para la ocupación combinada tecnólogo/técnico y crecimiento de 2% entre 2024 y 2034.</w:t>
      </w:r>
    </w:p>
    <w:p>
      <w:pPr>
        <w:pStyle w:val="BodyText"/>
      </w:pPr>
      <w:r>
        <w:t xml:space="preserve">Son cifras de una serie combinada. No las presente como salario garantizado exclusivo de técnicos. La remuneración varía por estado, turno, instalación, certificación, sindicato, especialidad, experiencia y responsabilidad.</w:t>
      </w:r>
    </w:p>
    <w:bookmarkEnd w:id="65"/>
    <w:bookmarkStart w:id="66" w:name="X612037cabdb77ce73f2f9e0a19064f0cd362b10"/>
    <w:p>
      <w:pPr>
        <w:pStyle w:val="Heading2"/>
      </w:pPr>
      <w:r>
        <w:t xml:space="preserve">Estimaciones privadas actuales — Estados Unidos</w:t>
      </w:r>
    </w:p>
    <w:p>
      <w:pPr>
        <w:pStyle w:val="FirstParagraph"/>
      </w:pPr>
      <w:r>
        <w:t xml:space="preserve">Los sitios salariales privados usan diferentes metodologías y coincidencias de títulos. No son estadísticas gubernamentales.</w:t>
      </w:r>
    </w:p>
    <w:p>
      <w:pPr>
        <w:pStyle w:val="BodyText"/>
      </w:pPr>
      <w:r>
        <w:t xml:space="preserve">ZipRecruiter reportó cerca de</w:t>
      </w:r>
      <w:r>
        <w:t xml:space="preserve"> </w:t>
      </w:r>
      <w:r>
        <w:rPr>
          <w:bCs/>
          <w:b/>
        </w:rPr>
        <w:t xml:space="preserve">US$74,374/año (US$35.76/hora)</w:t>
      </w:r>
      <w:r>
        <w:t xml:space="preserve"> </w:t>
      </w:r>
      <w:r>
        <w:t xml:space="preserve">para “Clinical Laboratory Technician” al 2 de agosto de 2026.</w:t>
      </w:r>
    </w:p>
    <w:p>
      <w:pPr>
        <w:pStyle w:val="BodyText"/>
      </w:pPr>
      <w:r>
        <w:t xml:space="preserve">El mismo sitio reportó aproximadamente</w:t>
      </w:r>
      <w:r>
        <w:t xml:space="preserve"> </w:t>
      </w:r>
      <w:r>
        <w:rPr>
          <w:bCs/>
          <w:b/>
        </w:rPr>
        <w:t xml:space="preserve">US$46,864/año (US$22.53/hora)</w:t>
      </w:r>
      <w:r>
        <w:t xml:space="preserve"> </w:t>
      </w:r>
      <w:r>
        <w:t xml:space="preserve">para “MLT Lab Technician” al 8 de agosto de 2026.</w:t>
      </w:r>
    </w:p>
    <w:p>
      <w:pPr>
        <w:pStyle w:val="BodyText"/>
      </w:pPr>
      <w:r>
        <w:t xml:space="preserve">Glassdoor mostraba una estimación cercana a</w:t>
      </w:r>
      <w:r>
        <w:t xml:space="preserve"> </w:t>
      </w:r>
      <w:r>
        <w:rPr>
          <w:bCs/>
          <w:b/>
        </w:rPr>
        <w:t xml:space="preserve">US$60,000 de remuneración total mediana</w:t>
      </w:r>
      <w:r>
        <w:t xml:space="preserve"> </w:t>
      </w:r>
      <w:r>
        <w:t xml:space="preserve">para “Clinical Laboratory Technician”.</w:t>
      </w:r>
    </w:p>
    <w:p>
      <w:pPr>
        <w:pStyle w:val="BodyText"/>
      </w:pPr>
      <w:r>
        <w:t xml:space="preserve">La diferencia ilustra que los títulos no son consistentes. Use BLS/O*NET como referencia nacional principal y los sitios privados solo como contexto actual del título y ubicación exactos.</w:t>
      </w:r>
    </w:p>
    <w:bookmarkEnd w:id="66"/>
    <w:bookmarkStart w:id="67" w:name="educación-y-entrada--estados-unidos"/>
    <w:p>
      <w:pPr>
        <w:pStyle w:val="Heading2"/>
      </w:pPr>
      <w:r>
        <w:t xml:space="preserve">Educación y entrada — Estados Unidos</w:t>
      </w:r>
    </w:p>
    <w:p>
      <w:pPr>
        <w:pStyle w:val="FirstParagraph"/>
      </w:pPr>
      <w:r>
        <w:t xml:space="preserve">BLS indica que algunos técnicos de laboratorio clínico pueden calificar con un associate degree, mientras que los tecnólogos suelen requerir bachelor’s degree. Algunos estados exigen licencia y algunos empleadores prefieren certificación.</w:t>
      </w:r>
    </w:p>
    <w:p>
      <w:pPr>
        <w:pStyle w:val="BodyText"/>
      </w:pPr>
      <w:r>
        <w:t xml:space="preserve">NAACLS identifica una ruta de associate degree para la formación de Medical Laboratory Technician y acredita programas MLT. Un programa sólido debe incluir ciencia de laboratorio, calidad, seguridad y aprendizaje clínico supervisado, no solo teoría en línea.</w:t>
      </w:r>
    </w:p>
    <w:p>
      <w:pPr>
        <w:pStyle w:val="BodyText"/>
      </w:pPr>
      <w:r>
        <w:t xml:space="preserve">Antes de inscribirse, verifique:</w:t>
      </w:r>
    </w:p>
    <w:p>
      <w:pPr>
        <w:numPr>
          <w:ilvl w:val="0"/>
          <w:numId w:val="1021"/>
        </w:numPr>
        <w:pStyle w:val="Compact"/>
      </w:pPr>
      <w:r>
        <w:t xml:space="preserve">acreditación o aprobación reconocida;</w:t>
      </w:r>
    </w:p>
    <w:p>
      <w:pPr>
        <w:numPr>
          <w:ilvl w:val="0"/>
          <w:numId w:val="1021"/>
        </w:numPr>
        <w:pStyle w:val="Compact"/>
      </w:pPr>
      <w:r>
        <w:t xml:space="preserve">si incluye práctica clínica;</w:t>
      </w:r>
    </w:p>
    <w:p>
      <w:pPr>
        <w:numPr>
          <w:ilvl w:val="0"/>
          <w:numId w:val="1021"/>
        </w:numPr>
        <w:pStyle w:val="Compact"/>
      </w:pPr>
      <w:r>
        <w:t xml:space="preserve">elegibilidad para el examen de certificación que pretende presentar;</w:t>
      </w:r>
    </w:p>
    <w:p>
      <w:pPr>
        <w:numPr>
          <w:ilvl w:val="0"/>
          <w:numId w:val="1021"/>
        </w:numPr>
        <w:pStyle w:val="Compact"/>
      </w:pPr>
      <w:r>
        <w:t xml:space="preserve">requisitos de licencia estatal donde piensa trabajar;</w:t>
      </w:r>
    </w:p>
    <w:p>
      <w:pPr>
        <w:numPr>
          <w:ilvl w:val="0"/>
          <w:numId w:val="1021"/>
        </w:numPr>
        <w:pStyle w:val="Compact"/>
      </w:pPr>
      <w:r>
        <w:t xml:space="preserve">costo total;</w:t>
      </w:r>
    </w:p>
    <w:p>
      <w:pPr>
        <w:numPr>
          <w:ilvl w:val="0"/>
          <w:numId w:val="1021"/>
        </w:numPr>
        <w:pStyle w:val="Compact"/>
      </w:pPr>
      <w:r>
        <w:t xml:space="preserve">requisitos de antecedentes, inmunización, pruebas u otros exigidos por sitios clínicos;</w:t>
      </w:r>
    </w:p>
    <w:p>
      <w:pPr>
        <w:numPr>
          <w:ilvl w:val="0"/>
          <w:numId w:val="1021"/>
        </w:numPr>
        <w:pStyle w:val="Compact"/>
      </w:pPr>
      <w:r>
        <w:t xml:space="preserve">horario y transporte;</w:t>
      </w:r>
    </w:p>
    <w:p>
      <w:pPr>
        <w:numPr>
          <w:ilvl w:val="0"/>
          <w:numId w:val="1021"/>
        </w:numPr>
        <w:pStyle w:val="Compact"/>
      </w:pPr>
      <w:r>
        <w:t xml:space="preserve">resultados de graduación/certificación cuando estén disponibles;</w:t>
      </w:r>
    </w:p>
    <w:p>
      <w:pPr>
        <w:numPr>
          <w:ilvl w:val="0"/>
          <w:numId w:val="1021"/>
        </w:numPr>
        <w:pStyle w:val="Compact"/>
      </w:pPr>
      <w:r>
        <w:t xml:space="preserve">transferibilidad de créditos si más adelante estudia MLS u otro grado.</w:t>
      </w:r>
    </w:p>
    <w:bookmarkEnd w:id="67"/>
    <w:bookmarkStart w:id="68" w:name="certificación--estados-unidos"/>
    <w:p>
      <w:pPr>
        <w:pStyle w:val="Heading2"/>
      </w:pPr>
      <w:r>
        <w:t xml:space="preserve">Certificación — Estados Unidos</w:t>
      </w:r>
    </w:p>
    <w:p>
      <w:pPr>
        <w:pStyle w:val="FirstParagraph"/>
      </w:pPr>
      <w:r>
        <w:t xml:space="preserve">ASCP Board of Certification es una organización importante de credenciales. Sus rutas actuales</w:t>
      </w:r>
      <w:r>
        <w:t xml:space="preserve"> </w:t>
      </w:r>
      <w:r>
        <w:rPr>
          <w:bCs/>
          <w:b/>
        </w:rPr>
        <w:t xml:space="preserve">MLT(ASCP)</w:t>
      </w:r>
      <w:r>
        <w:t xml:space="preserve"> </w:t>
      </w:r>
      <w:r>
        <w:t xml:space="preserve">incluyen, entre otras, un associate degree o 60 créditos semestrales más finalización reciente de un programa MLT acreditado por NAACLS o ABHES. También existen otras rutas para capacitación militar o experiencia clínica que cumpla requisitos.</w:t>
      </w:r>
    </w:p>
    <w:p>
      <w:pPr>
        <w:pStyle w:val="BodyText"/>
      </w:pPr>
      <w:r>
        <w:t xml:space="preserve">Certificación nacional y licencia legal no son lo mismo. Una credencial puede ser preferida por el empleador donde no existe licencia estatal; un estado también puede imponer requisitos adicionales.</w:t>
      </w:r>
    </w:p>
    <w:p>
      <w:pPr>
        <w:pStyle w:val="BodyText"/>
      </w:pPr>
      <w:r>
        <w:t xml:space="preserve">Verifique los requisitos vigentes antes de pagar educación o examen.</w:t>
      </w:r>
    </w:p>
    <w:bookmarkEnd w:id="68"/>
    <w:bookmarkStart w:id="70" w:name="Xe2ef19b0f00ca9c750b385d5821ad42188c7a81"/>
    <w:p>
      <w:pPr>
        <w:pStyle w:val="Heading2"/>
      </w:pPr>
      <w:r>
        <w:t xml:space="preserve">WIOA, community colleges y rutas de menor costo — Estados Unidos</w:t>
      </w:r>
    </w:p>
    <w:p>
      <w:pPr>
        <w:pStyle w:val="FirstParagraph"/>
      </w:pPr>
      <w:r>
        <w:t xml:space="preserve">CareerOneStop ofrece un buscador estatal de programas elegibles para WIOA:</w:t>
      </w:r>
    </w:p>
    <w:p>
      <w:pPr>
        <w:pStyle w:val="BodyText"/>
      </w:pPr>
      <w:hyperlink r:id="rId69">
        <w:hyperlink r:id="rId69">
          <w:r>
            <w:rPr>
              <w:rStyle w:val="Hyperlink"/>
            </w:rPr>
            <w:t xml:space="preserve">Source link</w:t>
          </w:r>
        </w:hyperlink>
      </w:hyperlink>
    </w:p>
    <w:p>
      <w:pPr>
        <w:pStyle w:val="BodyText"/>
      </w:pPr>
      <w:r>
        <w:t xml:space="preserve">La financiación WIOA no es automática. Depende de la persona, el estado y el programa. Pregunte en un American Job Center si un programa MLT acreditado local aparece en la lista y si existen servicios de apoyo.</w:t>
      </w:r>
    </w:p>
    <w:p>
      <w:pPr>
        <w:pStyle w:val="BodyText"/>
      </w:pPr>
      <w:r>
        <w:t xml:space="preserve">Compare también:</w:t>
      </w:r>
    </w:p>
    <w:p>
      <w:pPr>
        <w:numPr>
          <w:ilvl w:val="0"/>
          <w:numId w:val="1022"/>
        </w:numPr>
        <w:pStyle w:val="Compact"/>
      </w:pPr>
      <w:r>
        <w:t xml:space="preserve">community colleges públicos;</w:t>
      </w:r>
    </w:p>
    <w:p>
      <w:pPr>
        <w:numPr>
          <w:ilvl w:val="0"/>
          <w:numId w:val="1022"/>
        </w:numPr>
        <w:pStyle w:val="Compact"/>
      </w:pPr>
      <w:r>
        <w:t xml:space="preserve">ayuda federal/estatal cuando corresponda;</w:t>
      </w:r>
    </w:p>
    <w:p>
      <w:pPr>
        <w:numPr>
          <w:ilvl w:val="0"/>
          <w:numId w:val="1022"/>
        </w:numPr>
        <w:pStyle w:val="Compact"/>
      </w:pPr>
      <w:r>
        <w:t xml:space="preserve">becas de hospitales, fundaciones o asociaciones;</w:t>
      </w:r>
    </w:p>
    <w:p>
      <w:pPr>
        <w:numPr>
          <w:ilvl w:val="0"/>
          <w:numId w:val="1022"/>
        </w:numPr>
        <w:pStyle w:val="Compact"/>
      </w:pPr>
      <w:r>
        <w:t xml:space="preserve">tuition assistance del empleador;</w:t>
      </w:r>
    </w:p>
    <w:p>
      <w:pPr>
        <w:numPr>
          <w:ilvl w:val="0"/>
          <w:numId w:val="1022"/>
        </w:numPr>
        <w:pStyle w:val="Compact"/>
      </w:pPr>
      <w:r>
        <w:t xml:space="preserve">alianzas educativas hospitalarias;</w:t>
      </w:r>
    </w:p>
    <w:p>
      <w:pPr>
        <w:numPr>
          <w:ilvl w:val="0"/>
          <w:numId w:val="1022"/>
        </w:numPr>
        <w:pStyle w:val="Compact"/>
      </w:pPr>
      <w:r>
        <w:t xml:space="preserve">rutas militares;</w:t>
      </w:r>
    </w:p>
    <w:p>
      <w:pPr>
        <w:numPr>
          <w:ilvl w:val="0"/>
          <w:numId w:val="1022"/>
        </w:numPr>
        <w:pStyle w:val="Compact"/>
      </w:pPr>
      <w:r>
        <w:t xml:space="preserve">prácticas clínicas pagadas cuando existan;</w:t>
      </w:r>
    </w:p>
    <w:p>
      <w:pPr>
        <w:numPr>
          <w:ilvl w:val="0"/>
          <w:numId w:val="1022"/>
        </w:numPr>
        <w:pStyle w:val="Compact"/>
      </w:pPr>
      <w:r>
        <w:t xml:space="preserve">ascenso patrocinado desde procesamiento de muestras, flebotomía o auxiliar de laboratorio.</w:t>
      </w:r>
    </w:p>
    <w:bookmarkEnd w:id="70"/>
    <w:bookmarkStart w:id="72" w:name="X4328ae2f15f70abf6705d03db07b0587239ff11"/>
    <w:p>
      <w:pPr>
        <w:pStyle w:val="Heading2"/>
      </w:pPr>
      <w:r>
        <w:t xml:space="preserve">Aprendizaje registrado y experiencia laboral — Estados Unidos</w:t>
      </w:r>
    </w:p>
    <w:p>
      <w:pPr>
        <w:pStyle w:val="FirstParagraph"/>
      </w:pPr>
      <w:r>
        <w:t xml:space="preserve">O*NET actualmente identifica títulos que pueden ser objeto de aprendizaje relacionados con Medical and Clinical Laboratory Technicians.</w:t>
      </w:r>
    </w:p>
    <w:p>
      <w:pPr>
        <w:pStyle w:val="BodyText"/>
      </w:pPr>
      <w:r>
        <w:t xml:space="preserve">Busque oportunidades actuales en:</w:t>
      </w:r>
    </w:p>
    <w:p>
      <w:pPr>
        <w:pStyle w:val="BodyText"/>
      </w:pPr>
      <w:hyperlink r:id="rId71">
        <w:r>
          <w:rPr>
            <w:rStyle w:val="Hyperlink"/>
          </w:rPr>
          <w:t xml:space="preserve">https://www.apprenticeship.gov/</w:t>
        </w:r>
      </w:hyperlink>
    </w:p>
    <w:p>
      <w:pPr>
        <w:pStyle w:val="BodyText"/>
      </w:pPr>
      <w:r>
        <w:t xml:space="preserve">Que un título sea apto para aprendizaje no significa que exista una vacante de Registered Apprenticeship en cada estado o empleador. Verifique patrocinador, ocupación, trabajo remunerado, componente educativo y elegibilidad.</w:t>
      </w:r>
    </w:p>
    <w:bookmarkEnd w:id="72"/>
    <w:bookmarkStart w:id="75" w:name="canadá--dos-rutas-comparables"/>
    <w:p>
      <w:pPr>
        <w:pStyle w:val="Heading2"/>
      </w:pPr>
      <w:r>
        <w:t xml:space="preserve">Canadá — dos rutas comparables</w:t>
      </w:r>
    </w:p>
    <w:p>
      <w:pPr>
        <w:pStyle w:val="FirstParagraph"/>
      </w:pPr>
      <w:r>
        <w:t xml:space="preserve">El título estadounidense “clinical laboratory technician” no debe traducirse automáticamente a una sola ocupación canadiense sin revisar funciones.</w:t>
      </w:r>
    </w:p>
    <w:bookmarkStart w:id="73" w:name="X02ebf67d38c4fae52abf1793fd0ded551d40a55"/>
    <w:p>
      <w:pPr>
        <w:pStyle w:val="Heading3"/>
      </w:pPr>
      <w:r>
        <w:t xml:space="preserve">NOC 32120 — Medical laboratory technologists</w:t>
      </w:r>
    </w:p>
    <w:p>
      <w:pPr>
        <w:pStyle w:val="FirstParagraph"/>
      </w:pPr>
      <w:r>
        <w:t xml:space="preserve">Job Bank describe a los tecnólogos de laboratorio médico como profesionales que realizan pruebas, experimentos y análisis que apoyan diagnóstico, tratamiento, monitoreo y prevención de enfermedad.</w:t>
      </w:r>
    </w:p>
    <w:p>
      <w:pPr>
        <w:pStyle w:val="BodyText"/>
      </w:pPr>
      <w:r>
        <w:t xml:space="preserve">Salarios nacionales de Job Bank, actualizados el 19 de noviembre de 2025:</w:t>
      </w:r>
    </w:p>
    <w:p>
      <w:pPr>
        <w:numPr>
          <w:ilvl w:val="0"/>
          <w:numId w:val="1023"/>
        </w:numPr>
        <w:pStyle w:val="Compact"/>
      </w:pPr>
      <w:r>
        <w:rPr>
          <w:bCs/>
          <w:b/>
        </w:rPr>
        <w:t xml:space="preserve">bajo:</w:t>
      </w:r>
      <w:r>
        <w:t xml:space="preserve"> </w:t>
      </w:r>
      <w:r>
        <w:t xml:space="preserve">C$25.13/hora;</w:t>
      </w:r>
    </w:p>
    <w:p>
      <w:pPr>
        <w:numPr>
          <w:ilvl w:val="0"/>
          <w:numId w:val="1023"/>
        </w:numPr>
        <w:pStyle w:val="Compact"/>
      </w:pPr>
      <w:r>
        <w:rPr>
          <w:bCs/>
          <w:b/>
        </w:rPr>
        <w:t xml:space="preserve">mediana:</w:t>
      </w:r>
      <w:r>
        <w:t xml:space="preserve"> </w:t>
      </w:r>
      <w:r>
        <w:t xml:space="preserve">C$39.00/hora;</w:t>
      </w:r>
    </w:p>
    <w:p>
      <w:pPr>
        <w:numPr>
          <w:ilvl w:val="0"/>
          <w:numId w:val="1023"/>
        </w:numPr>
        <w:pStyle w:val="Compact"/>
      </w:pPr>
      <w:r>
        <w:rPr>
          <w:bCs/>
          <w:b/>
        </w:rPr>
        <w:t xml:space="preserve">alto:</w:t>
      </w:r>
      <w:r>
        <w:t xml:space="preserve"> </w:t>
      </w:r>
      <w:r>
        <w:t xml:space="preserve">C$49.00/hora.</w:t>
      </w:r>
    </w:p>
    <w:p>
      <w:pPr>
        <w:pStyle w:val="FirstParagraph"/>
      </w:pPr>
      <w:r>
        <w:t xml:space="preserve">Job Bank indica que normalmente se requiere un programa de college de dos o tres años en tecnología de laboratorio médico y que puede requerirse práctica supervisada. El registro es obligatorio en determinadas provincias reguladas y los empleadores suelen pedir certificación CSMLS.</w:t>
      </w:r>
    </w:p>
    <w:p>
      <w:pPr>
        <w:pStyle w:val="BodyText"/>
      </w:pPr>
      <w:r>
        <w:t xml:space="preserve">CSMLS describe programas MLT canadienses que suelen durar tres a cuatro años dentro de programas EQual acreditados y administra certificación nacional. Como la regulación provincial puede cambiar, verifique siempre con el regulador provincial vigente y con Job Bank/CSMLS.</w:t>
      </w:r>
    </w:p>
    <w:bookmarkEnd w:id="73"/>
    <w:bookmarkStart w:id="74" w:name="Xce3e521203ff0c72f74b528b340c3092fa29df1"/>
    <w:p>
      <w:pPr>
        <w:pStyle w:val="Heading3"/>
      </w:pPr>
      <w:r>
        <w:t xml:space="preserve">NOC 33101 — Medical laboratory assistants and related technical occupations</w:t>
      </w:r>
    </w:p>
    <w:p>
      <w:pPr>
        <w:pStyle w:val="FirstParagraph"/>
      </w:pPr>
      <w:r>
        <w:t xml:space="preserve">Puede ser una comparación más cercana para funciones preanalíticas o técnicas más limitadas. Job Bank incluye tareas como recolección de sangre u otras muestras, procesamiento, preparación de reactivos, pruebas rutinarias y mantenimiento de equipos.</w:t>
      </w:r>
    </w:p>
    <w:p>
      <w:pPr>
        <w:pStyle w:val="BodyText"/>
      </w:pPr>
      <w:r>
        <w:t xml:space="preserve">Salarios nacionales de Job Bank, actualizados el 19 de noviembre de 2025:</w:t>
      </w:r>
    </w:p>
    <w:p>
      <w:pPr>
        <w:numPr>
          <w:ilvl w:val="0"/>
          <w:numId w:val="1024"/>
        </w:numPr>
        <w:pStyle w:val="Compact"/>
      </w:pPr>
      <w:r>
        <w:rPr>
          <w:bCs/>
          <w:b/>
        </w:rPr>
        <w:t xml:space="preserve">bajo:</w:t>
      </w:r>
      <w:r>
        <w:t xml:space="preserve"> </w:t>
      </w:r>
      <w:r>
        <w:t xml:space="preserve">C$19.18/hora;</w:t>
      </w:r>
    </w:p>
    <w:p>
      <w:pPr>
        <w:numPr>
          <w:ilvl w:val="0"/>
          <w:numId w:val="1024"/>
        </w:numPr>
        <w:pStyle w:val="Compact"/>
      </w:pPr>
      <w:r>
        <w:rPr>
          <w:bCs/>
          <w:b/>
        </w:rPr>
        <w:t xml:space="preserve">mediana:</w:t>
      </w:r>
      <w:r>
        <w:t xml:space="preserve"> </w:t>
      </w:r>
      <w:r>
        <w:t xml:space="preserve">C$27.00/hora;</w:t>
      </w:r>
    </w:p>
    <w:p>
      <w:pPr>
        <w:numPr>
          <w:ilvl w:val="0"/>
          <w:numId w:val="1024"/>
        </w:numPr>
        <w:pStyle w:val="Compact"/>
      </w:pPr>
      <w:r>
        <w:rPr>
          <w:bCs/>
          <w:b/>
        </w:rPr>
        <w:t xml:space="preserve">alto:</w:t>
      </w:r>
      <w:r>
        <w:t xml:space="preserve"> </w:t>
      </w:r>
      <w:r>
        <w:t xml:space="preserve">C$36.11/hora.</w:t>
      </w:r>
    </w:p>
    <w:p>
      <w:pPr>
        <w:pStyle w:val="FirstParagraph"/>
      </w:pPr>
      <w:r>
        <w:t xml:space="preserve">Job Bank describe preparación típica mediante educación postsecundaria/aprendizaje de menos de dos años o más de seis meses de formación en el trabajo, según el puesto. CSMLS indica que los programas MLA suelen durar alrededor de 9–12 meses y ofrece certificación MLA.</w:t>
      </w:r>
    </w:p>
    <w:p>
      <w:pPr>
        <w:pStyle w:val="BodyText"/>
      </w:pPr>
      <w:r>
        <w:t xml:space="preserve">No afirme que la ruta MLA equivale a una credencial MLT.</w:t>
      </w:r>
    </w:p>
    <w:bookmarkEnd w:id="74"/>
    <w:bookmarkEnd w:id="75"/>
    <w:bookmarkStart w:id="77" w:name="canadá--capacitación-y-apoyo-financiero"/>
    <w:p>
      <w:pPr>
        <w:pStyle w:val="Heading2"/>
      </w:pPr>
      <w:r>
        <w:t xml:space="preserve">Canadá — capacitación y apoyo financiero</w:t>
      </w:r>
    </w:p>
    <w:p>
      <w:pPr>
        <w:pStyle w:val="FirstParagraph"/>
      </w:pPr>
      <w:r>
        <w:t xml:space="preserve">El Gobierno de Canadá ofrece un portal vigente con enlaces a capacitación reconocida, préstamos y ayudas estudiantiles, apoyo de empleo, programas de habilidades y reconocimiento de credenciales extranjeras:</w:t>
      </w:r>
    </w:p>
    <w:p>
      <w:pPr>
        <w:pStyle w:val="BodyText"/>
      </w:pPr>
      <w:hyperlink r:id="rId76">
        <w:hyperlink r:id="rId76">
          <w:r>
            <w:rPr>
              <w:rStyle w:val="Hyperlink"/>
            </w:rPr>
            <w:t xml:space="preserve">Source link</w:t>
          </w:r>
        </w:hyperlink>
      </w:hyperlink>
    </w:p>
    <w:p>
      <w:pPr>
        <w:pStyle w:val="BodyText"/>
      </w:pPr>
      <w:r>
        <w:t xml:space="preserve">La elegibilidad varía. Para una profesión sanitaria regulada, la ayuda financiera no sustituye el reconocimiento de credenciales ni el registro provincial.</w:t>
      </w:r>
    </w:p>
    <w:bookmarkEnd w:id="77"/>
    <w:bookmarkStart w:id="79" w:name="colombia--cuoc-32120"/>
    <w:p>
      <w:pPr>
        <w:pStyle w:val="Heading2"/>
      </w:pPr>
      <w:r>
        <w:t xml:space="preserve">Colombia — CUOC 32120</w:t>
      </w:r>
    </w:p>
    <w:p>
      <w:pPr>
        <w:pStyle w:val="FirstParagraph"/>
      </w:pPr>
      <w:r>
        <w:t xml:space="preserve">OCUPACOL identifica</w:t>
      </w:r>
      <w:r>
        <w:t xml:space="preserve"> </w:t>
      </w:r>
      <w:r>
        <w:rPr>
          <w:bCs/>
          <w:b/>
        </w:rPr>
        <w:t xml:space="preserve">CUOC 32120 — Técnicos de laboratorios médicos</w:t>
      </w:r>
      <w:r>
        <w:t xml:space="preserve">, nivel de competencia 3.</w:t>
      </w:r>
    </w:p>
    <w:p>
      <w:pPr>
        <w:pStyle w:val="BodyText"/>
      </w:pPr>
      <w:r>
        <w:t xml:space="preserve">Los títulos incluyen:</w:t>
      </w:r>
    </w:p>
    <w:p>
      <w:pPr>
        <w:numPr>
          <w:ilvl w:val="0"/>
          <w:numId w:val="1025"/>
        </w:numPr>
        <w:pStyle w:val="Compact"/>
      </w:pPr>
      <w:r>
        <w:t xml:space="preserve">Técnico de laboratorio clínico;</w:t>
      </w:r>
    </w:p>
    <w:p>
      <w:pPr>
        <w:numPr>
          <w:ilvl w:val="0"/>
          <w:numId w:val="1025"/>
        </w:numPr>
        <w:pStyle w:val="Compact"/>
      </w:pPr>
      <w:r>
        <w:t xml:space="preserve">Técnico de laboratorio médico;</w:t>
      </w:r>
    </w:p>
    <w:p>
      <w:pPr>
        <w:numPr>
          <w:ilvl w:val="0"/>
          <w:numId w:val="1025"/>
        </w:numPr>
        <w:pStyle w:val="Compact"/>
      </w:pPr>
      <w:r>
        <w:t xml:space="preserve">Técnico de hematología;</w:t>
      </w:r>
    </w:p>
    <w:p>
      <w:pPr>
        <w:numPr>
          <w:ilvl w:val="0"/>
          <w:numId w:val="1025"/>
        </w:numPr>
        <w:pStyle w:val="Compact"/>
      </w:pPr>
      <w:r>
        <w:t xml:space="preserve">Técnico de histología;</w:t>
      </w:r>
    </w:p>
    <w:p>
      <w:pPr>
        <w:numPr>
          <w:ilvl w:val="0"/>
          <w:numId w:val="1025"/>
        </w:numPr>
        <w:pStyle w:val="Compact"/>
      </w:pPr>
      <w:r>
        <w:t xml:space="preserve">Técnico de banco de sangre;</w:t>
      </w:r>
    </w:p>
    <w:p>
      <w:pPr>
        <w:numPr>
          <w:ilvl w:val="0"/>
          <w:numId w:val="1025"/>
        </w:numPr>
        <w:pStyle w:val="Compact"/>
      </w:pPr>
      <w:r>
        <w:t xml:space="preserve">Técnico de citología;</w:t>
      </w:r>
    </w:p>
    <w:p>
      <w:pPr>
        <w:numPr>
          <w:ilvl w:val="0"/>
          <w:numId w:val="1025"/>
        </w:numPr>
        <w:pStyle w:val="Compact"/>
      </w:pPr>
      <w:r>
        <w:t xml:space="preserve">otros títulos relacionados.</w:t>
      </w:r>
    </w:p>
    <w:p>
      <w:pPr>
        <w:pStyle w:val="FirstParagraph"/>
      </w:pPr>
      <w:r>
        <w:t xml:space="preserve">OCUPACOL describe funciones como recolección y preparación de muestras, apoyo en análisis químicos de líquidos corporales, análisis de datos/muestras, tinción de láminas y apoyo a procedimientos relacionados con patología bajo protocolos y supervisión aplicables.</w:t>
      </w:r>
    </w:p>
    <w:p>
      <w:pPr>
        <w:pStyle w:val="BodyText"/>
      </w:pPr>
      <w:r>
        <w:t xml:space="preserve">Fuente:</w:t>
      </w:r>
    </w:p>
    <w:p>
      <w:pPr>
        <w:pStyle w:val="BodyText"/>
      </w:pPr>
      <w:hyperlink r:id="rId78">
        <w:hyperlink r:id="rId78">
          <w:r>
            <w:rPr>
              <w:rStyle w:val="Hyperlink"/>
            </w:rPr>
            <w:t xml:space="preserve">Source link</w:t>
          </w:r>
        </w:hyperlink>
      </w:hyperlink>
    </w:p>
    <w:p>
      <w:pPr>
        <w:pStyle w:val="BodyText"/>
      </w:pPr>
      <w:r>
        <w:t xml:space="preserve">Es una clasificación ocupacional, no una licencia personal ni autorización para realizar toda tarea listada.</w:t>
      </w:r>
    </w:p>
    <w:bookmarkEnd w:id="79"/>
    <w:bookmarkStart w:id="81" w:name="colombia--cuoc-53294"/>
    <w:p>
      <w:pPr>
        <w:pStyle w:val="Heading2"/>
      </w:pPr>
      <w:r>
        <w:t xml:space="preserve">Colombia — CUOC 53294</w:t>
      </w:r>
    </w:p>
    <w:p>
      <w:pPr>
        <w:pStyle w:val="FirstParagraph"/>
      </w:pPr>
      <w:r>
        <w:t xml:space="preserve">OCUPACOL identifica por separado</w:t>
      </w:r>
      <w:r>
        <w:t xml:space="preserve"> </w:t>
      </w:r>
      <w:r>
        <w:rPr>
          <w:bCs/>
          <w:b/>
        </w:rPr>
        <w:t xml:space="preserve">CUOC 53294 — Auxiliares de laboratorio clínico</w:t>
      </w:r>
      <w:r>
        <w:t xml:space="preserve">, nivel de competencia 2.</w:t>
      </w:r>
    </w:p>
    <w:p>
      <w:pPr>
        <w:pStyle w:val="BodyText"/>
      </w:pPr>
      <w:r>
        <w:t xml:space="preserve">Las funciones incluyen recibir/tomar muestras, preparar materiales, orientar sobre recolección, preparar muestras para cultivo, mantener registros, verificar etiquetado/transporte y cuidar equipos.</w:t>
      </w:r>
    </w:p>
    <w:p>
      <w:pPr>
        <w:pStyle w:val="BodyText"/>
      </w:pPr>
      <w:r>
        <w:t xml:space="preserve">Fuente:</w:t>
      </w:r>
    </w:p>
    <w:p>
      <w:pPr>
        <w:pStyle w:val="BodyText"/>
      </w:pPr>
      <w:hyperlink r:id="rId80">
        <w:hyperlink r:id="rId80">
          <w:r>
            <w:rPr>
              <w:rStyle w:val="Hyperlink"/>
            </w:rPr>
            <w:t xml:space="preserve">Source link</w:t>
          </w:r>
        </w:hyperlink>
      </w:hyperlink>
    </w:p>
    <w:p>
      <w:pPr>
        <w:pStyle w:val="BodyText"/>
      </w:pPr>
      <w:r>
        <w:t xml:space="preserve">Mantenga diferenciadas las rutas auxiliar y técnica. Ninguna clasificación debe usarse para atribuirse la autoridad profesional de un bacteriólogo, patólogo, médico, director de laboratorio u otro profesional de salud regulado por separado.</w:t>
      </w:r>
    </w:p>
    <w:bookmarkEnd w:id="81"/>
    <w:bookmarkStart w:id="83" w:name="Xa45d0e15bc953f1105ac9b58871cde3e1213338"/>
    <w:p>
      <w:pPr>
        <w:pStyle w:val="Heading2"/>
      </w:pPr>
      <w:r>
        <w:t xml:space="preserve">Colombia — aprendizaje complementario actual de SENA</w:t>
      </w:r>
    </w:p>
    <w:p>
      <w:pPr>
        <w:pStyle w:val="FirstParagraph"/>
      </w:pPr>
      <w:r>
        <w:t xml:space="preserve">SENA Betowa lista actualmente</w:t>
      </w:r>
      <w:r>
        <w:t xml:space="preserve"> </w:t>
      </w:r>
      <w:r>
        <w:rPr>
          <w:bCs/>
          <w:b/>
        </w:rPr>
        <w:t xml:space="preserve">Toma de muestras para procesamiento en el laboratorio clínico</w:t>
      </w:r>
      <w:r>
        <w:t xml:space="preserve">, curso especial complementario de</w:t>
      </w:r>
      <w:r>
        <w:t xml:space="preserve"> </w:t>
      </w:r>
      <w:r>
        <w:rPr>
          <w:bCs/>
          <w:b/>
        </w:rPr>
        <w:t xml:space="preserve">48 horas</w:t>
      </w:r>
      <w:r>
        <w:t xml:space="preserve">. La oferta de Bogotá de agosto de 2026 exige ser técnico o auxiliar en enfermería, carta de presentación institucional y proceso de selección del centro.</w:t>
      </w:r>
    </w:p>
    <w:p>
      <w:pPr>
        <w:pStyle w:val="BodyText"/>
      </w:pPr>
      <w:r>
        <w:t xml:space="preserve">Fuente:</w:t>
      </w:r>
    </w:p>
    <w:p>
      <w:pPr>
        <w:pStyle w:val="BodyText"/>
      </w:pPr>
      <w:hyperlink r:id="rId82">
        <w:hyperlink r:id="rId82">
          <w:r>
            <w:rPr>
              <w:rStyle w:val="Hyperlink"/>
            </w:rPr>
            <w:t xml:space="preserve">Source link</w:t>
          </w:r>
        </w:hyperlink>
      </w:hyperlink>
    </w:p>
    <w:p>
      <w:pPr>
        <w:pStyle w:val="BodyText"/>
      </w:pPr>
      <w:r>
        <w:t xml:space="preserve">El curso puede fortalecer una habilidad delegada específica. No es una formación completa de técnico de laboratorio clínico. Ofertas, requisitos, ciudades y fechas cambian; verifique Betowa en vivo.</w:t>
      </w:r>
    </w:p>
    <w:bookmarkEnd w:id="83"/>
    <w:bookmarkStart w:id="85" w:name="américa-latina-y-caribe"/>
    <w:p>
      <w:pPr>
        <w:pStyle w:val="Heading2"/>
      </w:pPr>
      <w:r>
        <w:t xml:space="preserve">América Latina y Caribe</w:t>
      </w:r>
    </w:p>
    <w:p>
      <w:pPr>
        <w:pStyle w:val="FirstParagraph"/>
      </w:pPr>
      <w:r>
        <w:t xml:space="preserve">OIT/Cinterfor ofrece un observatorio por país e institución de organizaciones de formación profesional y certificación de competencias:</w:t>
      </w:r>
    </w:p>
    <w:p>
      <w:pPr>
        <w:pStyle w:val="BodyText"/>
      </w:pPr>
      <w:hyperlink r:id="rId84">
        <w:r>
          <w:rPr>
            <w:rStyle w:val="Hyperlink"/>
          </w:rPr>
          <w:t xml:space="preserve">https://www.oitcinterfor.org/statsfp/paises</w:t>
        </w:r>
      </w:hyperlink>
    </w:p>
    <w:p>
      <w:pPr>
        <w:pStyle w:val="BodyText"/>
      </w:pPr>
      <w:r>
        <w:t xml:space="preserve">Úselo para localizar instituciones nacionales. Después verifique nivel del programa sanitario, práctica clínica, reconocimiento oficial, alcance legal, licencia/registro y aceptación por empleadores en el país específico.</w:t>
      </w:r>
    </w:p>
    <w:bookmarkEnd w:id="85"/>
    <w:bookmarkStart w:id="86" w:name="secuencia-de-aprendizaje-de-menor-costo"/>
    <w:p>
      <w:pPr>
        <w:pStyle w:val="Heading2"/>
      </w:pPr>
      <w:r>
        <w:t xml:space="preserve">Secuencia de aprendizaje de menor costo</w:t>
      </w:r>
    </w:p>
    <w:p>
      <w:pPr>
        <w:pStyle w:val="FirstParagraph"/>
      </w:pPr>
      <w:r>
        <w:t xml:space="preserve">No acumule certificados sin dirección. Construya capacidad en un orden seguro:</w:t>
      </w:r>
    </w:p>
    <w:p>
      <w:pPr>
        <w:numPr>
          <w:ilvl w:val="0"/>
          <w:numId w:val="1026"/>
        </w:numPr>
        <w:pStyle w:val="Compact"/>
      </w:pPr>
      <w:r>
        <w:rPr>
          <w:bCs/>
          <w:b/>
        </w:rPr>
        <w:t xml:space="preserve">Base científica:</w:t>
      </w:r>
      <w:r>
        <w:t xml:space="preserve"> </w:t>
      </w:r>
      <w:r>
        <w:t xml:space="preserve">biología, química, matemáticas, unidades, proporciones, porcentajes, diluciones y estadística básica.</w:t>
      </w:r>
    </w:p>
    <w:p>
      <w:pPr>
        <w:numPr>
          <w:ilvl w:val="0"/>
          <w:numId w:val="1026"/>
        </w:numPr>
        <w:pStyle w:val="Compact"/>
      </w:pPr>
      <w:r>
        <w:rPr>
          <w:bCs/>
          <w:b/>
        </w:rPr>
        <w:t xml:space="preserve">Base de muestras:</w:t>
      </w:r>
      <w:r>
        <w:t xml:space="preserve"> </w:t>
      </w:r>
      <w:r>
        <w:t xml:space="preserve">identificación paciente/muestra, fundamentos de recolección, recipientes, transporte, errores preanalíticos y cadena de custodia cuando corresponda.</w:t>
      </w:r>
    </w:p>
    <w:p>
      <w:pPr>
        <w:numPr>
          <w:ilvl w:val="0"/>
          <w:numId w:val="1026"/>
        </w:numPr>
        <w:pStyle w:val="Compact"/>
      </w:pPr>
      <w:r>
        <w:rPr>
          <w:bCs/>
          <w:b/>
        </w:rPr>
        <w:t xml:space="preserve">Seguridad:</w:t>
      </w:r>
      <w:r>
        <w:t xml:space="preserve"> </w:t>
      </w:r>
      <w:r>
        <w:t xml:space="preserve">patógenos transmitidos por sangre, cortopunzantes, EPP, etiquetas/SDS, derrames, residuos y reporte de exposiciones.</w:t>
      </w:r>
    </w:p>
    <w:p>
      <w:pPr>
        <w:numPr>
          <w:ilvl w:val="0"/>
          <w:numId w:val="1026"/>
        </w:numPr>
        <w:pStyle w:val="Compact"/>
      </w:pPr>
      <w:r>
        <w:rPr>
          <w:bCs/>
          <w:b/>
        </w:rPr>
        <w:t xml:space="preserve">Calidad:</w:t>
      </w:r>
      <w:r>
        <w:t xml:space="preserve"> </w:t>
      </w:r>
      <w:r>
        <w:t xml:space="preserve">QC, calibración, rangos, documentación, desviaciones, ensayos de aptitud, acciones correctivas e integridad de datos.</w:t>
      </w:r>
    </w:p>
    <w:p>
      <w:pPr>
        <w:numPr>
          <w:ilvl w:val="0"/>
          <w:numId w:val="1026"/>
        </w:numPr>
        <w:pStyle w:val="Compact"/>
      </w:pPr>
      <w:r>
        <w:rPr>
          <w:bCs/>
          <w:b/>
        </w:rPr>
        <w:t xml:space="preserve">Base digital:</w:t>
      </w:r>
      <w:r>
        <w:t xml:space="preserve"> </w:t>
      </w:r>
      <w:r>
        <w:t xml:space="preserve">LIS, hojas de cálculo, registros seguros, códigos de barras, privacidad y ciberseguridad.</w:t>
      </w:r>
    </w:p>
    <w:p>
      <w:pPr>
        <w:numPr>
          <w:ilvl w:val="0"/>
          <w:numId w:val="1026"/>
        </w:numPr>
        <w:pStyle w:val="Compact"/>
      </w:pPr>
      <w:r>
        <w:rPr>
          <w:bCs/>
          <w:b/>
        </w:rPr>
        <w:t xml:space="preserve">Programa ocupacional reconocido:</w:t>
      </w:r>
      <w:r>
        <w:t xml:space="preserve"> </w:t>
      </w:r>
      <w:r>
        <w:t xml:space="preserve">elija MLT, MLA o programa técnico específico de su jurisdicción que corresponda al puesto real.</w:t>
      </w:r>
    </w:p>
    <w:p>
      <w:pPr>
        <w:pStyle w:val="FirstParagraph"/>
      </w:pPr>
      <w:r>
        <w:t xml:space="preserve">Los cursos cortos complementan; no reemplazan educación clínica o credenciales obligatorias.</w:t>
      </w:r>
    </w:p>
    <w:bookmarkEnd w:id="86"/>
    <w:bookmarkStart w:id="87" w:name="Xdf8ad13b796c859c6156d6f904ba2baa383a1d6"/>
    <w:p>
      <w:pPr>
        <w:pStyle w:val="Heading2"/>
      </w:pPr>
      <w:r>
        <w:t xml:space="preserve">Accesibilidad e inclusión de discapacidad</w:t>
      </w:r>
    </w:p>
    <w:p>
      <w:pPr>
        <w:pStyle w:val="FirstParagraph"/>
      </w:pPr>
      <w:r>
        <w:t xml:space="preserve">Los laboratorios varían. Algunos puestos requieren permanecer de pie, visión cercana, discriminación de color, motricidad fina, pipeteo repetido, manipulación de muestras, levantamiento, respuesta a alarmas, turnos o trabajo con materiales infecciosos.</w:t>
      </w:r>
    </w:p>
    <w:p>
      <w:pPr>
        <w:pStyle w:val="BodyText"/>
      </w:pPr>
      <w:r>
        <w:t xml:space="preserve">No asuma que una discapacidad impide automáticamente trabajar con seguridad. Las funciones esenciales y ajustes razonables dependen del cargo, jurisdicción y persona.</w:t>
      </w:r>
    </w:p>
    <w:p>
      <w:pPr>
        <w:pStyle w:val="BodyText"/>
      </w:pPr>
      <w:r>
        <w:t xml:space="preserve">Posibles apoyos:</w:t>
      </w:r>
    </w:p>
    <w:p>
      <w:pPr>
        <w:numPr>
          <w:ilvl w:val="0"/>
          <w:numId w:val="1027"/>
        </w:numPr>
        <w:pStyle w:val="Compact"/>
      </w:pPr>
      <w:r>
        <w:t xml:space="preserve">superficies de trabajo ajustables;</w:t>
      </w:r>
    </w:p>
    <w:p>
      <w:pPr>
        <w:numPr>
          <w:ilvl w:val="0"/>
          <w:numId w:val="1027"/>
        </w:numPr>
        <w:pStyle w:val="Compact"/>
      </w:pPr>
      <w:r>
        <w:t xml:space="preserve">sillas ergonómicas u opciones sentado/de pie cuando sean compatibles;</w:t>
      </w:r>
    </w:p>
    <w:p>
      <w:pPr>
        <w:numPr>
          <w:ilvl w:val="0"/>
          <w:numId w:val="1027"/>
        </w:numPr>
        <w:pStyle w:val="Compact"/>
      </w:pPr>
      <w:r>
        <w:t xml:space="preserve">tapetes antifatiga;</w:t>
      </w:r>
    </w:p>
    <w:p>
      <w:pPr>
        <w:numPr>
          <w:ilvl w:val="0"/>
          <w:numId w:val="1027"/>
        </w:numPr>
        <w:pStyle w:val="Compact"/>
      </w:pPr>
      <w:r>
        <w:t xml:space="preserve">ampliación o pantallas accesibles;</w:t>
      </w:r>
    </w:p>
    <w:p>
      <w:pPr>
        <w:numPr>
          <w:ilvl w:val="0"/>
          <w:numId w:val="1027"/>
        </w:numPr>
        <w:pStyle w:val="Compact"/>
      </w:pPr>
      <w:r>
        <w:t xml:space="preserve">etiquetas de alto contraste o ampliadas;</w:t>
      </w:r>
    </w:p>
    <w:p>
      <w:pPr>
        <w:numPr>
          <w:ilvl w:val="0"/>
          <w:numId w:val="1027"/>
        </w:numPr>
        <w:pStyle w:val="Compact"/>
      </w:pPr>
      <w:r>
        <w:t xml:space="preserve">identificadores que no dependan solo del color cuando el sistema lo permita;</w:t>
      </w:r>
    </w:p>
    <w:p>
      <w:pPr>
        <w:numPr>
          <w:ilvl w:val="0"/>
          <w:numId w:val="1027"/>
        </w:numPr>
        <w:pStyle w:val="Compact"/>
      </w:pPr>
      <w:r>
        <w:t xml:space="preserve">secuencias escritas;</w:t>
      </w:r>
    </w:p>
    <w:p>
      <w:pPr>
        <w:numPr>
          <w:ilvl w:val="0"/>
          <w:numId w:val="1027"/>
        </w:numPr>
        <w:pStyle w:val="Compact"/>
      </w:pPr>
      <w:r>
        <w:t xml:space="preserve">herramientas de programación accesibles;</w:t>
      </w:r>
    </w:p>
    <w:p>
      <w:pPr>
        <w:numPr>
          <w:ilvl w:val="0"/>
          <w:numId w:val="1027"/>
        </w:numPr>
        <w:pStyle w:val="Compact"/>
      </w:pPr>
      <w:r>
        <w:t xml:space="preserve">dictado para borradores no regulados;</w:t>
      </w:r>
    </w:p>
    <w:p>
      <w:pPr>
        <w:numPr>
          <w:ilvl w:val="0"/>
          <w:numId w:val="1027"/>
        </w:numPr>
        <w:pStyle w:val="Compact"/>
      </w:pPr>
      <w:r>
        <w:t xml:space="preserve">dispositivos de entrada alternativos;</w:t>
      </w:r>
    </w:p>
    <w:p>
      <w:pPr>
        <w:numPr>
          <w:ilvl w:val="0"/>
          <w:numId w:val="1027"/>
        </w:numPr>
        <w:pStyle w:val="Compact"/>
      </w:pPr>
      <w:r>
        <w:t xml:space="preserve">pipetas ergonómicas;</w:t>
      </w:r>
    </w:p>
    <w:p>
      <w:pPr>
        <w:numPr>
          <w:ilvl w:val="0"/>
          <w:numId w:val="1027"/>
        </w:numPr>
        <w:pStyle w:val="Compact"/>
      </w:pPr>
      <w:r>
        <w:t xml:space="preserve">pausas estructuradas cuando sean compatibles con tiempos de muestras y cobertura;</w:t>
      </w:r>
    </w:p>
    <w:p>
      <w:pPr>
        <w:numPr>
          <w:ilvl w:val="0"/>
          <w:numId w:val="1027"/>
        </w:numPr>
        <w:pStyle w:val="Compact"/>
      </w:pPr>
      <w:r>
        <w:t xml:space="preserve">apoyos visuales/auditivos para alarmas cuando sean seguros y aprobados.</w:t>
      </w:r>
    </w:p>
    <w:p>
      <w:pPr>
        <w:pStyle w:val="FirstParagraph"/>
      </w:pPr>
      <w:r>
        <w:t xml:space="preserve">Un ajuste no debe destruir trazabilidad, control de infecciones, competencia requerida, integridad del QC o seguridad del paciente.</w:t>
      </w:r>
    </w:p>
    <w:bookmarkEnd w:id="87"/>
    <w:bookmarkStart w:id="88" w:name="estrategias-amigables-con-disgrafía"/>
    <w:p>
      <w:pPr>
        <w:pStyle w:val="Heading2"/>
      </w:pPr>
      <w:r>
        <w:t xml:space="preserve">Estrategias amigables con disgrafía</w:t>
      </w:r>
    </w:p>
    <w:p>
      <w:pPr>
        <w:pStyle w:val="FirstParagraph"/>
      </w:pPr>
      <w:r>
        <w:t xml:space="preserve">Cuando la política lo permita:</w:t>
      </w:r>
    </w:p>
    <w:p>
      <w:pPr>
        <w:numPr>
          <w:ilvl w:val="0"/>
          <w:numId w:val="1028"/>
        </w:numPr>
        <w:pStyle w:val="Compact"/>
      </w:pPr>
      <w:r>
        <w:t xml:space="preserve">use códigos de barras en lugar de reescribir identificadores;</w:t>
      </w:r>
    </w:p>
    <w:p>
      <w:pPr>
        <w:numPr>
          <w:ilvl w:val="0"/>
          <w:numId w:val="1028"/>
        </w:numPr>
        <w:pStyle w:val="Compact"/>
      </w:pPr>
      <w:r>
        <w:t xml:space="preserve">use hojas electrónicas aprobadas;</w:t>
      </w:r>
    </w:p>
    <w:p>
      <w:pPr>
        <w:numPr>
          <w:ilvl w:val="0"/>
          <w:numId w:val="1028"/>
        </w:numPr>
        <w:pStyle w:val="Compact"/>
      </w:pPr>
      <w:r>
        <w:t xml:space="preserve">separe visualmente ID, prueba, resultado y unidad;</w:t>
      </w:r>
    </w:p>
    <w:p>
      <w:pPr>
        <w:numPr>
          <w:ilvl w:val="0"/>
          <w:numId w:val="1028"/>
        </w:numPr>
        <w:pStyle w:val="Compact"/>
      </w:pPr>
      <w:r>
        <w:t xml:space="preserve">use listas de verificación en preparaciones de varios pasos;</w:t>
      </w:r>
    </w:p>
    <w:p>
      <w:pPr>
        <w:numPr>
          <w:ilvl w:val="0"/>
          <w:numId w:val="1028"/>
        </w:numPr>
        <w:pStyle w:val="Compact"/>
      </w:pPr>
      <w:r>
        <w:t xml:space="preserve">lea dos veces identificadores críticos y valores decimales;</w:t>
      </w:r>
    </w:p>
    <w:p>
      <w:pPr>
        <w:numPr>
          <w:ilvl w:val="0"/>
          <w:numId w:val="1028"/>
        </w:numPr>
        <w:pStyle w:val="Compact"/>
      </w:pPr>
      <w:r>
        <w:t xml:space="preserve">use plantillas para notas rutinarias no clínicas;</w:t>
      </w:r>
    </w:p>
    <w:p>
      <w:pPr>
        <w:numPr>
          <w:ilvl w:val="0"/>
          <w:numId w:val="1028"/>
        </w:numPr>
        <w:pStyle w:val="Compact"/>
      </w:pPr>
      <w:r>
        <w:t xml:space="preserve">use voz a texto solo para borradores permitidos y verifique manualmente números e identificadores;</w:t>
      </w:r>
    </w:p>
    <w:p>
      <w:pPr>
        <w:numPr>
          <w:ilvl w:val="0"/>
          <w:numId w:val="1028"/>
        </w:numPr>
        <w:pStyle w:val="Compact"/>
      </w:pPr>
      <w:r>
        <w:t xml:space="preserve">mantenga notas personales de estudio separadas de registros regulados;</w:t>
      </w:r>
    </w:p>
    <w:p>
      <w:pPr>
        <w:numPr>
          <w:ilvl w:val="0"/>
          <w:numId w:val="1028"/>
        </w:numPr>
        <w:pStyle w:val="Compact"/>
      </w:pPr>
      <w:r>
        <w:t xml:space="preserve">use alarmas/temporizadores con etiquetas claras;</w:t>
      </w:r>
    </w:p>
    <w:p>
      <w:pPr>
        <w:numPr>
          <w:ilvl w:val="0"/>
          <w:numId w:val="1028"/>
        </w:numPr>
        <w:pStyle w:val="Compact"/>
      </w:pPr>
      <w:r>
        <w:t xml:space="preserve">no dependa de memoria para procedimientos de corrección.</w:t>
      </w:r>
    </w:p>
    <w:p>
      <w:pPr>
        <w:pStyle w:val="FirstParagraph"/>
      </w:pPr>
      <w:r>
        <w:t xml:space="preserve">Las herramientas de accesibilidad nunca deben eludir pistas de auditoría, autenticación, firmas obligatorias o controles de seguridad.</w:t>
      </w:r>
    </w:p>
    <w:bookmarkEnd w:id="88"/>
    <w:bookmarkStart w:id="89" w:name="portafolio-inicial-seguro"/>
    <w:p>
      <w:pPr>
        <w:pStyle w:val="Heading2"/>
      </w:pPr>
      <w:r>
        <w:t xml:space="preserve">Portafolio inicial seguro</w:t>
      </w:r>
    </w:p>
    <w:p>
      <w:pPr>
        <w:pStyle w:val="FirstParagraph"/>
      </w:pPr>
      <w:r>
        <w:t xml:space="preserve">Un portafolio de laboratorio clínico no debe contener información real de pacientes, procedimientos confidenciales del empleador ni afirmaciones fabricadas de competencia clínica.</w:t>
      </w:r>
    </w:p>
    <w:p>
      <w:pPr>
        <w:pStyle w:val="BodyText"/>
      </w:pPr>
      <w:r>
        <w:t xml:space="preserve">Ejemplos seguros:</w:t>
      </w:r>
    </w:p>
    <w:p>
      <w:pPr>
        <w:numPr>
          <w:ilvl w:val="0"/>
          <w:numId w:val="1029"/>
        </w:numPr>
        <w:pStyle w:val="Compact"/>
      </w:pPr>
      <w:r>
        <w:t xml:space="preserve">lista ficticia de recepción de muestras;</w:t>
      </w:r>
    </w:p>
    <w:p>
      <w:pPr>
        <w:numPr>
          <w:ilvl w:val="0"/>
          <w:numId w:val="1029"/>
        </w:numPr>
        <w:pStyle w:val="Compact"/>
      </w:pPr>
      <w:r>
        <w:t xml:space="preserve">flujo simulado de registro con identificadores inventados;</w:t>
      </w:r>
    </w:p>
    <w:p>
      <w:pPr>
        <w:numPr>
          <w:ilvl w:val="0"/>
          <w:numId w:val="1029"/>
        </w:numPr>
        <w:pStyle w:val="Compact"/>
      </w:pPr>
      <w:r>
        <w:t xml:space="preserve">hoja con valores ficticios de QC y gráfico de control básico;</w:t>
      </w:r>
    </w:p>
    <w:p>
      <w:pPr>
        <w:numPr>
          <w:ilvl w:val="0"/>
          <w:numId w:val="1029"/>
        </w:numPr>
        <w:pStyle w:val="Compact"/>
      </w:pPr>
      <w:r>
        <w:t xml:space="preserve">registro simulado de temperatura;</w:t>
      </w:r>
    </w:p>
    <w:p>
      <w:pPr>
        <w:numPr>
          <w:ilvl w:val="0"/>
          <w:numId w:val="1029"/>
        </w:numPr>
        <w:pStyle w:val="Compact"/>
      </w:pPr>
      <w:r>
        <w:t xml:space="preserve">informe ficticio de acción correctiva por falla de temperatura de refrigerador;</w:t>
      </w:r>
    </w:p>
    <w:p>
      <w:pPr>
        <w:numPr>
          <w:ilvl w:val="0"/>
          <w:numId w:val="1029"/>
        </w:numPr>
        <w:pStyle w:val="Compact"/>
      </w:pPr>
      <w:r>
        <w:t xml:space="preserve">inventario ficticio de reactivos con lotes y vencimientos;</w:t>
      </w:r>
    </w:p>
    <w:p>
      <w:pPr>
        <w:numPr>
          <w:ilvl w:val="0"/>
          <w:numId w:val="1029"/>
        </w:numPr>
        <w:pStyle w:val="Compact"/>
      </w:pPr>
      <w:r>
        <w:t xml:space="preserve">explicación escrita de errores preanalíticos, analíticos y postanalíticos;</w:t>
      </w:r>
    </w:p>
    <w:p>
      <w:pPr>
        <w:numPr>
          <w:ilvl w:val="0"/>
          <w:numId w:val="1029"/>
        </w:numPr>
        <w:pStyle w:val="Compact"/>
      </w:pPr>
      <w:r>
        <w:t xml:space="preserve">lista simulada de contingencia y reconciliación;</w:t>
      </w:r>
    </w:p>
    <w:p>
      <w:pPr>
        <w:numPr>
          <w:ilvl w:val="0"/>
          <w:numId w:val="1029"/>
        </w:numPr>
        <w:pStyle w:val="Compact"/>
      </w:pPr>
      <w:r>
        <w:t xml:space="preserve">póster de estudio sobre patógenos transmitidos por sangre;</w:t>
      </w:r>
    </w:p>
    <w:p>
      <w:pPr>
        <w:numPr>
          <w:ilvl w:val="0"/>
          <w:numId w:val="1029"/>
        </w:numPr>
        <w:pStyle w:val="Compact"/>
      </w:pPr>
      <w:r>
        <w:t xml:space="preserve">caso ficticio sobre integridad de datos.</w:t>
      </w:r>
    </w:p>
    <w:p>
      <w:pPr>
        <w:pStyle w:val="FirstParagraph"/>
      </w:pPr>
      <w:r>
        <w:t xml:space="preserve">Identifique toda simulación. Nunca presente un ejercicio académico como si fuera análisis real de pacientes.</w:t>
      </w:r>
    </w:p>
    <w:bookmarkEnd w:id="89"/>
    <w:bookmarkStart w:id="90" w:name="lenguaje-para-el-currículum"/>
    <w:p>
      <w:pPr>
        <w:pStyle w:val="Heading2"/>
      </w:pPr>
      <w:r>
        <w:t xml:space="preserve">Lenguaje para el currículum</w:t>
      </w:r>
    </w:p>
    <w:p>
      <w:pPr>
        <w:pStyle w:val="FirstParagraph"/>
      </w:pPr>
      <w:r>
        <w:t xml:space="preserve">Use frases precisas y verdaderas. Ejemplos si corresponden a su experiencia:</w:t>
      </w:r>
    </w:p>
    <w:p>
      <w:pPr>
        <w:numPr>
          <w:ilvl w:val="0"/>
          <w:numId w:val="1030"/>
        </w:numPr>
        <w:pStyle w:val="Compact"/>
      </w:pPr>
      <w:r>
        <w:t xml:space="preserve">Seguí procedimientos documentados de laboratorio y mantuve registros precisos.</w:t>
      </w:r>
    </w:p>
    <w:p>
      <w:pPr>
        <w:numPr>
          <w:ilvl w:val="0"/>
          <w:numId w:val="1030"/>
        </w:numPr>
        <w:pStyle w:val="Compact"/>
      </w:pPr>
      <w:r>
        <w:t xml:space="preserve">Apoyé recepción, identificación, procesamiento y trazabilidad de muestras.</w:t>
      </w:r>
    </w:p>
    <w:p>
      <w:pPr>
        <w:numPr>
          <w:ilvl w:val="0"/>
          <w:numId w:val="1030"/>
        </w:numPr>
        <w:pStyle w:val="Compact"/>
      </w:pPr>
      <w:r>
        <w:t xml:space="preserve">Realicé pruebas rutinarias dentro de la competencia y supervisión asignadas.</w:t>
      </w:r>
    </w:p>
    <w:p>
      <w:pPr>
        <w:numPr>
          <w:ilvl w:val="0"/>
          <w:numId w:val="1030"/>
        </w:numPr>
        <w:pStyle w:val="Compact"/>
      </w:pPr>
      <w:r>
        <w:t xml:space="preserve">Documenté control de calidad e información de equipos según procedimiento.</w:t>
      </w:r>
    </w:p>
    <w:p>
      <w:pPr>
        <w:numPr>
          <w:ilvl w:val="0"/>
          <w:numId w:val="1030"/>
        </w:numPr>
        <w:pStyle w:val="Compact"/>
      </w:pPr>
      <w:r>
        <w:t xml:space="preserve">Usé sistemas de información y códigos de barras protegiendo información confidencial.</w:t>
      </w:r>
    </w:p>
    <w:p>
      <w:pPr>
        <w:numPr>
          <w:ilvl w:val="0"/>
          <w:numId w:val="1030"/>
        </w:numPr>
        <w:pStyle w:val="Compact"/>
      </w:pPr>
      <w:r>
        <w:t xml:space="preserve">Identifiqué problemas de muestras, instrumentos o QC y los escalé mediante el proceso aprobado.</w:t>
      </w:r>
    </w:p>
    <w:p>
      <w:pPr>
        <w:numPr>
          <w:ilvl w:val="0"/>
          <w:numId w:val="1030"/>
        </w:numPr>
        <w:pStyle w:val="Compact"/>
      </w:pPr>
      <w:r>
        <w:t xml:space="preserve">Cumplí requisitos de EPP, cortopunzantes, patógenos transmitidos por sangre y seguridad química.</w:t>
      </w:r>
    </w:p>
    <w:p>
      <w:pPr>
        <w:pStyle w:val="FirstParagraph"/>
      </w:pPr>
      <w:r>
        <w:t xml:space="preserve">No declare certificación, licencia estatal, autoridad profesional de bacteriología, competencia en banco de sangre, experiencia microbiológica, número de flebotomías, dominio de instrumentos o autoridad independiente de liberación que no posea.</w:t>
      </w:r>
    </w:p>
    <w:bookmarkEnd w:id="90"/>
    <w:bookmarkStart w:id="91" w:name="preparación-para-entrevista"/>
    <w:p>
      <w:pPr>
        <w:pStyle w:val="Heading2"/>
      </w:pPr>
      <w:r>
        <w:t xml:space="preserve">Preparación para entrevista</w:t>
      </w:r>
    </w:p>
    <w:p>
      <w:pPr>
        <w:pStyle w:val="FirstParagraph"/>
      </w:pPr>
      <w:r>
        <w:t xml:space="preserve">Prepárese para explicar:</w:t>
      </w:r>
    </w:p>
    <w:p>
      <w:pPr>
        <w:numPr>
          <w:ilvl w:val="0"/>
          <w:numId w:val="1031"/>
        </w:numPr>
        <w:pStyle w:val="Compact"/>
      </w:pPr>
      <w:r>
        <w:t xml:space="preserve">cómo evita errores de identificación;</w:t>
      </w:r>
    </w:p>
    <w:p>
      <w:pPr>
        <w:numPr>
          <w:ilvl w:val="0"/>
          <w:numId w:val="1031"/>
        </w:numPr>
        <w:pStyle w:val="Compact"/>
      </w:pPr>
      <w:r>
        <w:t xml:space="preserve">qué hace si falla QC;</w:t>
      </w:r>
    </w:p>
    <w:p>
      <w:pPr>
        <w:numPr>
          <w:ilvl w:val="0"/>
          <w:numId w:val="1031"/>
        </w:numPr>
        <w:pStyle w:val="Compact"/>
      </w:pPr>
      <w:r>
        <w:t xml:space="preserve">por qué importan los errores preanalíticos;</w:t>
      </w:r>
    </w:p>
    <w:p>
      <w:pPr>
        <w:numPr>
          <w:ilvl w:val="0"/>
          <w:numId w:val="1031"/>
        </w:numPr>
        <w:pStyle w:val="Compact"/>
      </w:pPr>
      <w:r>
        <w:t xml:space="preserve">cómo maneja una muestra mal etiquetada o con fuga;</w:t>
      </w:r>
    </w:p>
    <w:p>
      <w:pPr>
        <w:numPr>
          <w:ilvl w:val="0"/>
          <w:numId w:val="1031"/>
        </w:numPr>
        <w:pStyle w:val="Compact"/>
      </w:pPr>
      <w:r>
        <w:t xml:space="preserve">cómo documenta una corrección;</w:t>
      </w:r>
    </w:p>
    <w:p>
      <w:pPr>
        <w:numPr>
          <w:ilvl w:val="0"/>
          <w:numId w:val="1031"/>
        </w:numPr>
        <w:pStyle w:val="Compact"/>
      </w:pPr>
      <w:r>
        <w:t xml:space="preserve">qué hace después de un pinchazo o salpicadura;</w:t>
      </w:r>
    </w:p>
    <w:p>
      <w:pPr>
        <w:numPr>
          <w:ilvl w:val="0"/>
          <w:numId w:val="1031"/>
        </w:numPr>
        <w:pStyle w:val="Compact"/>
      </w:pPr>
      <w:r>
        <w:t xml:space="preserve">por qué los cortopunzantes contaminados requieren controles especiales;</w:t>
      </w:r>
    </w:p>
    <w:p>
      <w:pPr>
        <w:numPr>
          <w:ilvl w:val="0"/>
          <w:numId w:val="1031"/>
        </w:numPr>
        <w:pStyle w:val="Compact"/>
      </w:pPr>
      <w:r>
        <w:t xml:space="preserve">qué hace si un resultado no concuerda con la condición de la muestra;</w:t>
      </w:r>
    </w:p>
    <w:p>
      <w:pPr>
        <w:numPr>
          <w:ilvl w:val="0"/>
          <w:numId w:val="1031"/>
        </w:numPr>
        <w:pStyle w:val="Compact"/>
      </w:pPr>
      <w:r>
        <w:t xml:space="preserve">por qué no repetiría una prueba hasta obtener un número “mejor”;</w:t>
      </w:r>
    </w:p>
    <w:p>
      <w:pPr>
        <w:numPr>
          <w:ilvl w:val="0"/>
          <w:numId w:val="1031"/>
        </w:numPr>
        <w:pStyle w:val="Compact"/>
      </w:pPr>
      <w:r>
        <w:t xml:space="preserve">cómo protege información de pacientes;</w:t>
      </w:r>
    </w:p>
    <w:p>
      <w:pPr>
        <w:numPr>
          <w:ilvl w:val="0"/>
          <w:numId w:val="1031"/>
        </w:numPr>
        <w:pStyle w:val="Compact"/>
      </w:pPr>
      <w:r>
        <w:t xml:space="preserve">qué hace si le piden usar el usuario de otra persona;</w:t>
      </w:r>
    </w:p>
    <w:p>
      <w:pPr>
        <w:numPr>
          <w:ilvl w:val="0"/>
          <w:numId w:val="1031"/>
        </w:numPr>
        <w:pStyle w:val="Compact"/>
      </w:pPr>
      <w:r>
        <w:t xml:space="preserve">qué tareas escalaría en vez de realizar fuera de su competencia;</w:t>
      </w:r>
    </w:p>
    <w:p>
      <w:pPr>
        <w:numPr>
          <w:ilvl w:val="0"/>
          <w:numId w:val="1031"/>
        </w:numPr>
        <w:pStyle w:val="Compact"/>
      </w:pPr>
      <w:r>
        <w:t xml:space="preserve">cómo usaría IA de manera segura en laboratorio clínico.</w:t>
      </w:r>
    </w:p>
    <w:p>
      <w:pPr>
        <w:pStyle w:val="FirstParagraph"/>
      </w:pPr>
      <w:r>
        <w:t xml:space="preserve">Una respuesta sólida demuestra precisión, seguridad, honestidad, documentación y escalamiento, no confianza sin límites.</w:t>
      </w:r>
    </w:p>
    <w:bookmarkEnd w:id="91"/>
    <w:bookmarkStart w:id="98" w:name="plan-de-acción-de-seis-pasos"/>
    <w:p>
      <w:pPr>
        <w:pStyle w:val="Heading2"/>
      </w:pPr>
      <w:r>
        <w:t xml:space="preserve">Plan de acción de seis pasos</w:t>
      </w:r>
    </w:p>
    <w:p>
      <w:pPr>
        <w:pStyle w:val="FirstParagraph"/>
      </w:pPr>
      <w:r>
        <w:t xml:space="preserve">Esta sección corrige intencionalmente el defecto heredado de la Guía 100, cuyo QA registraba</w:t>
      </w:r>
      <w:r>
        <w:t xml:space="preserve"> </w:t>
      </w:r>
      <w:r>
        <w:rPr>
          <w:bCs/>
          <w:b/>
        </w:rPr>
        <w:t xml:space="preserve">Action Plan 1 To 6: False</w:t>
      </w:r>
      <w:r>
        <w:t xml:space="preserve">.</w:t>
      </w:r>
    </w:p>
    <w:bookmarkStart w:id="92" w:name="X5b56f5e180591a1d0f8874c383223b98b1ea9f6"/>
    <w:p>
      <w:pPr>
        <w:pStyle w:val="Heading3"/>
      </w:pPr>
      <w:r>
        <w:t xml:space="preserve">Paso 1 — Elegir la función y jurisdicción reales</w:t>
      </w:r>
    </w:p>
    <w:p>
      <w:pPr>
        <w:pStyle w:val="FirstParagraph"/>
      </w:pPr>
      <w:r>
        <w:t xml:space="preserve">Determine si busca MLT/técnico de laboratorio clínico en EE. UU., MLT de Canadá, MLA de Canadá, trabajo técnico CUOC 32120 en Colombia, auxiliar CUOC 53294 u otra ruta nacional. No compare programas hasta conocer el contexto legal y laboral real.</w:t>
      </w:r>
    </w:p>
    <w:bookmarkEnd w:id="92"/>
    <w:bookmarkStart w:id="93" w:name="Xdd3d4aa27a50c17961f1a5e4e6db032a8326315"/>
    <w:p>
      <w:pPr>
        <w:pStyle w:val="Heading3"/>
      </w:pPr>
      <w:r>
        <w:t xml:space="preserve">Paso 2 — Reunir 10 descripciones reales de empleo</w:t>
      </w:r>
    </w:p>
    <w:p>
      <w:pPr>
        <w:pStyle w:val="FirstParagraph"/>
      </w:pPr>
      <w:r>
        <w:t xml:space="preserve">Registre:</w:t>
      </w:r>
    </w:p>
    <w:p>
      <w:pPr>
        <w:numPr>
          <w:ilvl w:val="0"/>
          <w:numId w:val="1032"/>
        </w:numPr>
        <w:pStyle w:val="Compact"/>
      </w:pPr>
      <w:r>
        <w:t xml:space="preserve">educación;</w:t>
      </w:r>
    </w:p>
    <w:p>
      <w:pPr>
        <w:numPr>
          <w:ilvl w:val="0"/>
          <w:numId w:val="1032"/>
        </w:numPr>
        <w:pStyle w:val="Compact"/>
      </w:pPr>
      <w:r>
        <w:t xml:space="preserve">acreditación;</w:t>
      </w:r>
    </w:p>
    <w:p>
      <w:pPr>
        <w:numPr>
          <w:ilvl w:val="0"/>
          <w:numId w:val="1032"/>
        </w:numPr>
        <w:pStyle w:val="Compact"/>
      </w:pPr>
      <w:r>
        <w:t xml:space="preserve">certificación;</w:t>
      </w:r>
    </w:p>
    <w:p>
      <w:pPr>
        <w:numPr>
          <w:ilvl w:val="0"/>
          <w:numId w:val="1032"/>
        </w:numPr>
        <w:pStyle w:val="Compact"/>
      </w:pPr>
      <w:r>
        <w:t xml:space="preserve">licencia/registro;</w:t>
      </w:r>
    </w:p>
    <w:p>
      <w:pPr>
        <w:numPr>
          <w:ilvl w:val="0"/>
          <w:numId w:val="1032"/>
        </w:numPr>
        <w:pStyle w:val="Compact"/>
      </w:pPr>
      <w:r>
        <w:t xml:space="preserve">experiencia clínica;</w:t>
      </w:r>
    </w:p>
    <w:p>
      <w:pPr>
        <w:numPr>
          <w:ilvl w:val="0"/>
          <w:numId w:val="1032"/>
        </w:numPr>
        <w:pStyle w:val="Compact"/>
      </w:pPr>
      <w:r>
        <w:t xml:space="preserve">turno;</w:t>
      </w:r>
    </w:p>
    <w:p>
      <w:pPr>
        <w:numPr>
          <w:ilvl w:val="0"/>
          <w:numId w:val="1032"/>
        </w:numPr>
        <w:pStyle w:val="Compact"/>
      </w:pPr>
      <w:r>
        <w:t xml:space="preserve">expectativas de toma de muestras;</w:t>
      </w:r>
    </w:p>
    <w:p>
      <w:pPr>
        <w:numPr>
          <w:ilvl w:val="0"/>
          <w:numId w:val="1032"/>
        </w:numPr>
        <w:pStyle w:val="Compact"/>
      </w:pPr>
      <w:r>
        <w:t xml:space="preserve">disciplinas;</w:t>
      </w:r>
    </w:p>
    <w:p>
      <w:pPr>
        <w:numPr>
          <w:ilvl w:val="0"/>
          <w:numId w:val="1032"/>
        </w:numPr>
        <w:pStyle w:val="Compact"/>
      </w:pPr>
      <w:r>
        <w:t xml:space="preserve">exigencias físicas;</w:t>
      </w:r>
    </w:p>
    <w:p>
      <w:pPr>
        <w:numPr>
          <w:ilvl w:val="0"/>
          <w:numId w:val="1032"/>
        </w:numPr>
        <w:pStyle w:val="Compact"/>
      </w:pPr>
      <w:r>
        <w:t xml:space="preserve">salario publicado;</w:t>
      </w:r>
    </w:p>
    <w:p>
      <w:pPr>
        <w:numPr>
          <w:ilvl w:val="0"/>
          <w:numId w:val="1032"/>
        </w:numPr>
        <w:pStyle w:val="Compact"/>
      </w:pPr>
      <w:r>
        <w:t xml:space="preserve">software/instrumentos;</w:t>
      </w:r>
    </w:p>
    <w:p>
      <w:pPr>
        <w:numPr>
          <w:ilvl w:val="0"/>
          <w:numId w:val="1032"/>
        </w:numPr>
        <w:pStyle w:val="Compact"/>
      </w:pPr>
      <w:r>
        <w:t xml:space="preserve">lenguaje de supervisión y liberación de resultados.</w:t>
      </w:r>
    </w:p>
    <w:bookmarkEnd w:id="93"/>
    <w:bookmarkStart w:id="94" w:name="X744745bba508b746370b322853781f5ce0a1065"/>
    <w:p>
      <w:pPr>
        <w:pStyle w:val="Heading3"/>
      </w:pPr>
      <w:r>
        <w:t xml:space="preserve">Paso 3 — Verificar la ruta de credenciales antes de pagar</w:t>
      </w:r>
    </w:p>
    <w:p>
      <w:pPr>
        <w:pStyle w:val="FirstParagraph"/>
      </w:pPr>
      <w:r>
        <w:t xml:space="preserve">Use fuentes oficiales aplicables: regulador estatal, información CLIA/CMS, directorio NAACLS/educación reconocida, entidad certificadora, regulador provincial canadiense/Job Bank/CSMLS, autoridad de salud/educación de Colombia, SENA u otra autoridad nacional competente.</w:t>
      </w:r>
    </w:p>
    <w:p>
      <w:pPr>
        <w:pStyle w:val="BodyText"/>
      </w:pPr>
      <w:r>
        <w:t xml:space="preserve">Escriba la secuencia exacta. No dependa únicamente de publicidad de una institución educativa.</w:t>
      </w:r>
    </w:p>
    <w:bookmarkEnd w:id="94"/>
    <w:bookmarkStart w:id="95" w:name="X2a1ba15f2190fe661f0dd6732911aac54ca6967"/>
    <w:p>
      <w:pPr>
        <w:pStyle w:val="Heading3"/>
      </w:pPr>
      <w:r>
        <w:t xml:space="preserve">Paso 4 — Cerrar las tres brechas principales</w:t>
      </w:r>
    </w:p>
    <w:p>
      <w:pPr>
        <w:pStyle w:val="FirstParagraph"/>
      </w:pPr>
      <w:r>
        <w:t xml:space="preserve">Elija solo las brechas prioritarias, por ejemplo química, matemáticas/diluciones y manejo de muestras. Use recursos gratuitos o económicos, prerequisitos de community college, formación pública o aprendizaje patrocinado antes de comprar certificados adicionales.</w:t>
      </w:r>
    </w:p>
    <w:bookmarkEnd w:id="95"/>
    <w:bookmarkStart w:id="96" w:name="paso-5--crear-evidencia-supervisada"/>
    <w:p>
      <w:pPr>
        <w:pStyle w:val="Heading3"/>
      </w:pPr>
      <w:r>
        <w:t xml:space="preserve">Paso 5 — Crear evidencia supervisada</w:t>
      </w:r>
    </w:p>
    <w:p>
      <w:pPr>
        <w:pStyle w:val="FirstParagraph"/>
      </w:pPr>
      <w:r>
        <w:t xml:space="preserve">Complete el programa reconocido, laboratorio práctico, práctica clínica, aprendizaje aprobado, capacitación del empleador u otra experiencia supervisada requerida. Conserve únicamente evidencia no confidencial que tenga derecho a guardar, como cursos, certificaciones y portafolio ficticio.</w:t>
      </w:r>
    </w:p>
    <w:bookmarkEnd w:id="96"/>
    <w:bookmarkStart w:id="97" w:name="paso-6--postular-revisar-y-avanzar"/>
    <w:p>
      <w:pPr>
        <w:pStyle w:val="Heading3"/>
      </w:pPr>
      <w:r>
        <w:t xml:space="preserve">Paso 6 — Postular, revisar y avanzar</w:t>
      </w:r>
    </w:p>
    <w:p>
      <w:pPr>
        <w:pStyle w:val="FirstParagraph"/>
      </w:pPr>
      <w:r>
        <w:t xml:space="preserve">Postúlese a funciones acordes con su alcance verificado. Cada cinco a diez solicitudes, compare requisitos repetidos con su evidencia. Si aparece la misma brecha legítima, atiéndala en vez de acumular credenciales no relacionadas. Una vez empleado, mantenga vigentes competencia, educación continua, seguridad y credenciales.</w:t>
      </w:r>
    </w:p>
    <w:bookmarkEnd w:id="97"/>
    <w:bookmarkEnd w:id="98"/>
    <w:bookmarkStart w:id="99" w:name="antes-de-aceptar-un-empleo"/>
    <w:p>
      <w:pPr>
        <w:pStyle w:val="Heading2"/>
      </w:pPr>
      <w:r>
        <w:t xml:space="preserve">Antes de aceptar un empleo</w:t>
      </w:r>
    </w:p>
    <w:p>
      <w:pPr>
        <w:pStyle w:val="FirstParagraph"/>
      </w:pPr>
      <w:r>
        <w:t xml:space="preserve">Pregunte por:</w:t>
      </w:r>
    </w:p>
    <w:p>
      <w:pPr>
        <w:numPr>
          <w:ilvl w:val="0"/>
          <w:numId w:val="1033"/>
        </w:numPr>
        <w:pStyle w:val="Compact"/>
      </w:pPr>
      <w:r>
        <w:t xml:space="preserve">título exacto y alcance asignado;</w:t>
      </w:r>
    </w:p>
    <w:p>
      <w:pPr>
        <w:numPr>
          <w:ilvl w:val="0"/>
          <w:numId w:val="1033"/>
        </w:numPr>
        <w:pStyle w:val="Compact"/>
      </w:pPr>
      <w:r>
        <w:t xml:space="preserve">departamento y menú de pruebas;</w:t>
      </w:r>
    </w:p>
    <w:p>
      <w:pPr>
        <w:numPr>
          <w:ilvl w:val="0"/>
          <w:numId w:val="1033"/>
        </w:numPr>
        <w:pStyle w:val="Compact"/>
      </w:pPr>
      <w:r>
        <w:t xml:space="preserve">trabajo</w:t>
      </w:r>
      <w:r>
        <w:t xml:space="preserve"> </w:t>
      </w:r>
      <w:r>
        <w:rPr>
          <w:rStyle w:val="VerbatimChar"/>
        </w:rPr>
        <w:t xml:space="preserve">waived</w:t>
      </w:r>
      <w:r>
        <w:t xml:space="preserve">, moderado o de alta complejidad donde corresponda;</w:t>
      </w:r>
    </w:p>
    <w:p>
      <w:pPr>
        <w:numPr>
          <w:ilvl w:val="0"/>
          <w:numId w:val="1033"/>
        </w:numPr>
        <w:pStyle w:val="Compact"/>
      </w:pPr>
      <w:r>
        <w:t xml:space="preserve">supervisión;</w:t>
      </w:r>
    </w:p>
    <w:p>
      <w:pPr>
        <w:numPr>
          <w:ilvl w:val="0"/>
          <w:numId w:val="1033"/>
        </w:numPr>
        <w:pStyle w:val="Compact"/>
      </w:pPr>
      <w:r>
        <w:t xml:space="preserve">autoridad de revisión/liberación;</w:t>
      </w:r>
    </w:p>
    <w:p>
      <w:pPr>
        <w:numPr>
          <w:ilvl w:val="0"/>
          <w:numId w:val="1033"/>
        </w:numPr>
        <w:pStyle w:val="Compact"/>
      </w:pPr>
      <w:r>
        <w:t xml:space="preserve">expectativas de flebotomía;</w:t>
      </w:r>
    </w:p>
    <w:p>
      <w:pPr>
        <w:numPr>
          <w:ilvl w:val="0"/>
          <w:numId w:val="1033"/>
        </w:numPr>
        <w:pStyle w:val="Compact"/>
      </w:pPr>
      <w:r>
        <w:t xml:space="preserve">noches, fines de semana y festivos;</w:t>
      </w:r>
    </w:p>
    <w:p>
      <w:pPr>
        <w:numPr>
          <w:ilvl w:val="0"/>
          <w:numId w:val="1033"/>
        </w:numPr>
        <w:pStyle w:val="Compact"/>
      </w:pPr>
      <w:r>
        <w:t xml:space="preserve">orientación y evaluación de competencia;</w:t>
      </w:r>
    </w:p>
    <w:p>
      <w:pPr>
        <w:numPr>
          <w:ilvl w:val="0"/>
          <w:numId w:val="1033"/>
        </w:numPr>
        <w:pStyle w:val="Compact"/>
      </w:pPr>
      <w:r>
        <w:t xml:space="preserve">plazos de certificación/licencia;</w:t>
      </w:r>
    </w:p>
    <w:p>
      <w:pPr>
        <w:numPr>
          <w:ilvl w:val="0"/>
          <w:numId w:val="1033"/>
        </w:numPr>
        <w:pStyle w:val="Compact"/>
      </w:pPr>
      <w:r>
        <w:t xml:space="preserve">capacitación antes de pruebas independientes;</w:t>
      </w:r>
    </w:p>
    <w:p>
      <w:pPr>
        <w:numPr>
          <w:ilvl w:val="0"/>
          <w:numId w:val="1033"/>
        </w:numPr>
        <w:pStyle w:val="Compact"/>
      </w:pPr>
      <w:r>
        <w:t xml:space="preserve">programa de exposición y cortopunzantes;</w:t>
      </w:r>
    </w:p>
    <w:p>
      <w:pPr>
        <w:numPr>
          <w:ilvl w:val="0"/>
          <w:numId w:val="1033"/>
        </w:numPr>
        <w:pStyle w:val="Compact"/>
      </w:pPr>
      <w:r>
        <w:t xml:space="preserve">seguridad química;</w:t>
      </w:r>
    </w:p>
    <w:p>
      <w:pPr>
        <w:numPr>
          <w:ilvl w:val="0"/>
          <w:numId w:val="1033"/>
        </w:numPr>
        <w:pStyle w:val="Compact"/>
      </w:pPr>
      <w:r>
        <w:t xml:space="preserve">EPP;</w:t>
      </w:r>
    </w:p>
    <w:p>
      <w:pPr>
        <w:numPr>
          <w:ilvl w:val="0"/>
          <w:numId w:val="1033"/>
        </w:numPr>
        <w:pStyle w:val="Compact"/>
      </w:pPr>
      <w:r>
        <w:t xml:space="preserve">exigencias ergonómicas;</w:t>
      </w:r>
    </w:p>
    <w:p>
      <w:pPr>
        <w:numPr>
          <w:ilvl w:val="0"/>
          <w:numId w:val="1033"/>
        </w:numPr>
        <w:pStyle w:val="Compact"/>
      </w:pPr>
      <w:r>
        <w:t xml:space="preserve">dotación y carga;</w:t>
      </w:r>
    </w:p>
    <w:p>
      <w:pPr>
        <w:numPr>
          <w:ilvl w:val="0"/>
          <w:numId w:val="1033"/>
        </w:numPr>
        <w:pStyle w:val="Compact"/>
      </w:pPr>
      <w:r>
        <w:t xml:space="preserve">LIS y contingencia;</w:t>
      </w:r>
    </w:p>
    <w:p>
      <w:pPr>
        <w:numPr>
          <w:ilvl w:val="0"/>
          <w:numId w:val="1033"/>
        </w:numPr>
        <w:pStyle w:val="Compact"/>
      </w:pPr>
      <w:r>
        <w:t xml:space="preserve">tuition assistance;</w:t>
      </w:r>
    </w:p>
    <w:p>
      <w:pPr>
        <w:numPr>
          <w:ilvl w:val="0"/>
          <w:numId w:val="1033"/>
        </w:numPr>
        <w:pStyle w:val="Compact"/>
      </w:pPr>
      <w:r>
        <w:t xml:space="preserve">reembolso de certificación;</w:t>
      </w:r>
    </w:p>
    <w:p>
      <w:pPr>
        <w:numPr>
          <w:ilvl w:val="0"/>
          <w:numId w:val="1033"/>
        </w:numPr>
        <w:pStyle w:val="Compact"/>
      </w:pPr>
      <w:r>
        <w:t xml:space="preserve">ruta hacia tecnólogo/científico o especialidades.</w:t>
      </w:r>
    </w:p>
    <w:p>
      <w:pPr>
        <w:pStyle w:val="FirstParagraph"/>
      </w:pPr>
      <w:r>
        <w:t xml:space="preserve">Un salario inicial menor puede valer la pena si ofrece capacitación clínica supervisada sólida, apoyo de certificación reconocido y una ruta real de avance. Un salario mayor no justifica personal insuficiente, autoridad confusa o presión para omitir controles de calidad.</w:t>
      </w:r>
    </w:p>
    <w:bookmarkEnd w:id="99"/>
    <w:bookmarkStart w:id="136" w:name="fuentes-y-enlaces-de-verificación"/>
    <w:p>
      <w:pPr>
        <w:pStyle w:val="Heading2"/>
      </w:pPr>
      <w:r>
        <w:t xml:space="preserve">Fuentes y enlaces de verificación</w:t>
      </w:r>
    </w:p>
    <w:bookmarkStart w:id="103" w:name="Xd55d848ff998b5a7002aac002c883742376a8e4"/>
    <w:p>
      <w:pPr>
        <w:pStyle w:val="Heading3"/>
      </w:pPr>
      <w:r>
        <w:t xml:space="preserve">Estados Unidos — ocupación y mercado laboral</w:t>
      </w:r>
    </w:p>
    <w:p>
      <w:pPr>
        <w:numPr>
          <w:ilvl w:val="0"/>
          <w:numId w:val="1034"/>
        </w:numPr>
        <w:pStyle w:val="Compact"/>
      </w:pPr>
      <w:r>
        <w:t xml:space="preserve">O*NET Medical and Clinical Laboratory Technicians:</w:t>
      </w:r>
      <w:r>
        <w:t xml:space="preserve"> </w:t>
      </w:r>
      <w:hyperlink r:id="rId100">
        <w:hyperlink r:id="rId100">
          <w:r>
            <w:rPr>
              <w:rStyle w:val="Hyperlink"/>
            </w:rPr>
            <w:t xml:space="preserve">Source link</w:t>
          </w:r>
        </w:hyperlink>
      </w:hyperlink>
    </w:p>
    <w:p>
      <w:pPr>
        <w:numPr>
          <w:ilvl w:val="0"/>
          <w:numId w:val="1034"/>
        </w:numPr>
        <w:pStyle w:val="Compact"/>
      </w:pPr>
      <w:r>
        <w:t xml:space="preserve">BLS Clinical Laboratory Technologists and Technicians:</w:t>
      </w:r>
      <w:r>
        <w:t xml:space="preserve"> </w:t>
      </w:r>
      <w:hyperlink r:id="rId101">
        <w:hyperlink r:id="rId101">
          <w:r>
            <w:rPr>
              <w:rStyle w:val="Hyperlink"/>
            </w:rPr>
            <w:t xml:space="preserve">Source link</w:t>
          </w:r>
        </w:hyperlink>
      </w:hyperlink>
    </w:p>
    <w:p>
      <w:pPr>
        <w:numPr>
          <w:ilvl w:val="0"/>
          <w:numId w:val="1034"/>
        </w:numPr>
        <w:pStyle w:val="Compact"/>
      </w:pPr>
      <w:r>
        <w:t xml:space="preserve">BLS 2025 OEWS national table:</w:t>
      </w:r>
      <w:r>
        <w:t xml:space="preserve"> </w:t>
      </w:r>
      <w:hyperlink r:id="rId102">
        <w:hyperlink r:id="rId102">
          <w:r>
            <w:rPr>
              <w:rStyle w:val="Hyperlink"/>
            </w:rPr>
            <w:t xml:space="preserve">Source link</w:t>
          </w:r>
        </w:hyperlink>
      </w:hyperlink>
    </w:p>
    <w:bookmarkEnd w:id="103"/>
    <w:bookmarkStart w:id="111" w:name="X4eee6cbfd2873f8dba069826d1d89a41e43dc60"/>
    <w:p>
      <w:pPr>
        <w:pStyle w:val="Heading3"/>
      </w:pPr>
      <w:r>
        <w:t xml:space="preserve">Estados Unidos — regulación y calidad de laboratorio</w:t>
      </w:r>
    </w:p>
    <w:p>
      <w:pPr>
        <w:numPr>
          <w:ilvl w:val="0"/>
          <w:numId w:val="1035"/>
        </w:numPr>
        <w:pStyle w:val="Compact"/>
      </w:pPr>
      <w:r>
        <w:t xml:space="preserve">CDC CLIA:</w:t>
      </w:r>
      <w:r>
        <w:t xml:space="preserve"> </w:t>
      </w:r>
      <w:hyperlink r:id="rId104">
        <w:r>
          <w:rPr>
            <w:rStyle w:val="Hyperlink"/>
          </w:rPr>
          <w:t xml:space="preserve">https://www.cdc.gov/clia/</w:t>
        </w:r>
      </w:hyperlink>
    </w:p>
    <w:p>
      <w:pPr>
        <w:numPr>
          <w:ilvl w:val="0"/>
          <w:numId w:val="1035"/>
        </w:numPr>
        <w:pStyle w:val="Compact"/>
      </w:pPr>
      <w:r>
        <w:t xml:space="preserve">CDC Test Complexities:</w:t>
      </w:r>
      <w:r>
        <w:t xml:space="preserve"> </w:t>
      </w:r>
      <w:hyperlink r:id="rId105">
        <w:hyperlink r:id="rId105">
          <w:r>
            <w:rPr>
              <w:rStyle w:val="Hyperlink"/>
            </w:rPr>
            <w:t xml:space="preserve">Source link</w:t>
          </w:r>
        </w:hyperlink>
      </w:hyperlink>
    </w:p>
    <w:p>
      <w:pPr>
        <w:numPr>
          <w:ilvl w:val="0"/>
          <w:numId w:val="1035"/>
        </w:numPr>
        <w:pStyle w:val="Compact"/>
      </w:pPr>
      <w:r>
        <w:t xml:space="preserve">CDC Laboratory Quality:</w:t>
      </w:r>
      <w:r>
        <w:t xml:space="preserve"> </w:t>
      </w:r>
      <w:hyperlink r:id="rId106">
        <w:hyperlink r:id="rId106">
          <w:r>
            <w:rPr>
              <w:rStyle w:val="Hyperlink"/>
            </w:rPr>
            <w:t xml:space="preserve">Source link</w:t>
          </w:r>
        </w:hyperlink>
      </w:hyperlink>
    </w:p>
    <w:p>
      <w:pPr>
        <w:numPr>
          <w:ilvl w:val="0"/>
          <w:numId w:val="1035"/>
        </w:numPr>
        <w:pStyle w:val="Compact"/>
      </w:pPr>
      <w:r>
        <w:t xml:space="preserve">CDC IQCP:</w:t>
      </w:r>
      <w:r>
        <w:t xml:space="preserve"> </w:t>
      </w:r>
      <w:hyperlink r:id="rId107">
        <w:hyperlink r:id="rId107">
          <w:r>
            <w:rPr>
              <w:rStyle w:val="Hyperlink"/>
            </w:rPr>
            <w:t xml:space="preserve">Source link</w:t>
          </w:r>
        </w:hyperlink>
      </w:hyperlink>
    </w:p>
    <w:p>
      <w:pPr>
        <w:numPr>
          <w:ilvl w:val="0"/>
          <w:numId w:val="1035"/>
        </w:numPr>
        <w:pStyle w:val="Compact"/>
      </w:pPr>
      <w:r>
        <w:t xml:space="preserve">CDC Introduction to CLIA training:</w:t>
      </w:r>
      <w:r>
        <w:t xml:space="preserve"> </w:t>
      </w:r>
      <w:hyperlink r:id="rId108">
        <w:hyperlink r:id="rId108">
          <w:r>
            <w:rPr>
              <w:rStyle w:val="Hyperlink"/>
            </w:rPr>
            <w:t xml:space="preserve">Source link</w:t>
          </w:r>
        </w:hyperlink>
      </w:hyperlink>
    </w:p>
    <w:p>
      <w:pPr>
        <w:numPr>
          <w:ilvl w:val="0"/>
          <w:numId w:val="1035"/>
        </w:numPr>
        <w:pStyle w:val="Compact"/>
      </w:pPr>
      <w:r>
        <w:t xml:space="preserve">eCFR 42 CFR Part 493:</w:t>
      </w:r>
      <w:r>
        <w:t xml:space="preserve"> </w:t>
      </w:r>
      <w:hyperlink r:id="rId109">
        <w:hyperlink r:id="rId109">
          <w:r>
            <w:rPr>
              <w:rStyle w:val="Hyperlink"/>
            </w:rPr>
            <w:t xml:space="preserve">Source link</w:t>
          </w:r>
        </w:hyperlink>
      </w:hyperlink>
    </w:p>
    <w:p>
      <w:pPr>
        <w:numPr>
          <w:ilvl w:val="0"/>
          <w:numId w:val="1035"/>
        </w:numPr>
        <w:pStyle w:val="Compact"/>
      </w:pPr>
      <w:r>
        <w:t xml:space="preserve">eCFR CLIA Personnel Subpart M:</w:t>
      </w:r>
      <w:r>
        <w:t xml:space="preserve"> </w:t>
      </w:r>
      <w:hyperlink r:id="rId110">
        <w:hyperlink r:id="rId110">
          <w:r>
            <w:rPr>
              <w:rStyle w:val="Hyperlink"/>
            </w:rPr>
            <w:t xml:space="preserve">Source link</w:t>
          </w:r>
        </w:hyperlink>
      </w:hyperlink>
    </w:p>
    <w:bookmarkEnd w:id="111"/>
    <w:bookmarkStart w:id="114" w:name="estados-unidos--seguridad"/>
    <w:p>
      <w:pPr>
        <w:pStyle w:val="Heading3"/>
      </w:pPr>
      <w:r>
        <w:t xml:space="preserve">Estados Unidos — seguridad</w:t>
      </w:r>
    </w:p>
    <w:p>
      <w:pPr>
        <w:numPr>
          <w:ilvl w:val="0"/>
          <w:numId w:val="1036"/>
        </w:numPr>
        <w:pStyle w:val="Compact"/>
      </w:pPr>
      <w:r>
        <w:t xml:space="preserve">OSHA Bloodborne Pathogens, 29 CFR 1910.1030:</w:t>
      </w:r>
      <w:r>
        <w:t xml:space="preserve"> </w:t>
      </w:r>
      <w:hyperlink r:id="rId112">
        <w:hyperlink r:id="rId112">
          <w:r>
            <w:rPr>
              <w:rStyle w:val="Hyperlink"/>
            </w:rPr>
            <w:t xml:space="preserve">Source link</w:t>
          </w:r>
        </w:hyperlink>
      </w:hyperlink>
    </w:p>
    <w:p>
      <w:pPr>
        <w:numPr>
          <w:ilvl w:val="0"/>
          <w:numId w:val="1036"/>
        </w:numPr>
        <w:pStyle w:val="Compact"/>
      </w:pPr>
      <w:r>
        <w:t xml:space="preserve">OSHA Laboratory Chemical Standard, 29 CFR 1910.1450:</w:t>
      </w:r>
      <w:r>
        <w:t xml:space="preserve"> </w:t>
      </w:r>
      <w:hyperlink r:id="rId113">
        <w:hyperlink r:id="rId113">
          <w:r>
            <w:rPr>
              <w:rStyle w:val="Hyperlink"/>
            </w:rPr>
            <w:t xml:space="preserve">Source link</w:t>
          </w:r>
        </w:hyperlink>
      </w:hyperlink>
    </w:p>
    <w:bookmarkEnd w:id="114"/>
    <w:bookmarkStart w:id="118" w:name="X7a6ec8c5388716d92e70449d3e6f651d647b26d"/>
    <w:p>
      <w:pPr>
        <w:pStyle w:val="Heading3"/>
      </w:pPr>
      <w:r>
        <w:t xml:space="preserve">Estados Unidos — educación, certificación y financiación</w:t>
      </w:r>
    </w:p>
    <w:p>
      <w:pPr>
        <w:numPr>
          <w:ilvl w:val="0"/>
          <w:numId w:val="1037"/>
        </w:numPr>
        <w:pStyle w:val="Compact"/>
      </w:pPr>
      <w:r>
        <w:t xml:space="preserve">NAACLS student information:</w:t>
      </w:r>
      <w:r>
        <w:t xml:space="preserve"> </w:t>
      </w:r>
      <w:hyperlink r:id="rId115">
        <w:r>
          <w:rPr>
            <w:rStyle w:val="Hyperlink"/>
          </w:rPr>
          <w:t xml:space="preserve">https://naacls.org/students/</w:t>
        </w:r>
      </w:hyperlink>
    </w:p>
    <w:p>
      <w:pPr>
        <w:numPr>
          <w:ilvl w:val="0"/>
          <w:numId w:val="1037"/>
        </w:numPr>
        <w:pStyle w:val="Compact"/>
      </w:pPr>
      <w:r>
        <w:t xml:space="preserve">NAACLS:</w:t>
      </w:r>
      <w:r>
        <w:t xml:space="preserve"> </w:t>
      </w:r>
      <w:hyperlink r:id="rId116">
        <w:r>
          <w:rPr>
            <w:rStyle w:val="Hyperlink"/>
          </w:rPr>
          <w:t xml:space="preserve">https://naacls.org/about/</w:t>
        </w:r>
      </w:hyperlink>
    </w:p>
    <w:p>
      <w:pPr>
        <w:numPr>
          <w:ilvl w:val="0"/>
          <w:numId w:val="1037"/>
        </w:numPr>
        <w:pStyle w:val="Compact"/>
      </w:pPr>
      <w:r>
        <w:t xml:space="preserve">ASCP BOC MLT:</w:t>
      </w:r>
      <w:r>
        <w:t xml:space="preserve"> </w:t>
      </w:r>
      <w:hyperlink r:id="rId117">
        <w:hyperlink r:id="rId117">
          <w:r>
            <w:rPr>
              <w:rStyle w:val="Hyperlink"/>
            </w:rPr>
            <w:t xml:space="preserve">Source link</w:t>
          </w:r>
        </w:hyperlink>
      </w:hyperlink>
    </w:p>
    <w:p>
      <w:pPr>
        <w:numPr>
          <w:ilvl w:val="0"/>
          <w:numId w:val="1037"/>
        </w:numPr>
        <w:pStyle w:val="Compact"/>
      </w:pPr>
      <w:r>
        <w:t xml:space="preserve">CareerOneStop WIOA finder:</w:t>
      </w:r>
      <w:r>
        <w:t xml:space="preserve"> </w:t>
      </w:r>
      <w:hyperlink r:id="rId69">
        <w:hyperlink r:id="rId69">
          <w:r>
            <w:rPr>
              <w:rStyle w:val="Hyperlink"/>
            </w:rPr>
            <w:t xml:space="preserve">Source link</w:t>
          </w:r>
        </w:hyperlink>
      </w:hyperlink>
    </w:p>
    <w:p>
      <w:pPr>
        <w:numPr>
          <w:ilvl w:val="0"/>
          <w:numId w:val="1037"/>
        </w:numPr>
        <w:pStyle w:val="Compact"/>
      </w:pPr>
      <w:r>
        <w:t xml:space="preserve">Apprenticeship.gov:</w:t>
      </w:r>
      <w:r>
        <w:t xml:space="preserve"> </w:t>
      </w:r>
      <w:hyperlink r:id="rId71">
        <w:r>
          <w:rPr>
            <w:rStyle w:val="Hyperlink"/>
          </w:rPr>
          <w:t xml:space="preserve">https://www.apprenticeship.gov/</w:t>
        </w:r>
      </w:hyperlink>
    </w:p>
    <w:bookmarkEnd w:id="118"/>
    <w:bookmarkStart w:id="127" w:name="canadá"/>
    <w:p>
      <w:pPr>
        <w:pStyle w:val="Heading3"/>
      </w:pPr>
      <w:r>
        <w:t xml:space="preserve">Canadá</w:t>
      </w:r>
    </w:p>
    <w:p>
      <w:pPr>
        <w:numPr>
          <w:ilvl w:val="0"/>
          <w:numId w:val="1038"/>
        </w:numPr>
        <w:pStyle w:val="Compact"/>
      </w:pPr>
      <w:r>
        <w:t xml:space="preserve">Job Bank NOC 32120 summary:</w:t>
      </w:r>
      <w:r>
        <w:t xml:space="preserve"> </w:t>
      </w:r>
      <w:hyperlink r:id="rId119">
        <w:hyperlink r:id="rId119">
          <w:r>
            <w:rPr>
              <w:rStyle w:val="Hyperlink"/>
            </w:rPr>
            <w:t xml:space="preserve">Source link</w:t>
          </w:r>
        </w:hyperlink>
      </w:hyperlink>
    </w:p>
    <w:p>
      <w:pPr>
        <w:numPr>
          <w:ilvl w:val="0"/>
          <w:numId w:val="1038"/>
        </w:numPr>
        <w:pStyle w:val="Compact"/>
      </w:pPr>
      <w:r>
        <w:t xml:space="preserve">Job Bank NOC 32120 wages:</w:t>
      </w:r>
      <w:r>
        <w:t xml:space="preserve"> </w:t>
      </w:r>
      <w:hyperlink r:id="rId120">
        <w:hyperlink r:id="rId120">
          <w:r>
            <w:rPr>
              <w:rStyle w:val="Hyperlink"/>
            </w:rPr>
            <w:t xml:space="preserve">Source link</w:t>
          </w:r>
        </w:hyperlink>
      </w:hyperlink>
    </w:p>
    <w:p>
      <w:pPr>
        <w:numPr>
          <w:ilvl w:val="0"/>
          <w:numId w:val="1038"/>
        </w:numPr>
        <w:pStyle w:val="Compact"/>
      </w:pPr>
      <w:r>
        <w:t xml:space="preserve">Job Bank NOC 32120 requirements:</w:t>
      </w:r>
      <w:r>
        <w:t xml:space="preserve"> </w:t>
      </w:r>
      <w:hyperlink r:id="rId121">
        <w:hyperlink r:id="rId121">
          <w:r>
            <w:rPr>
              <w:rStyle w:val="Hyperlink"/>
            </w:rPr>
            <w:t xml:space="preserve">Source link</w:t>
          </w:r>
        </w:hyperlink>
      </w:hyperlink>
    </w:p>
    <w:p>
      <w:pPr>
        <w:numPr>
          <w:ilvl w:val="0"/>
          <w:numId w:val="1038"/>
        </w:numPr>
        <w:pStyle w:val="Compact"/>
      </w:pPr>
      <w:r>
        <w:t xml:space="preserve">Job Bank NOC 32120 outlook:</w:t>
      </w:r>
      <w:r>
        <w:t xml:space="preserve"> </w:t>
      </w:r>
      <w:hyperlink r:id="rId122">
        <w:hyperlink r:id="rId122">
          <w:r>
            <w:rPr>
              <w:rStyle w:val="Hyperlink"/>
            </w:rPr>
            <w:t xml:space="preserve">Source link</w:t>
          </w:r>
        </w:hyperlink>
      </w:hyperlink>
    </w:p>
    <w:p>
      <w:pPr>
        <w:numPr>
          <w:ilvl w:val="0"/>
          <w:numId w:val="1038"/>
        </w:numPr>
        <w:pStyle w:val="Compact"/>
      </w:pPr>
      <w:r>
        <w:t xml:space="preserve">Job Bank NOC 33101 summary:</w:t>
      </w:r>
      <w:r>
        <w:t xml:space="preserve"> </w:t>
      </w:r>
      <w:hyperlink r:id="rId123">
        <w:hyperlink r:id="rId123">
          <w:r>
            <w:rPr>
              <w:rStyle w:val="Hyperlink"/>
            </w:rPr>
            <w:t xml:space="preserve">Source link</w:t>
          </w:r>
        </w:hyperlink>
      </w:hyperlink>
    </w:p>
    <w:p>
      <w:pPr>
        <w:numPr>
          <w:ilvl w:val="0"/>
          <w:numId w:val="1038"/>
        </w:numPr>
        <w:pStyle w:val="Compact"/>
      </w:pPr>
      <w:r>
        <w:t xml:space="preserve">Job Bank NOC 33101 wages:</w:t>
      </w:r>
      <w:r>
        <w:t xml:space="preserve"> </w:t>
      </w:r>
      <w:hyperlink r:id="rId124">
        <w:hyperlink r:id="rId124">
          <w:r>
            <w:rPr>
              <w:rStyle w:val="Hyperlink"/>
            </w:rPr>
            <w:t xml:space="preserve">Source link</w:t>
          </w:r>
        </w:hyperlink>
      </w:hyperlink>
    </w:p>
    <w:p>
      <w:pPr>
        <w:numPr>
          <w:ilvl w:val="0"/>
          <w:numId w:val="1038"/>
        </w:numPr>
        <w:pStyle w:val="Compact"/>
      </w:pPr>
      <w:r>
        <w:t xml:space="preserve">CSMLS education pathways:</w:t>
      </w:r>
      <w:r>
        <w:t xml:space="preserve"> </w:t>
      </w:r>
      <w:hyperlink r:id="rId125">
        <w:hyperlink r:id="rId125">
          <w:r>
            <w:rPr>
              <w:rStyle w:val="Hyperlink"/>
            </w:rPr>
            <w:t xml:space="preserve">Source link</w:t>
          </w:r>
        </w:hyperlink>
      </w:hyperlink>
    </w:p>
    <w:p>
      <w:pPr>
        <w:numPr>
          <w:ilvl w:val="0"/>
          <w:numId w:val="1038"/>
        </w:numPr>
        <w:pStyle w:val="Compact"/>
      </w:pPr>
      <w:r>
        <w:t xml:space="preserve">CSMLS certification:</w:t>
      </w:r>
      <w:r>
        <w:t xml:space="preserve"> </w:t>
      </w:r>
      <w:hyperlink r:id="rId126">
        <w:r>
          <w:rPr>
            <w:rStyle w:val="Hyperlink"/>
          </w:rPr>
          <w:t xml:space="preserve">https://csmls.org/certification/</w:t>
        </w:r>
      </w:hyperlink>
    </w:p>
    <w:p>
      <w:pPr>
        <w:numPr>
          <w:ilvl w:val="0"/>
          <w:numId w:val="1038"/>
        </w:numPr>
        <w:pStyle w:val="Compact"/>
      </w:pPr>
      <w:r>
        <w:t xml:space="preserve">Government of Canada training:</w:t>
      </w:r>
      <w:r>
        <w:t xml:space="preserve"> </w:t>
      </w:r>
      <w:hyperlink r:id="rId76">
        <w:hyperlink r:id="rId76">
          <w:r>
            <w:rPr>
              <w:rStyle w:val="Hyperlink"/>
            </w:rPr>
            <w:t xml:space="preserve">Source link</w:t>
          </w:r>
        </w:hyperlink>
      </w:hyperlink>
    </w:p>
    <w:bookmarkEnd w:id="127"/>
    <w:bookmarkStart w:id="129" w:name="colombia-y-américa-latina"/>
    <w:p>
      <w:pPr>
        <w:pStyle w:val="Heading3"/>
      </w:pPr>
      <w:r>
        <w:t xml:space="preserve">Colombia y América Latina</w:t>
      </w:r>
    </w:p>
    <w:p>
      <w:pPr>
        <w:numPr>
          <w:ilvl w:val="0"/>
          <w:numId w:val="1039"/>
        </w:numPr>
        <w:pStyle w:val="Compact"/>
      </w:pPr>
      <w:r>
        <w:t xml:space="preserve">OCUPACOL CUOC 32120:</w:t>
      </w:r>
      <w:r>
        <w:t xml:space="preserve"> </w:t>
      </w:r>
      <w:hyperlink r:id="rId78">
        <w:hyperlink r:id="rId78">
          <w:r>
            <w:rPr>
              <w:rStyle w:val="Hyperlink"/>
            </w:rPr>
            <w:t xml:space="preserve">Source link</w:t>
          </w:r>
        </w:hyperlink>
      </w:hyperlink>
    </w:p>
    <w:p>
      <w:pPr>
        <w:numPr>
          <w:ilvl w:val="0"/>
          <w:numId w:val="1039"/>
        </w:numPr>
        <w:pStyle w:val="Compact"/>
      </w:pPr>
      <w:r>
        <w:t xml:space="preserve">OCUPACOL CUOC 53294:</w:t>
      </w:r>
      <w:r>
        <w:t xml:space="preserve"> </w:t>
      </w:r>
      <w:hyperlink r:id="rId80">
        <w:hyperlink r:id="rId80">
          <w:r>
            <w:rPr>
              <w:rStyle w:val="Hyperlink"/>
            </w:rPr>
            <w:t xml:space="preserve">Source link</w:t>
          </w:r>
        </w:hyperlink>
      </w:hyperlink>
    </w:p>
    <w:p>
      <w:pPr>
        <w:numPr>
          <w:ilvl w:val="0"/>
          <w:numId w:val="1039"/>
        </w:numPr>
        <w:pStyle w:val="Compact"/>
      </w:pPr>
      <w:r>
        <w:t xml:space="preserve">SENA Betowa — Toma de muestras para procesamiento en el laboratorio clínico:</w:t>
      </w:r>
      <w:r>
        <w:t xml:space="preserve"> </w:t>
      </w:r>
      <w:hyperlink r:id="rId82">
        <w:hyperlink r:id="rId82">
          <w:r>
            <w:rPr>
              <w:rStyle w:val="Hyperlink"/>
            </w:rPr>
            <w:t xml:space="preserve">Source link</w:t>
          </w:r>
        </w:hyperlink>
      </w:hyperlink>
    </w:p>
    <w:p>
      <w:pPr>
        <w:numPr>
          <w:ilvl w:val="0"/>
          <w:numId w:val="1039"/>
        </w:numPr>
        <w:pStyle w:val="Compact"/>
      </w:pPr>
      <w:r>
        <w:t xml:space="preserve">SENA Public Employment Agency:</w:t>
      </w:r>
      <w:r>
        <w:t xml:space="preserve"> </w:t>
      </w:r>
      <w:hyperlink r:id="rId128">
        <w:r>
          <w:rPr>
            <w:rStyle w:val="Hyperlink"/>
          </w:rPr>
          <w:t xml:space="preserve">https://agenciapublicadeempleo.sena.edu.co/</w:t>
        </w:r>
      </w:hyperlink>
    </w:p>
    <w:p>
      <w:pPr>
        <w:numPr>
          <w:ilvl w:val="0"/>
          <w:numId w:val="1039"/>
        </w:numPr>
        <w:pStyle w:val="Compact"/>
      </w:pPr>
      <w:r>
        <w:t xml:space="preserve">OIT/Cinterfor:</w:t>
      </w:r>
      <w:r>
        <w:t xml:space="preserve"> </w:t>
      </w:r>
      <w:hyperlink r:id="rId84">
        <w:r>
          <w:rPr>
            <w:rStyle w:val="Hyperlink"/>
          </w:rPr>
          <w:t xml:space="preserve">https://www.oitcinterfor.org/statsfp/paises</w:t>
        </w:r>
      </w:hyperlink>
    </w:p>
    <w:bookmarkEnd w:id="129"/>
    <w:bookmarkStart w:id="131" w:name="ia-responsable-1"/>
    <w:p>
      <w:pPr>
        <w:pStyle w:val="Heading3"/>
      </w:pPr>
      <w:r>
        <w:t xml:space="preserve">IA responsable</w:t>
      </w:r>
    </w:p>
    <w:p>
      <w:pPr>
        <w:numPr>
          <w:ilvl w:val="0"/>
          <w:numId w:val="1040"/>
        </w:numPr>
        <w:pStyle w:val="Compact"/>
      </w:pPr>
      <w:r>
        <w:t xml:space="preserve">NIST AI Risk Management Framework:</w:t>
      </w:r>
      <w:r>
        <w:t xml:space="preserve"> </w:t>
      </w:r>
      <w:hyperlink r:id="rId130">
        <w:hyperlink r:id="rId130">
          <w:r>
            <w:rPr>
              <w:rStyle w:val="Hyperlink"/>
            </w:rPr>
            <w:t xml:space="preserve">Source link</w:t>
          </w:r>
        </w:hyperlink>
      </w:hyperlink>
    </w:p>
    <w:bookmarkEnd w:id="131"/>
    <w:bookmarkStart w:id="135" w:name="contexto-privado-actual-de-ee-uu"/>
    <w:p>
      <w:pPr>
        <w:pStyle w:val="Heading3"/>
      </w:pPr>
      <w:r>
        <w:t xml:space="preserve">Contexto privado actual de EE. UU.</w:t>
      </w:r>
    </w:p>
    <w:p>
      <w:pPr>
        <w:numPr>
          <w:ilvl w:val="0"/>
          <w:numId w:val="1041"/>
        </w:numPr>
        <w:pStyle w:val="Compact"/>
      </w:pPr>
      <w:r>
        <w:t xml:space="preserve">ZipRecruiter Clinical Laboratory Technician:</w:t>
      </w:r>
      <w:r>
        <w:t xml:space="preserve"> </w:t>
      </w:r>
      <w:hyperlink r:id="rId132">
        <w:hyperlink r:id="rId132">
          <w:r>
            <w:rPr>
              <w:rStyle w:val="Hyperlink"/>
            </w:rPr>
            <w:t xml:space="preserve">Source link</w:t>
          </w:r>
        </w:hyperlink>
      </w:hyperlink>
    </w:p>
    <w:p>
      <w:pPr>
        <w:numPr>
          <w:ilvl w:val="0"/>
          <w:numId w:val="1041"/>
        </w:numPr>
        <w:pStyle w:val="Compact"/>
      </w:pPr>
      <w:r>
        <w:t xml:space="preserve">ZipRecruiter MLT Lab Technician:</w:t>
      </w:r>
      <w:r>
        <w:t xml:space="preserve"> </w:t>
      </w:r>
      <w:hyperlink r:id="rId133">
        <w:hyperlink r:id="rId133">
          <w:r>
            <w:rPr>
              <w:rStyle w:val="Hyperlink"/>
            </w:rPr>
            <w:t xml:space="preserve">Source link</w:t>
          </w:r>
        </w:hyperlink>
      </w:hyperlink>
    </w:p>
    <w:p>
      <w:pPr>
        <w:numPr>
          <w:ilvl w:val="0"/>
          <w:numId w:val="1041"/>
        </w:numPr>
        <w:pStyle w:val="Compact"/>
      </w:pPr>
      <w:r>
        <w:t xml:space="preserve">Glassdoor Clinical Laboratory Technician:</w:t>
      </w:r>
      <w:r>
        <w:t xml:space="preserve"> </w:t>
      </w:r>
      <w:hyperlink r:id="rId134">
        <w:hyperlink r:id="rId134">
          <w:r>
            <w:rPr>
              <w:rStyle w:val="Hyperlink"/>
            </w:rPr>
            <w:t xml:space="preserve">Source link</w:t>
          </w:r>
        </w:hyperlink>
      </w:hyperlink>
    </w:p>
    <w:bookmarkEnd w:id="135"/>
    <w:bookmarkEnd w:id="136"/>
    <w:bookmarkStart w:id="137" w:name="aviso-importante"/>
    <w:p>
      <w:pPr>
        <w:pStyle w:val="Heading2"/>
      </w:pPr>
      <w:r>
        <w:t xml:space="preserve">Aviso importante</w:t>
      </w:r>
    </w:p>
    <w:p>
      <w:pPr>
        <w:pStyle w:val="FirstParagraph"/>
      </w:pPr>
      <w:r>
        <w:t xml:space="preserve">Esta guía es material educativo de planificación profesional. No certifica competencia clínica, no autoriza pruebas de pacientes, no ofrece consejo médico, legal o regulatorio, no establece elegibilidad de personal bajo CLIA, no concede licencia o registro y no garantiza admisión, certificación, financiación, empleo o ingresos. Tampoco sustituye procedimientos validados ni programas de competencia del empleador.</w:t>
      </w:r>
    </w:p>
    <w:p>
      <w:pPr>
        <w:pStyle w:val="BodyText"/>
      </w:pPr>
      <w:r>
        <w:t xml:space="preserve">Los requisitos cambian según complejidad de prueba, laboratorio, empleador, acreditador, estado/provincia/país y fecha. Verifique decisiones importantes con fuentes oficiales actuales, el regulador aplicable, organizaciones reconocidas de educación/certificación y el liderazgo autorizado del laboratorio.</w:t>
      </w:r>
    </w:p>
    <w:p>
      <w:pPr>
        <w:pStyle w:val="BodyText"/>
      </w:pPr>
      <w:r>
        <w:t xml:space="preserve">No se afirma certificación humana independiente, traducción certificada, revisión de acreditación, revisión profesional de licencia, revisión legal, revisión médica, acreditación de laboratorio, certificación de seguridad ni certificación de accesibilidad.</w:t>
      </w:r>
    </w:p>
    <w:bookmarkEnd w:id="137"/>
    <w:bookmarkStart w:id="138" w:name="autoría-y-asistencia-de-ia"/>
    <w:p>
      <w:pPr>
        <w:pStyle w:val="Heading2"/>
      </w:pPr>
      <w:r>
        <w:t xml:space="preserve">Autoría y asistencia de IA</w:t>
      </w:r>
    </w:p>
    <w:p>
      <w:pPr>
        <w:pStyle w:val="FirstParagraph"/>
      </w:pPr>
      <w:r>
        <w:t xml:space="preserve">Creada y dirigida por</w:t>
      </w:r>
      <w:r>
        <w:t xml:space="preserve"> </w:t>
      </w:r>
      <w:r>
        <w:rPr>
          <w:bCs/>
          <w:b/>
        </w:rPr>
        <w:t xml:space="preserve">Alberto “Al” Leiva</w:t>
      </w:r>
      <w:r>
        <w:t xml:space="preserve">. ChatGPT apoyó investigación, organización, edición, asistencia de traducción y preparación documental bajo dirección del autor. El autor conserva la responsabilidad por decisiones editoriales y de publicación.</w:t>
      </w:r>
    </w:p>
    <w:bookmarkEnd w:id="138"/>
    <w:bookmarkStart w:id="139" w:name="licencia"/>
    <w:p>
      <w:pPr>
        <w:pStyle w:val="Heading2"/>
      </w:pPr>
      <w:r>
        <w:t xml:space="preserve">Licencia</w:t>
      </w:r>
    </w:p>
    <w:p>
      <w:pPr>
        <w:pStyle w:val="FirstParagraph"/>
      </w:pPr>
      <w:r>
        <w:t xml:space="preserve">Salvo que un archivo indique lo contrario, este material está bajo licencia</w:t>
      </w:r>
      <w:r>
        <w:t xml:space="preserve"> </w:t>
      </w:r>
      <w:r>
        <w:rPr>
          <w:bCs/>
          <w:b/>
        </w:rPr>
        <w:t xml:space="preserve">CC BY-NC-SA 4.0</w:t>
      </w:r>
      <w:r>
        <w:t xml:space="preserve">.</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s://agenciapublicadeempleo.sena.edu.co/" TargetMode="External" /><Relationship Type="http://schemas.openxmlformats.org/officeDocument/2006/relationships/hyperlink" Id="rId82" Target="https://betowa.sena.edu.co/oferta/toma-de-muestras-para-procesamiento-en-el-laboratorio-clinico?location=57011001&amp;modality=P&amp;programId=84606" TargetMode="External" /><Relationship Type="http://schemas.openxmlformats.org/officeDocument/2006/relationships/hyperlink" Id="rId126" Target="https://csmls.org/certification/" TargetMode="External" /><Relationship Type="http://schemas.openxmlformats.org/officeDocument/2006/relationships/hyperlink" Id="rId125" Target="https://csmls.org/certification/medical-laboratory-professionals/how-to-become-a-medical-lab-professional/" TargetMode="External" /><Relationship Type="http://schemas.openxmlformats.org/officeDocument/2006/relationships/hyperlink" Id="rId116" Target="https://naacls.org/about/" TargetMode="External" /><Relationship Type="http://schemas.openxmlformats.org/officeDocument/2006/relationships/hyperlink" Id="rId115" Target="https://naacls.org/students/" TargetMode="External" /><Relationship Type="http://schemas.openxmlformats.org/officeDocument/2006/relationships/hyperlink" Id="rId78" Target="https://ocupacol.mintrabajo.gov.co/Profile/OccupationalProfile/32120" TargetMode="External" /><Relationship Type="http://schemas.openxmlformats.org/officeDocument/2006/relationships/hyperlink" Id="rId80" Target="https://ocupacol.mintrabajo.gov.co/Profile/OccupationalProfile/53294" TargetMode="External" /><Relationship Type="http://schemas.openxmlformats.org/officeDocument/2006/relationships/hyperlink" Id="rId71" Target="https://www.apprenticeship.gov/" TargetMode="External" /><Relationship Type="http://schemas.openxmlformats.org/officeDocument/2006/relationships/hyperlink" Id="rId117" Target="https://www.ascp.org/boc/explore-credentials/view-all-credentials/MLT" TargetMode="External" /><Relationship Type="http://schemas.openxmlformats.org/officeDocument/2006/relationships/hyperlink" Id="rId102" Target="https://www.bls.gov/news.release/ocwage.t01.htm" TargetMode="External" /><Relationship Type="http://schemas.openxmlformats.org/officeDocument/2006/relationships/hyperlink" Id="rId101" Target="https://www.bls.gov/ooh/healthcare/clinical-laboratory-technologists-and-technicians.htm" TargetMode="External" /><Relationship Type="http://schemas.openxmlformats.org/officeDocument/2006/relationships/hyperlink" Id="rId76"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104" Target="https://www.cdc.gov/clia/" TargetMode="External" /><Relationship Type="http://schemas.openxmlformats.org/officeDocument/2006/relationships/hyperlink" Id="rId105" Target="https://www.cdc.gov/clia/php/test-complexities/index.html" TargetMode="External" /><Relationship Type="http://schemas.openxmlformats.org/officeDocument/2006/relationships/hyperlink" Id="rId106" Target="https://www.cdc.gov/lab-quality/php/about/index.html" TargetMode="External" /><Relationship Type="http://schemas.openxmlformats.org/officeDocument/2006/relationships/hyperlink" Id="rId107" Target="https://www.cdc.gov/lab-quality/php/iqcp/index.html" TargetMode="External" /><Relationship Type="http://schemas.openxmlformats.org/officeDocument/2006/relationships/hyperlink" Id="rId108" Target="https://www.cdc.gov/lab-training/php/courses/introduction-clinical-laboratory-improvement-amendments-of-1988-clia.html" TargetMode="External" /><Relationship Type="http://schemas.openxmlformats.org/officeDocument/2006/relationships/hyperlink" Id="rId109" Target="https://www.ecfr.gov/current/title-42/chapter-IV/subchapter-G/part-493" TargetMode="External" /><Relationship Type="http://schemas.openxmlformats.org/officeDocument/2006/relationships/hyperlink" Id="rId110" Target="https://www.ecfr.gov/current/title-42/chapter-IV/subchapter-G/part-493/subpart-M" TargetMode="External" /><Relationship Type="http://schemas.openxmlformats.org/officeDocument/2006/relationships/hyperlink" Id="rId134" Target="https://www.glassdoor.com/Salaries/clinical-laboratory-technician-salary-SRCH_KO0,30.htm" TargetMode="External" /><Relationship Type="http://schemas.openxmlformats.org/officeDocument/2006/relationships/hyperlink" Id="rId122" Target="https://www.jobbank.gc.ca/marketreport/outlook-occupation/4187/ca" TargetMode="External" /><Relationship Type="http://schemas.openxmlformats.org/officeDocument/2006/relationships/hyperlink" Id="rId121" Target="https://www.jobbank.gc.ca/marketreport/requirements/4189/ca" TargetMode="External" /><Relationship Type="http://schemas.openxmlformats.org/officeDocument/2006/relationships/hyperlink" Id="rId119" Target="https://www.jobbank.gc.ca/marketreport/summary-occupation/4187/ca" TargetMode="External" /><Relationship Type="http://schemas.openxmlformats.org/officeDocument/2006/relationships/hyperlink" Id="rId123" Target="https://www.jobbank.gc.ca/marketreport/summary-occupation/4207/ca" TargetMode="External" /><Relationship Type="http://schemas.openxmlformats.org/officeDocument/2006/relationships/hyperlink" Id="rId120" Target="https://www.jobbank.gc.ca/marketreport/wages-occupation/4187/ca" TargetMode="External" /><Relationship Type="http://schemas.openxmlformats.org/officeDocument/2006/relationships/hyperlink" Id="rId124" Target="https://www.jobbank.gc.ca/marketreport/wages-occupation/4207/ca" TargetMode="External" /><Relationship Type="http://schemas.openxmlformats.org/officeDocument/2006/relationships/hyperlink" Id="rId130" Target="https://www.nist.gov/itl/ai-risk-management-framework" TargetMode="External" /><Relationship Type="http://schemas.openxmlformats.org/officeDocument/2006/relationships/hyperlink" Id="rId84" Target="https://www.oitcinterfor.org/statsfp/paises" TargetMode="External" /><Relationship Type="http://schemas.openxmlformats.org/officeDocument/2006/relationships/hyperlink" Id="rId100" Target="https://www.onetonline.org/link/details/29-2012.00" TargetMode="External" /><Relationship Type="http://schemas.openxmlformats.org/officeDocument/2006/relationships/hyperlink" Id="rId112" Target="https://www.osha.gov/laws-regs/regulations/standardnumber/1910/1910.1030" TargetMode="External" /><Relationship Type="http://schemas.openxmlformats.org/officeDocument/2006/relationships/hyperlink" Id="rId113" Target="https://www.osha.gov/laws-regs/regulations/standardnumber/1910/1910.1450" TargetMode="External" /><Relationship Type="http://schemas.openxmlformats.org/officeDocument/2006/relationships/hyperlink" Id="rId132" Target="https://www.ziprecruiter.com/Salaries/Clinical-Laboratory-Technician-Salary" TargetMode="External" /><Relationship Type="http://schemas.openxmlformats.org/officeDocument/2006/relationships/hyperlink" Id="rId133" Target="https://www.ziprecruiter.com/Salaries/Mlt-Lab-Technician-Salary" TargetMode="External" /></Relationships>
</file>

<file path=word/_rels/footnotes.xml.rels><?xml version="1.0" encoding="UTF-8"?><Relationships xmlns="http://schemas.openxmlformats.org/package/2006/relationships"><Relationship Type="http://schemas.openxmlformats.org/officeDocument/2006/relationships/hyperlink" Id="rId128" Target="https://agenciapublicadeempleo.sena.edu.co/" TargetMode="External" /><Relationship Type="http://schemas.openxmlformats.org/officeDocument/2006/relationships/hyperlink" Id="rId82" Target="https://betowa.sena.edu.co/oferta/toma-de-muestras-para-procesamiento-en-el-laboratorio-clinico?location=57011001&amp;modality=P&amp;programId=84606" TargetMode="External" /><Relationship Type="http://schemas.openxmlformats.org/officeDocument/2006/relationships/hyperlink" Id="rId126" Target="https://csmls.org/certification/" TargetMode="External" /><Relationship Type="http://schemas.openxmlformats.org/officeDocument/2006/relationships/hyperlink" Id="rId125" Target="https://csmls.org/certification/medical-laboratory-professionals/how-to-become-a-medical-lab-professional/" TargetMode="External" /><Relationship Type="http://schemas.openxmlformats.org/officeDocument/2006/relationships/hyperlink" Id="rId116" Target="https://naacls.org/about/" TargetMode="External" /><Relationship Type="http://schemas.openxmlformats.org/officeDocument/2006/relationships/hyperlink" Id="rId115" Target="https://naacls.org/students/" TargetMode="External" /><Relationship Type="http://schemas.openxmlformats.org/officeDocument/2006/relationships/hyperlink" Id="rId78" Target="https://ocupacol.mintrabajo.gov.co/Profile/OccupationalProfile/32120" TargetMode="External" /><Relationship Type="http://schemas.openxmlformats.org/officeDocument/2006/relationships/hyperlink" Id="rId80" Target="https://ocupacol.mintrabajo.gov.co/Profile/OccupationalProfile/53294" TargetMode="External" /><Relationship Type="http://schemas.openxmlformats.org/officeDocument/2006/relationships/hyperlink" Id="rId71" Target="https://www.apprenticeship.gov/" TargetMode="External" /><Relationship Type="http://schemas.openxmlformats.org/officeDocument/2006/relationships/hyperlink" Id="rId117" Target="https://www.ascp.org/boc/explore-credentials/view-all-credentials/MLT" TargetMode="External" /><Relationship Type="http://schemas.openxmlformats.org/officeDocument/2006/relationships/hyperlink" Id="rId102" Target="https://www.bls.gov/news.release/ocwage.t01.htm" TargetMode="External" /><Relationship Type="http://schemas.openxmlformats.org/officeDocument/2006/relationships/hyperlink" Id="rId101" Target="https://www.bls.gov/ooh/healthcare/clinical-laboratory-technologists-and-technicians.htm" TargetMode="External" /><Relationship Type="http://schemas.openxmlformats.org/officeDocument/2006/relationships/hyperlink" Id="rId76" Target="https://www.canada.ca/en/services/jobs/training.html"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104" Target="https://www.cdc.gov/clia/" TargetMode="External" /><Relationship Type="http://schemas.openxmlformats.org/officeDocument/2006/relationships/hyperlink" Id="rId105" Target="https://www.cdc.gov/clia/php/test-complexities/index.html" TargetMode="External" /><Relationship Type="http://schemas.openxmlformats.org/officeDocument/2006/relationships/hyperlink" Id="rId106" Target="https://www.cdc.gov/lab-quality/php/about/index.html" TargetMode="External" /><Relationship Type="http://schemas.openxmlformats.org/officeDocument/2006/relationships/hyperlink" Id="rId107" Target="https://www.cdc.gov/lab-quality/php/iqcp/index.html" TargetMode="External" /><Relationship Type="http://schemas.openxmlformats.org/officeDocument/2006/relationships/hyperlink" Id="rId108" Target="https://www.cdc.gov/lab-training/php/courses/introduction-clinical-laboratory-improvement-amendments-of-1988-clia.html" TargetMode="External" /><Relationship Type="http://schemas.openxmlformats.org/officeDocument/2006/relationships/hyperlink" Id="rId109" Target="https://www.ecfr.gov/current/title-42/chapter-IV/subchapter-G/part-493" TargetMode="External" /><Relationship Type="http://schemas.openxmlformats.org/officeDocument/2006/relationships/hyperlink" Id="rId110" Target="https://www.ecfr.gov/current/title-42/chapter-IV/subchapter-G/part-493/subpart-M" TargetMode="External" /><Relationship Type="http://schemas.openxmlformats.org/officeDocument/2006/relationships/hyperlink" Id="rId134" Target="https://www.glassdoor.com/Salaries/clinical-laboratory-technician-salary-SRCH_KO0,30.htm" TargetMode="External" /><Relationship Type="http://schemas.openxmlformats.org/officeDocument/2006/relationships/hyperlink" Id="rId122" Target="https://www.jobbank.gc.ca/marketreport/outlook-occupation/4187/ca" TargetMode="External" /><Relationship Type="http://schemas.openxmlformats.org/officeDocument/2006/relationships/hyperlink" Id="rId121" Target="https://www.jobbank.gc.ca/marketreport/requirements/4189/ca" TargetMode="External" /><Relationship Type="http://schemas.openxmlformats.org/officeDocument/2006/relationships/hyperlink" Id="rId119" Target="https://www.jobbank.gc.ca/marketreport/summary-occupation/4187/ca" TargetMode="External" /><Relationship Type="http://schemas.openxmlformats.org/officeDocument/2006/relationships/hyperlink" Id="rId123" Target="https://www.jobbank.gc.ca/marketreport/summary-occupation/4207/ca" TargetMode="External" /><Relationship Type="http://schemas.openxmlformats.org/officeDocument/2006/relationships/hyperlink" Id="rId120" Target="https://www.jobbank.gc.ca/marketreport/wages-occupation/4187/ca" TargetMode="External" /><Relationship Type="http://schemas.openxmlformats.org/officeDocument/2006/relationships/hyperlink" Id="rId124" Target="https://www.jobbank.gc.ca/marketreport/wages-occupation/4207/ca" TargetMode="External" /><Relationship Type="http://schemas.openxmlformats.org/officeDocument/2006/relationships/hyperlink" Id="rId130" Target="https://www.nist.gov/itl/ai-risk-management-framework" TargetMode="External" /><Relationship Type="http://schemas.openxmlformats.org/officeDocument/2006/relationships/hyperlink" Id="rId84" Target="https://www.oitcinterfor.org/statsfp/paises" TargetMode="External" /><Relationship Type="http://schemas.openxmlformats.org/officeDocument/2006/relationships/hyperlink" Id="rId100" Target="https://www.onetonline.org/link/details/29-2012.00" TargetMode="External" /><Relationship Type="http://schemas.openxmlformats.org/officeDocument/2006/relationships/hyperlink" Id="rId112" Target="https://www.osha.gov/laws-regs/regulations/standardnumber/1910/1910.1030" TargetMode="External" /><Relationship Type="http://schemas.openxmlformats.org/officeDocument/2006/relationships/hyperlink" Id="rId113" Target="https://www.osha.gov/laws-regs/regulations/standardnumber/1910/1910.1450" TargetMode="External" /><Relationship Type="http://schemas.openxmlformats.org/officeDocument/2006/relationships/hyperlink" Id="rId132" Target="https://www.ziprecruiter.com/Salaries/Clinical-Laboratory-Technician-Salary" TargetMode="External" /><Relationship Type="http://schemas.openxmlformats.org/officeDocument/2006/relationships/hyperlink" Id="rId133" Target="https://www.ziprecruiter.com/Salaries/Mlt-Lab-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2026-08-23T01:42:55Z</dcterms:created>
  <dcterms:modified xsi:type="dcterms:W3CDTF">2026-08-23T01:42:55Z</dcterms:modified>
</cp:coreProperties>
</file>

<file path=docProps/custom.xml><?xml version="1.0" encoding="utf-8"?>
<Properties xmlns="http://schemas.openxmlformats.org/officeDocument/2006/custom-properties" xmlns:vt="http://schemas.openxmlformats.org/officeDocument/2006/docPropsVTypes"/>
</file>