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f9c4f5964b51b5d630e2ad6976b01a8c4f03ad0"/>
    <w:p>
      <w:pPr>
        <w:pStyle w:val="Heading1"/>
      </w:pPr>
      <w:r>
        <w:t xml:space="preserve">Guía 41 — Carpintero y técnico en ebanistería</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14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La carpintería y la ebanistería son trayectorias relacionadas del trabajo con madera, pero no son idénticas. Los carpinteros de construcción suelen construir, instalar, reparar o renovar componentes estructurales y de acabado en viviendas, edificios comerciales, infraestructura y otros entornos de obra. Los ebanistas y carpinteros de banco trabajan con mayor frecuencia en talleres o entornos de manufactura fabricando gabinetes, componentes de muebles, molduras, mobiliario fijo y otros productos de madera de precisión, a veces seguidos de instalación en campo.</w:t>
      </w:r>
    </w:p>
    <w:p>
      <w:pPr>
        <w:pStyle w:val="BodyText"/>
      </w:pPr>
      <w:r>
        <w:t xml:space="preserve">Los empleadores pueden usar títulos como carpintero, aprendiz de carpintero, carpintero de acabados, carpintero de formaleta, ebanista, instalador de gabinetes, carpintero de banco, técnico de molduras, ensamblador, técnico en madera o carpintero de taller. Las funciones, reglas de certificación, salarios y expectativas de capacitación varían según el país, provincia/estado, empleador y especialidad.</w:t>
      </w:r>
    </w:p>
    <w:p>
      <w:pPr>
        <w:pStyle w:val="BodyText"/>
      </w:pPr>
      <w:r>
        <w:t xml:space="preserve">Esta guía es para exploración y preparación profesional. Verifique los requisitos locales vigentes, normas de seguridad, licencias o certificaciones y disponibilidad de capacitación antes de pagar por un programa o aceptar trabajo.</w:t>
      </w:r>
    </w:p>
    <w:bookmarkEnd w:id="20"/>
    <w:bookmarkStart w:id="21" w:name="qué-puede-hacer"/>
    <w:p>
      <w:pPr>
        <w:pStyle w:val="Heading2"/>
      </w:pPr>
      <w:r>
        <w:t xml:space="preserve">Qué puede hacer</w:t>
      </w:r>
    </w:p>
    <w:p>
      <w:pPr>
        <w:pStyle w:val="FirstParagraph"/>
      </w:pPr>
      <w:r>
        <w:t xml:space="preserve">Según la trayectoria, las responsabilidades típicas pueden incluir:</w:t>
      </w:r>
    </w:p>
    <w:p>
      <w:pPr>
        <w:numPr>
          <w:ilvl w:val="0"/>
          <w:numId w:val="1001"/>
        </w:numPr>
        <w:pStyle w:val="Compact"/>
      </w:pPr>
      <w:r>
        <w:t xml:space="preserve">leer planos, dibujos, especificaciones, órdenes de trabajo y planos de taller;</w:t>
      </w:r>
    </w:p>
    <w:p>
      <w:pPr>
        <w:numPr>
          <w:ilvl w:val="0"/>
          <w:numId w:val="1001"/>
        </w:numPr>
        <w:pStyle w:val="Compact"/>
      </w:pPr>
      <w:r>
        <w:t xml:space="preserve">medir, marcar, cortar, dar forma, perforar, ensamblar, ajustar e instalar madera o materiales derivados;</w:t>
      </w:r>
    </w:p>
    <w:p>
      <w:pPr>
        <w:numPr>
          <w:ilvl w:val="0"/>
          <w:numId w:val="1001"/>
        </w:numPr>
        <w:pStyle w:val="Compact"/>
      </w:pPr>
      <w:r>
        <w:t xml:space="preserve">construir o instalar entramados, formaletas, puertas, ventanas, molduras, escaleras, divisiones, gabinetes, mesones, estanterías, carpintería arquitectónica o componentes de muebles;</w:t>
      </w:r>
    </w:p>
    <w:p>
      <w:pPr>
        <w:numPr>
          <w:ilvl w:val="0"/>
          <w:numId w:val="1001"/>
        </w:numPr>
        <w:pStyle w:val="Compact"/>
      </w:pPr>
      <w:r>
        <w:t xml:space="preserve">usar herramientas manuales, herramientas eléctricas portátiles, maquinaria fija para madera e instrumentos de medición;</w:t>
      </w:r>
    </w:p>
    <w:p>
      <w:pPr>
        <w:numPr>
          <w:ilvl w:val="0"/>
          <w:numId w:val="1001"/>
        </w:numPr>
        <w:pStyle w:val="Compact"/>
      </w:pPr>
      <w:r>
        <w:t xml:space="preserve">seleccionar materiales y herrajes según dimensiones, acabado, resistencia, humedad, apariencia y requisitos del proyecto;</w:t>
      </w:r>
    </w:p>
    <w:p>
      <w:pPr>
        <w:numPr>
          <w:ilvl w:val="0"/>
          <w:numId w:val="1001"/>
        </w:numPr>
        <w:pStyle w:val="Compact"/>
      </w:pPr>
      <w:r>
        <w:t xml:space="preserve">comprobar ajuste, nivel, plomo, escuadra, alineación y calidad del acabado;</w:t>
      </w:r>
    </w:p>
    <w:p>
      <w:pPr>
        <w:numPr>
          <w:ilvl w:val="0"/>
          <w:numId w:val="1001"/>
        </w:numPr>
        <w:pStyle w:val="Compact"/>
      </w:pPr>
      <w:r>
        <w:t xml:space="preserve">estimar o registrar materiales, herrajes, desperdicio y necesidades básicas de producción;</w:t>
      </w:r>
    </w:p>
    <w:p>
      <w:pPr>
        <w:numPr>
          <w:ilvl w:val="0"/>
          <w:numId w:val="1001"/>
        </w:numPr>
        <w:pStyle w:val="Compact"/>
      </w:pPr>
      <w:r>
        <w:t xml:space="preserve">coordinar con supervisores, otros oficios, clientes, diseñadores, instaladores, proveedores o equipos de producción;</w:t>
      </w:r>
    </w:p>
    <w:p>
      <w:pPr>
        <w:numPr>
          <w:ilvl w:val="0"/>
          <w:numId w:val="1001"/>
        </w:numPr>
        <w:pStyle w:val="Compact"/>
      </w:pPr>
      <w:r>
        <w:t xml:space="preserve">mantener herramientas, áreas de trabajo y registros según procedimientos del empleador; y</w:t>
      </w:r>
    </w:p>
    <w:p>
      <w:pPr>
        <w:numPr>
          <w:ilvl w:val="0"/>
          <w:numId w:val="1001"/>
        </w:numPr>
        <w:pStyle w:val="Compact"/>
      </w:pPr>
      <w:r>
        <w:t xml:space="preserve">detener y escalar el trabajo cuando planos, mediciones, materiales, equipos o condiciones del sitio generen un riesgo de seguridad o calidad.</w:t>
      </w:r>
    </w:p>
    <w:p>
      <w:pPr>
        <w:pStyle w:val="FirstParagraph"/>
      </w:pPr>
      <w:r>
        <w:t xml:space="preserve">La carpintería de construcción puede implicar más instalación en campo, trabajo estructural, exposición al aire libre, escaleras, andamios o cambios frecuentes de obra. La ebanistería puede implicar más fabricación en taller, trabajo repetitivo con máquinas, sistemas de extracción de polvo, ensambles de precisión, lijado, acabado, montaje y programación de producción.</w:t>
      </w:r>
    </w:p>
    <w:bookmarkEnd w:id="21"/>
    <w:bookmarkStart w:id="22" w:name="entorno-de-trabajo-y-exigencias-físicas"/>
    <w:p>
      <w:pPr>
        <w:pStyle w:val="Heading2"/>
      </w:pPr>
      <w:r>
        <w:t xml:space="preserve">Entorno de trabajo y exigencias físicas</w:t>
      </w:r>
    </w:p>
    <w:p>
      <w:pPr>
        <w:pStyle w:val="FirstParagraph"/>
      </w:pPr>
      <w:r>
        <w:t xml:space="preserve">El trabajo puede realizarse en obras de construcción, proyectos de renovación, talleres, fábricas de gabinetes, plantas de manufactura, instalaciones de clientes o lugares de instalación. Algunos puestos requieren estar de pie, agacharse, levantar, arrodillarse, trepar y transportar materiales con frecuencia, además de trabajar con ruido, polvo, calor, frío o espacios sin terminar.</w:t>
      </w:r>
    </w:p>
    <w:p>
      <w:pPr>
        <w:pStyle w:val="BodyText"/>
      </w:pPr>
      <w:r>
        <w:t xml:space="preserve">La carpintería y la ebanistería presentan riesgos importantes. Estos pueden incluir hojas de corte, sierras, fresadoras, clavadoras, prensas, equipos de lijado, polvo de madera en suspensión, ruido, caídas, lesiones por manipulación de cargas, riesgos eléctricos, químicos, adhesivos, recubrimientos, productos de acabado y tráfico de vehículos o equipos.</w:t>
      </w:r>
    </w:p>
    <w:p>
      <w:pPr>
        <w:pStyle w:val="BodyText"/>
      </w:pPr>
      <w:r>
        <w:t xml:space="preserve">Siga los requisitos del empleador y de la jurisdicción para resguardos de máquinas, equipo de protección personal, protección respiratoria, protección auditiva, protección contra caídas, bloqueo/etiquetado, manejo de productos químicos, ventilación, extracción de polvo, orden y aseo, y capacitación en equipos. Nunca retire un resguardo, anule un interbloqueo, omita protección contra caídas ni improvise un procedimiento peligroso para ahorrar tiempo.</w:t>
      </w:r>
    </w:p>
    <w:bookmarkEnd w:id="22"/>
    <w:bookmarkStart w:id="23" w:name="habilidades-importantes"/>
    <w:p>
      <w:pPr>
        <w:pStyle w:val="Heading2"/>
      </w:pPr>
      <w:r>
        <w:t xml:space="preserve">Habilidades importantes</w:t>
      </w:r>
    </w:p>
    <w:p>
      <w:pPr>
        <w:pStyle w:val="FirstParagraph"/>
      </w:pPr>
      <w:r>
        <w:t xml:space="preserve">Los empleadores suelen valorar:</w:t>
      </w:r>
    </w:p>
    <w:p>
      <w:pPr>
        <w:numPr>
          <w:ilvl w:val="0"/>
          <w:numId w:val="1002"/>
        </w:numPr>
        <w:pStyle w:val="Compact"/>
      </w:pPr>
      <w:r>
        <w:t xml:space="preserve">medición y aritmética precisas;</w:t>
      </w:r>
    </w:p>
    <w:p>
      <w:pPr>
        <w:numPr>
          <w:ilvl w:val="0"/>
          <w:numId w:val="1002"/>
        </w:numPr>
        <w:pStyle w:val="Compact"/>
      </w:pPr>
      <w:r>
        <w:t xml:space="preserve">capacidad para leer planos, dibujos y especificaciones;</w:t>
      </w:r>
    </w:p>
    <w:p>
      <w:pPr>
        <w:numPr>
          <w:ilvl w:val="0"/>
          <w:numId w:val="1002"/>
        </w:numPr>
        <w:pStyle w:val="Compact"/>
      </w:pPr>
      <w:r>
        <w:t xml:space="preserve">uso seguro de herramientas manuales y eléctricas;</w:t>
      </w:r>
    </w:p>
    <w:p>
      <w:pPr>
        <w:numPr>
          <w:ilvl w:val="0"/>
          <w:numId w:val="1002"/>
        </w:numPr>
        <w:pStyle w:val="Compact"/>
      </w:pPr>
      <w:r>
        <w:t xml:space="preserve">conocimiento de materiales, incluidos madera, tableros, herrajes, fijaciones, adhesivos y acabados;</w:t>
      </w:r>
    </w:p>
    <w:p>
      <w:pPr>
        <w:numPr>
          <w:ilvl w:val="0"/>
          <w:numId w:val="1002"/>
        </w:numPr>
        <w:pStyle w:val="Compact"/>
      </w:pPr>
      <w:r>
        <w:t xml:space="preserve">corte, ajuste, ensamblaje e instalación cuidadosos;</w:t>
      </w:r>
    </w:p>
    <w:p>
      <w:pPr>
        <w:numPr>
          <w:ilvl w:val="0"/>
          <w:numId w:val="1002"/>
        </w:numPr>
        <w:pStyle w:val="Compact"/>
      </w:pPr>
      <w:r>
        <w:t xml:space="preserve">atención al detalle y a la calidad del acabado;</w:t>
      </w:r>
    </w:p>
    <w:p>
      <w:pPr>
        <w:numPr>
          <w:ilvl w:val="0"/>
          <w:numId w:val="1002"/>
        </w:numPr>
        <w:pStyle w:val="Compact"/>
      </w:pPr>
      <w:r>
        <w:t xml:space="preserve">razonamiento espacial y visualización;</w:t>
      </w:r>
    </w:p>
    <w:p>
      <w:pPr>
        <w:numPr>
          <w:ilvl w:val="0"/>
          <w:numId w:val="1002"/>
        </w:numPr>
        <w:pStyle w:val="Compact"/>
      </w:pPr>
      <w:r>
        <w:t xml:space="preserve">estimación básica y planificación de materiales;</w:t>
      </w:r>
    </w:p>
    <w:p>
      <w:pPr>
        <w:numPr>
          <w:ilvl w:val="0"/>
          <w:numId w:val="1002"/>
        </w:numPr>
        <w:pStyle w:val="Compact"/>
      </w:pPr>
      <w:r>
        <w:t xml:space="preserve">resolución de problemas cuando las condiciones del sitio o los materiales difieren del plan;</w:t>
      </w:r>
    </w:p>
    <w:p>
      <w:pPr>
        <w:numPr>
          <w:ilvl w:val="0"/>
          <w:numId w:val="1002"/>
        </w:numPr>
        <w:pStyle w:val="Compact"/>
      </w:pPr>
      <w:r>
        <w:t xml:space="preserve">comunicación clara con supervisores, clientes, otros oficios y compañeros;</w:t>
      </w:r>
    </w:p>
    <w:p>
      <w:pPr>
        <w:numPr>
          <w:ilvl w:val="0"/>
          <w:numId w:val="1002"/>
        </w:numPr>
        <w:pStyle w:val="Compact"/>
      </w:pPr>
      <w:r>
        <w:t xml:space="preserve">confiabilidad, puntualidad y hábitos de trabajo seguros; y</w:t>
      </w:r>
    </w:p>
    <w:p>
      <w:pPr>
        <w:numPr>
          <w:ilvl w:val="0"/>
          <w:numId w:val="1002"/>
        </w:numPr>
        <w:pStyle w:val="Compact"/>
      </w:pPr>
      <w:r>
        <w:t xml:space="preserve">disposición para aprender herramientas, maquinaria, normas y software específicos del empleador.</w:t>
      </w:r>
    </w:p>
    <w:p>
      <w:pPr>
        <w:pStyle w:val="FirstParagraph"/>
      </w:pPr>
      <w:r>
        <w:t xml:space="preserve">Las habilidades digitales básicas son cada vez más útiles para leer planos electrónicos, recibir órdenes de trabajo, documentar avances, registrar materiales o usar sistemas de estimación y producción. No existe un producto de software obligatorio en todos los puestos.</w:t>
      </w:r>
    </w:p>
    <w:bookmarkEnd w:id="23"/>
    <w:bookmarkStart w:id="28" w:name="educación-y-vías-de-entrada"/>
    <w:p>
      <w:pPr>
        <w:pStyle w:val="Heading2"/>
      </w:pPr>
      <w:r>
        <w:t xml:space="preserve">Educación y vías de entrada</w:t>
      </w:r>
    </w:p>
    <w:bookmarkStart w:id="24" w:name="estados-unidos"/>
    <w:p>
      <w:pPr>
        <w:pStyle w:val="Heading3"/>
      </w:pPr>
      <w:r>
        <w:t xml:space="preserve">Estados Unidos</w:t>
      </w:r>
    </w:p>
    <w:p>
      <w:pPr>
        <w:pStyle w:val="FirstParagraph"/>
      </w:pPr>
      <w:r>
        <w:t xml:space="preserve">O*NET clasifica a los carpinteros bajo la ocupación</w:t>
      </w:r>
      <w:r>
        <w:t xml:space="preserve"> </w:t>
      </w:r>
      <w:r>
        <w:rPr>
          <w:bCs/>
          <w:b/>
        </w:rPr>
        <w:t xml:space="preserve">47-2031.00</w:t>
      </w:r>
      <w:r>
        <w:t xml:space="preserve">. Los requisitos de entrada varían, pero el aprendizaje remunerado y la capacitación proporcionada por empleadores son vías importantes. Los programas Registered Apprenticeship combinan aprendizaje pagado en el trabajo con instrucción relacionada y desarrollo progresivo de habilidades.</w:t>
      </w:r>
    </w:p>
    <w:p>
      <w:pPr>
        <w:pStyle w:val="BodyText"/>
      </w:pPr>
      <w:r>
        <w:t xml:space="preserve">Una vía práctica puede ser:</w:t>
      </w:r>
    </w:p>
    <w:p>
      <w:pPr>
        <w:numPr>
          <w:ilvl w:val="0"/>
          <w:numId w:val="1003"/>
        </w:numPr>
        <w:pStyle w:val="Compact"/>
      </w:pPr>
      <w:r>
        <w:t xml:space="preserve">Desarrollar fundamentos de medición, aritmética, seguridad de herramientas, materiales y lectura de planos.</w:t>
      </w:r>
    </w:p>
    <w:p>
      <w:pPr>
        <w:numPr>
          <w:ilvl w:val="0"/>
          <w:numId w:val="1003"/>
        </w:numPr>
        <w:pStyle w:val="Compact"/>
      </w:pPr>
      <w:r>
        <w:t xml:space="preserve">Revisar vacantes locales para identificar puestos de ayudante, aprendiz, asistente de taller de gabinetes, instalador o trabajador de producción de nivel inicial.</w:t>
      </w:r>
    </w:p>
    <w:p>
      <w:pPr>
        <w:numPr>
          <w:ilvl w:val="0"/>
          <w:numId w:val="1003"/>
        </w:numPr>
        <w:pStyle w:val="Compact"/>
      </w:pPr>
      <w:r>
        <w:t xml:space="preserve">Buscar oportunidades de aprendizaje remunerado vigentes en Apprenticeship.gov.</w:t>
      </w:r>
    </w:p>
    <w:p>
      <w:pPr>
        <w:numPr>
          <w:ilvl w:val="0"/>
          <w:numId w:val="1003"/>
        </w:numPr>
        <w:pStyle w:val="Compact"/>
      </w:pPr>
      <w:r>
        <w:t xml:space="preserve">Usar capacitación del empleador, sindical o del sector cuando corresponda, educación técnica/comunitaria o programas financiados por la fuerza laboral.</w:t>
      </w:r>
    </w:p>
    <w:p>
      <w:pPr>
        <w:numPr>
          <w:ilvl w:val="0"/>
          <w:numId w:val="1003"/>
        </w:numPr>
        <w:pStyle w:val="Compact"/>
      </w:pPr>
      <w:r>
        <w:t xml:space="preserve">Avanzar hacia carpintería de nivel oficial, acabados, ebanistería, instalación, supervisión, estimación o producción a medida que crece la experiencia.</w:t>
      </w:r>
    </w:p>
    <w:p>
      <w:pPr>
        <w:pStyle w:val="FirstParagraph"/>
      </w:pPr>
      <w:r>
        <w:t xml:space="preserve">La disponibilidad de Registered Apprenticeship varía por empleador y ubicación. Que la carpintería sea un oficio apto para aprendizaje no significa que exista una vacante en todas las zonas.</w:t>
      </w:r>
    </w:p>
    <w:bookmarkEnd w:id="24"/>
    <w:bookmarkStart w:id="25" w:name="canadá"/>
    <w:p>
      <w:pPr>
        <w:pStyle w:val="Heading3"/>
      </w:pPr>
      <w:r>
        <w:t xml:space="preserve">Canadá</w:t>
      </w:r>
    </w:p>
    <w:p>
      <w:pPr>
        <w:pStyle w:val="FirstParagraph"/>
      </w:pPr>
      <w:r>
        <w:t xml:space="preserve">Job Bank del Gobierno de Canadá clasifica a los carpinteros bajo</w:t>
      </w:r>
      <w:r>
        <w:t xml:space="preserve"> </w:t>
      </w:r>
      <w:r>
        <w:rPr>
          <w:bCs/>
          <w:b/>
        </w:rPr>
        <w:t xml:space="preserve">NOC 72310</w:t>
      </w:r>
      <w:r>
        <w:t xml:space="preserve">. Los requisitos nacionales vigentes indican que normalmente se requiere completar la educación secundaria. La elegibilidad para certificación del oficio suele requerir un</w:t>
      </w:r>
      <w:r>
        <w:t xml:space="preserve"> </w:t>
      </w:r>
      <w:r>
        <w:rPr>
          <w:bCs/>
          <w:b/>
        </w:rPr>
        <w:t xml:space="preserve">aprendizaje de tres a cuatro años</w:t>
      </w:r>
      <w:r>
        <w:t xml:space="preserve"> </w:t>
      </w:r>
      <w:r>
        <w:t xml:space="preserve">o una combinación de</w:t>
      </w:r>
      <w:r>
        <w:t xml:space="preserve"> </w:t>
      </w:r>
      <w:r>
        <w:rPr>
          <w:bCs/>
          <w:b/>
        </w:rPr>
        <w:t xml:space="preserve">más de cuatro años de experiencia laboral</w:t>
      </w:r>
      <w:r>
        <w:t xml:space="preserve"> </w:t>
      </w:r>
      <w:r>
        <w:t xml:space="preserve">más cursos relevantes de secundaria, universidad o industria.</w:t>
      </w:r>
    </w:p>
    <w:p>
      <w:pPr>
        <w:pStyle w:val="BodyText"/>
      </w:pPr>
      <w:r>
        <w:t xml:space="preserve">La certificación del oficio de carpintero es obligatoria en Quebec y está disponible de forma voluntaria en otras provincias y territorios. Los carpinteros calificados pueden optar por el sello</w:t>
      </w:r>
      <w:r>
        <w:t xml:space="preserve"> </w:t>
      </w:r>
      <w:r>
        <w:rPr>
          <w:bCs/>
          <w:b/>
        </w:rPr>
        <w:t xml:space="preserve">Red Seal</w:t>
      </w:r>
      <w:r>
        <w:t xml:space="preserve"> </w:t>
      </w:r>
      <w:r>
        <w:t xml:space="preserve">mediante el proceso de examen interprovincial. Los requisitos difieren por jurisdicción, por lo que debe verificarse la normativa provincial o territorial vigente donde se pretenda trabajar.</w:t>
      </w:r>
    </w:p>
    <w:p>
      <w:pPr>
        <w:pStyle w:val="BodyText"/>
      </w:pPr>
      <w:r>
        <w:t xml:space="preserve">La ebanistería puede seguir una trayectoria de oficio separada de la carpintería de construcción en algunas jurisdicciones. No asuma que una credencial de un oficio cubre automáticamente todas las ocupaciones de trabajo en madera.</w:t>
      </w:r>
    </w:p>
    <w:bookmarkEnd w:id="25"/>
    <w:bookmarkStart w:id="26" w:name="colombia"/>
    <w:p>
      <w:pPr>
        <w:pStyle w:val="Heading3"/>
      </w:pPr>
      <w:r>
        <w:t xml:space="preserve">Colombia</w:t>
      </w:r>
    </w:p>
    <w:p>
      <w:pPr>
        <w:pStyle w:val="FirstParagraph"/>
      </w:pPr>
      <w:r>
        <w:t xml:space="preserve">SENA actualmente lista</w:t>
      </w:r>
      <w:r>
        <w:t xml:space="preserve"> </w:t>
      </w:r>
      <w:r>
        <w:rPr>
          <w:bCs/>
          <w:b/>
        </w:rPr>
        <w:t xml:space="preserve">Básico de carpintería y ebanistería</w:t>
      </w:r>
      <w:r>
        <w:t xml:space="preserve">, un programa complementario presencial de 60 horas que cubre habilidades básicas de carpintería y ebanistería, incluido trabajo de ensamblaje e instalación. La disponibilidad, ubicación, horarios, reglas de admisión y condiciones de matrícula pueden cambiar, por lo que debe verificarse la oferta vigente en Betowa antes de inscribirse.</w:t>
      </w:r>
    </w:p>
    <w:p>
      <w:pPr>
        <w:pStyle w:val="BodyText"/>
      </w:pPr>
      <w:r>
        <w:t xml:space="preserve">Las personas en Colombia también deberían buscar en SENA/Betowa ofertas actuales relacionadas con trabajo en madera, mobiliario, ebanistería, acabados, construcción, seguridad y salud en el trabajo, medición y producción. Los sistemas de cualificaciones e información ocupacional del Ministerio del Trabajo pueden ayudar a identificar ocupaciones y rutas formativas relacionadas.</w:t>
      </w:r>
    </w:p>
    <w:bookmarkEnd w:id="26"/>
    <w:bookmarkStart w:id="27" w:name="américa-latina-y-el-caribe"/>
    <w:p>
      <w:pPr>
        <w:pStyle w:val="Heading3"/>
      </w:pPr>
      <w:r>
        <w:t xml:space="preserve">América Latina y el Caribe</w:t>
      </w:r>
    </w:p>
    <w:p>
      <w:pPr>
        <w:pStyle w:val="FirstParagraph"/>
      </w:pPr>
      <w:r>
        <w:t xml:space="preserve">Los sistemas de formación, licenciamiento, certificación y aprendizaje varían por país. OIT/Cinterfor puede ayudar a identificar instituciones nacionales de formación profesional y sistemas de competencias de la región. Algunos ejemplos son SENA en Colombia, SENCE en Chile, INTECAP en Guatemala, INFOTEP en República Dominicana e INEFOP en Uruguay.</w:t>
      </w:r>
    </w:p>
    <w:p>
      <w:pPr>
        <w:pStyle w:val="BodyText"/>
      </w:pPr>
      <w:r>
        <w:t xml:space="preserve">Verifique siempre el proveedor nacional vigente, requisitos de elegibilidad, costos, reconocimiento y si una credencial es obligatoria para el trabajo que desea realizar.</w:t>
      </w:r>
    </w:p>
    <w:bookmarkEnd w:id="27"/>
    <w:bookmarkEnd w:id="28"/>
    <w:bookmarkStart w:id="29" w:name="X4cbf7401e2fba94a7e811e8439957ccbf5d1aef"/>
    <w:p>
      <w:pPr>
        <w:pStyle w:val="Heading2"/>
      </w:pPr>
      <w:r>
        <w:t xml:space="preserve">Estrategia de aprendizaje gratuito o de bajo costo</w:t>
      </w:r>
    </w:p>
    <w:p>
      <w:pPr>
        <w:pStyle w:val="FirstParagraph"/>
      </w:pPr>
      <w:r>
        <w:t xml:space="preserve">No suponga que necesita un certificado privado costoso antes de postular. Una secuencia más segura es:</w:t>
      </w:r>
    </w:p>
    <w:p>
      <w:pPr>
        <w:numPr>
          <w:ilvl w:val="0"/>
          <w:numId w:val="1004"/>
        </w:numPr>
        <w:pStyle w:val="Compact"/>
      </w:pPr>
      <w:r>
        <w:t xml:space="preserve">Revisar vacantes reales de su zona y anotar los requisitos recurrentes.</w:t>
      </w:r>
    </w:p>
    <w:p>
      <w:pPr>
        <w:numPr>
          <w:ilvl w:val="0"/>
          <w:numId w:val="1004"/>
        </w:numPr>
        <w:pStyle w:val="Compact"/>
      </w:pPr>
      <w:r>
        <w:t xml:space="preserve">Usar primero formación pública, de aprendizaje, proporcionada por empleadores o de bajo costo.</w:t>
      </w:r>
    </w:p>
    <w:p>
      <w:pPr>
        <w:numPr>
          <w:ilvl w:val="0"/>
          <w:numId w:val="1004"/>
        </w:numPr>
        <w:pStyle w:val="Compact"/>
      </w:pPr>
      <w:r>
        <w:t xml:space="preserve">Desarrollar medición, lectura de planos, materiales, seguridad de herramientas y estimación básica.</w:t>
      </w:r>
    </w:p>
    <w:p>
      <w:pPr>
        <w:numPr>
          <w:ilvl w:val="0"/>
          <w:numId w:val="1004"/>
        </w:numPr>
        <w:pStyle w:val="Compact"/>
      </w:pPr>
      <w:r>
        <w:t xml:space="preserve">Practicar con materiales de formación seguros y ejercicios supervisados de taller u obra.</w:t>
      </w:r>
    </w:p>
    <w:p>
      <w:pPr>
        <w:numPr>
          <w:ilvl w:val="0"/>
          <w:numId w:val="1004"/>
        </w:numPr>
        <w:pStyle w:val="Compact"/>
      </w:pPr>
      <w:r>
        <w:t xml:space="preserve">Preguntar a empleadores por inducción pagada, aprendizajes, cargos de formación, subsidios para herramientas, capacitación cruzada, ayuda para matrícula, reembolso de certificaciones y ascensos internos.</w:t>
      </w:r>
    </w:p>
    <w:p>
      <w:pPr>
        <w:numPr>
          <w:ilvl w:val="0"/>
          <w:numId w:val="1004"/>
        </w:numPr>
        <w:pStyle w:val="Compact"/>
      </w:pPr>
      <w:r>
        <w:t xml:space="preserve">Considerar formación privada pagada solo después de verificar costo total, reglas de reembolso, reconocimiento por empleadores y si la credencial aparece en vacantes reales.</w:t>
      </w:r>
    </w:p>
    <w:p>
      <w:pPr>
        <w:pStyle w:val="FirstParagraph"/>
      </w:pPr>
      <w:r>
        <w:t xml:space="preserve">Nunca sustituya la capacitación obligatoria de máquinas o seguridad con práctica no supervisada en equipos peligrosos.</w:t>
      </w:r>
    </w:p>
    <w:bookmarkEnd w:id="29"/>
    <w:bookmarkStart w:id="32" w:name="X38380834c0a8d8963a8d98c6d42cc3a5b1c9064"/>
    <w:p>
      <w:pPr>
        <w:pStyle w:val="Heading2"/>
      </w:pPr>
      <w:r>
        <w:t xml:space="preserve">Aprendizajes y formación basada en el trabajo</w:t>
      </w:r>
    </w:p>
    <w:bookmarkStart w:id="30" w:name="estados-unidos-1"/>
    <w:p>
      <w:pPr>
        <w:pStyle w:val="Heading3"/>
      </w:pPr>
      <w:r>
        <w:t xml:space="preserve">Estados Unidos</w:t>
      </w:r>
    </w:p>
    <w:p>
      <w:pPr>
        <w:pStyle w:val="FirstParagraph"/>
      </w:pPr>
      <w:r>
        <w:t xml:space="preserve">Use</w:t>
      </w:r>
      <w:r>
        <w:t xml:space="preserve"> </w:t>
      </w:r>
      <w:r>
        <w:rPr>
          <w:bCs/>
          <w:b/>
        </w:rPr>
        <w:t xml:space="preserve">Apprenticeship.gov</w:t>
      </w:r>
      <w:r>
        <w:t xml:space="preserve"> </w:t>
      </w:r>
      <w:r>
        <w:t xml:space="preserve">para buscar oportunidades actuales de Registered Apprenticeship. Estos programas son impulsados por empleadores y remunerados, y combinan aprendizaje estructurado en el trabajo, mentoría, instrucción relacionada y aumentos progresivos de salario.</w:t>
      </w:r>
    </w:p>
    <w:p>
      <w:pPr>
        <w:pStyle w:val="BodyText"/>
      </w:pPr>
      <w:r>
        <w:t xml:space="preserve">Según el mercado local, otros puntos de entrada pueden incluir ayudante de carpintero, trabajador de construcción, asistente de taller de gabinetes, ayudante de instalador, trabajador de producción de madera o cargos de formación.</w:t>
      </w:r>
    </w:p>
    <w:bookmarkEnd w:id="30"/>
    <w:bookmarkStart w:id="31" w:name="canadá-1"/>
    <w:p>
      <w:pPr>
        <w:pStyle w:val="Heading3"/>
      </w:pPr>
      <w:r>
        <w:t xml:space="preserve">Canadá</w:t>
      </w:r>
    </w:p>
    <w:p>
      <w:pPr>
        <w:pStyle w:val="FirstParagraph"/>
      </w:pPr>
      <w:r>
        <w:t xml:space="preserve">Los programas de aprendizaje son administrados por provincias y territorios. Los apoyos federales vigentes pueden incluir Employment Insurance durante periodos elegibles de formación técnica, medidas tributarias y el</w:t>
      </w:r>
      <w:r>
        <w:t xml:space="preserve"> </w:t>
      </w:r>
      <w:r>
        <w:rPr>
          <w:bCs/>
          <w:b/>
        </w:rPr>
        <w:t xml:space="preserve">Canada Apprentice Loan</w:t>
      </w:r>
      <w:r>
        <w:t xml:space="preserve">, que puede proporcionar hasta</w:t>
      </w:r>
      <w:r>
        <w:t xml:space="preserve"> </w:t>
      </w:r>
      <w:r>
        <w:rPr>
          <w:bCs/>
          <w:b/>
        </w:rPr>
        <w:t xml:space="preserve">CAD $4,000 por periodo de formación técnica</w:t>
      </w:r>
      <w:r>
        <w:t xml:space="preserve">, sujeto a elegibilidad.</w:t>
      </w:r>
    </w:p>
    <w:p>
      <w:pPr>
        <w:pStyle w:val="BodyText"/>
      </w:pPr>
      <w:r>
        <w:t xml:space="preserve">Los antiguos programas federales Apprenticeship Incentive Grant y Apprenticeship Completion Grant están cerrados a nuevas solicitudes. No dependa de sitios antiguos que aún los presenten como disponibles.</w:t>
      </w:r>
    </w:p>
    <w:p>
      <w:pPr>
        <w:pStyle w:val="BodyText"/>
      </w:pPr>
      <w:r>
        <w:t xml:space="preserve">El programa federal Apprenticeship Service ha apoyado a empleadores que contratan aprendices de primer año, incluidos oficios como Carpenter y Cabinetmaker, pero su página pública actualmente indica que</w:t>
      </w:r>
      <w:r>
        <w:t xml:space="preserve"> </w:t>
      </w:r>
      <w:r>
        <w:rPr>
          <w:bCs/>
          <w:b/>
        </w:rPr>
        <w:t xml:space="preserve">no acepta solicitudes mientras avanza su renovación</w:t>
      </w:r>
      <w:r>
        <w:t xml:space="preserve">. Trátelo como un programa de apoyo sujeto a estado, no como un subsidio activo garantizado.</w:t>
      </w:r>
    </w:p>
    <w:bookmarkEnd w:id="31"/>
    <w:bookmarkEnd w:id="32"/>
    <w:bookmarkStart w:id="37" w:name="X9043c5d029165ccddd4f7bfea7be864f08ab56d"/>
    <w:p>
      <w:pPr>
        <w:pStyle w:val="Heading2"/>
      </w:pPr>
      <w:r>
        <w:t xml:space="preserve">Financiamiento, ayudas y apoyo del empleador</w:t>
      </w:r>
    </w:p>
    <w:bookmarkStart w:id="33" w:name="estados-unidos-2"/>
    <w:p>
      <w:pPr>
        <w:pStyle w:val="Heading3"/>
      </w:pPr>
      <w:r>
        <w:t xml:space="preserve">Estados Unidos</w:t>
      </w:r>
    </w:p>
    <w:p>
      <w:pPr>
        <w:pStyle w:val="FirstParagraph"/>
      </w:pPr>
      <w:r>
        <w:t xml:space="preserve">Los American Job Centers pueden ayudar a personas elegibles a explorar servicios de formación bajo Workforce Innovation and Opportunity Act (WIOA). CareerOneStop y las agencias locales de empleo pueden ayudar a identificar opciones de formación aprobadas.</w:t>
      </w:r>
    </w:p>
    <w:p>
      <w:pPr>
        <w:pStyle w:val="BodyText"/>
      </w:pPr>
      <w:r>
        <w:t xml:space="preserve">La elegibilidad y el financiamiento dependen de la persona, área local, proveedor y programa. El apoyo WIOA no está garantizado.</w:t>
      </w:r>
    </w:p>
    <w:bookmarkEnd w:id="33"/>
    <w:bookmarkStart w:id="34" w:name="canadá-2"/>
    <w:p>
      <w:pPr>
        <w:pStyle w:val="Heading3"/>
      </w:pPr>
      <w:r>
        <w:t xml:space="preserve">Canadá</w:t>
      </w:r>
    </w:p>
    <w:p>
      <w:pPr>
        <w:pStyle w:val="FirstParagraph"/>
      </w:pPr>
      <w:r>
        <w:t xml:space="preserve">Además de los apoyos específicos para aprendices, las personas pueden calificar para ayudas provinciales/territoriales de formación u otra asistencia educativa pública según el programa y las circunstancias personales. Verifique la elegibilidad vigente antes de asumir compromisos financieros.</w:t>
      </w:r>
    </w:p>
    <w:bookmarkEnd w:id="34"/>
    <w:bookmarkStart w:id="35" w:name="colombia-y-américa-latina"/>
    <w:p>
      <w:pPr>
        <w:pStyle w:val="Heading3"/>
      </w:pPr>
      <w:r>
        <w:t xml:space="preserve">Colombia y América Latina</w:t>
      </w:r>
    </w:p>
    <w:p>
      <w:pPr>
        <w:pStyle w:val="FirstParagraph"/>
      </w:pPr>
      <w:r>
        <w:t xml:space="preserve">Revise sistemas públicos de formación antes de pagar a un proveedor privado. En Colombia, comience con SENA y sistemas públicos relacionados de cualificaciones. En otros países de América Latina, use OIT/Cinterfor para identificar la institución nacional adecuada y luego verifique las reglas vigentes localmente.</w:t>
      </w:r>
    </w:p>
    <w:bookmarkEnd w:id="35"/>
    <w:bookmarkStart w:id="36" w:name="apoyo-del-empleador"/>
    <w:p>
      <w:pPr>
        <w:pStyle w:val="Heading3"/>
      </w:pPr>
      <w:r>
        <w:t xml:space="preserve">Apoyo del empleador</w:t>
      </w:r>
    </w:p>
    <w:p>
      <w:pPr>
        <w:pStyle w:val="FirstParagraph"/>
      </w:pPr>
      <w:r>
        <w:t xml:space="preserve">Pregunte por:</w:t>
      </w:r>
    </w:p>
    <w:p>
      <w:pPr>
        <w:numPr>
          <w:ilvl w:val="0"/>
          <w:numId w:val="1005"/>
        </w:numPr>
        <w:pStyle w:val="Compact"/>
      </w:pPr>
      <w:r>
        <w:t xml:space="preserve">inducción pagada y formación supervisada en herramientas;</w:t>
      </w:r>
    </w:p>
    <w:p>
      <w:pPr>
        <w:numPr>
          <w:ilvl w:val="0"/>
          <w:numId w:val="1005"/>
        </w:numPr>
        <w:pStyle w:val="Compact"/>
      </w:pPr>
      <w:r>
        <w:t xml:space="preserve">programas de aprendizaje o formación;</w:t>
      </w:r>
    </w:p>
    <w:p>
      <w:pPr>
        <w:numPr>
          <w:ilvl w:val="0"/>
          <w:numId w:val="1005"/>
        </w:numPr>
        <w:pStyle w:val="Compact"/>
      </w:pPr>
      <w:r>
        <w:t xml:space="preserve">subsidios para herramientas o EPP;</w:t>
      </w:r>
    </w:p>
    <w:p>
      <w:pPr>
        <w:numPr>
          <w:ilvl w:val="0"/>
          <w:numId w:val="1005"/>
        </w:numPr>
        <w:pStyle w:val="Compact"/>
      </w:pPr>
      <w:r>
        <w:t xml:space="preserve">ayuda para matrícula;</w:t>
      </w:r>
    </w:p>
    <w:p>
      <w:pPr>
        <w:numPr>
          <w:ilvl w:val="0"/>
          <w:numId w:val="1005"/>
        </w:numPr>
        <w:pStyle w:val="Compact"/>
      </w:pPr>
      <w:r>
        <w:t xml:space="preserve">reembolso de certificaciones o exámenes;</w:t>
      </w:r>
    </w:p>
    <w:p>
      <w:pPr>
        <w:numPr>
          <w:ilvl w:val="0"/>
          <w:numId w:val="1005"/>
        </w:numPr>
        <w:pStyle w:val="Compact"/>
      </w:pPr>
      <w:r>
        <w:t xml:space="preserve">capacitación cruzada en instalación, acabados, CNC, estimación o producción; y</w:t>
      </w:r>
    </w:p>
    <w:p>
      <w:pPr>
        <w:numPr>
          <w:ilvl w:val="0"/>
          <w:numId w:val="1005"/>
        </w:numPr>
        <w:pStyle w:val="Compact"/>
      </w:pPr>
      <w:r>
        <w:t xml:space="preserve">oportunidades de promoción interna.</w:t>
      </w:r>
    </w:p>
    <w:p>
      <w:pPr>
        <w:pStyle w:val="FirstParagraph"/>
      </w:pPr>
      <w:r>
        <w:t xml:space="preserve">Obtenga por escrito cualquier condición de reembolso o permanencia antes de gastar dinero. Algunos programas exigen devolución si deja el empleo dentro de un periodo determinado.</w:t>
      </w:r>
    </w:p>
    <w:bookmarkEnd w:id="36"/>
    <w:bookmarkEnd w:id="37"/>
    <w:bookmarkStart w:id="41" w:name="ingresos-y-perspectiva-laboral"/>
    <w:p>
      <w:pPr>
        <w:pStyle w:val="Heading2"/>
      </w:pPr>
      <w:r>
        <w:t xml:space="preserve">Ingresos y perspectiva laboral</w:t>
      </w:r>
    </w:p>
    <w:bookmarkStart w:id="38" w:name="Xcb2090e36944bc5e1752094c8de65838d2813ee"/>
    <w:p>
      <w:pPr>
        <w:pStyle w:val="Heading3"/>
      </w:pPr>
      <w:r>
        <w:t xml:space="preserve">Estados Unidos — datos oficiales de carpinteros</w:t>
      </w:r>
    </w:p>
    <w:p>
      <w:pPr>
        <w:pStyle w:val="FirstParagraph"/>
      </w:pPr>
      <w:r>
        <w:t xml:space="preserve">O*NET reporta datos salariales 2025 de la Oficina de Estadísticas Laborales para carpinteros:</w:t>
      </w:r>
    </w:p>
    <w:p>
      <w:pPr>
        <w:numPr>
          <w:ilvl w:val="0"/>
          <w:numId w:val="1006"/>
        </w:numPr>
        <w:pStyle w:val="Compact"/>
      </w:pPr>
      <w:r>
        <w:rPr>
          <w:bCs/>
          <w:b/>
        </w:rPr>
        <w:t xml:space="preserve">Salario mediano por hora: USD $29.12</w:t>
      </w:r>
    </w:p>
    <w:p>
      <w:pPr>
        <w:numPr>
          <w:ilvl w:val="0"/>
          <w:numId w:val="1006"/>
        </w:numPr>
        <w:pStyle w:val="Compact"/>
      </w:pPr>
      <w:r>
        <w:rPr>
          <w:bCs/>
          <w:b/>
        </w:rPr>
        <w:t xml:space="preserve">Salario mediano anual: USD $60,580</w:t>
      </w:r>
    </w:p>
    <w:p>
      <w:pPr>
        <w:pStyle w:val="FirstParagraph"/>
      </w:pPr>
      <w:r>
        <w:t xml:space="preserve">O*NET también reporta aproximadamente</w:t>
      </w:r>
      <w:r>
        <w:t xml:space="preserve"> </w:t>
      </w:r>
      <w:r>
        <w:rPr>
          <w:bCs/>
          <w:b/>
        </w:rPr>
        <w:t xml:space="preserve">959,000 trabajadores en 2024</w:t>
      </w:r>
      <w:r>
        <w:t xml:space="preserve">, crecimiento proyectado de</w:t>
      </w:r>
      <w:r>
        <w:t xml:space="preserve"> </w:t>
      </w:r>
      <w:r>
        <w:rPr>
          <w:bCs/>
          <w:b/>
        </w:rPr>
        <w:t xml:space="preserve">5% a 6% entre 2024 y 2034</w:t>
      </w:r>
      <w:r>
        <w:t xml:space="preserve"> </w:t>
      </w:r>
      <w:r>
        <w:t xml:space="preserve">y cerca de</w:t>
      </w:r>
      <w:r>
        <w:t xml:space="preserve"> </w:t>
      </w:r>
      <w:r>
        <w:rPr>
          <w:bCs/>
          <w:b/>
        </w:rPr>
        <w:t xml:space="preserve">74,100 vacantes anuales</w:t>
      </w:r>
      <w:r>
        <w:t xml:space="preserve"> </w:t>
      </w:r>
      <w:r>
        <w:t xml:space="preserve">por crecimiento y reemplazo.</w:t>
      </w:r>
    </w:p>
    <w:p>
      <w:pPr>
        <w:pStyle w:val="BodyText"/>
      </w:pPr>
      <w:r>
        <w:t xml:space="preserve">Estas son estadísticas nacionales para carpinteros. No son salarios iniciales garantizados y pueden no representar ebanistería, carpintería de banco u otras especialidades de madera.</w:t>
      </w:r>
    </w:p>
    <w:bookmarkEnd w:id="38"/>
    <w:bookmarkStart w:id="39" w:name="X11d29113481d96505a27bb6e73183d0530969ab"/>
    <w:p>
      <w:pPr>
        <w:pStyle w:val="Heading3"/>
      </w:pPr>
      <w:r>
        <w:t xml:space="preserve">Estados Unidos — estimaciones actuales no gubernamentales de ebanistería</w:t>
      </w:r>
    </w:p>
    <w:p>
      <w:pPr>
        <w:pStyle w:val="FirstParagraph"/>
      </w:pPr>
      <w:r>
        <w:t xml:space="preserve">Sitios privados de salarios reportan cifras diferentes para títulos relacionados:</w:t>
      </w:r>
    </w:p>
    <w:p>
      <w:pPr>
        <w:numPr>
          <w:ilvl w:val="0"/>
          <w:numId w:val="1007"/>
        </w:numPr>
        <w:pStyle w:val="Compact"/>
      </w:pPr>
      <w:r>
        <w:t xml:space="preserve">Salary.com reportó un promedio aproximado de</w:t>
      </w:r>
      <w:r>
        <w:t xml:space="preserve"> </w:t>
      </w:r>
      <w:r>
        <w:rPr>
          <w:bCs/>
          <w:b/>
        </w:rPr>
        <w:t xml:space="preserve">USD $41,709 al año / $20 por hora</w:t>
      </w:r>
      <w:r>
        <w:t xml:space="preserve"> </w:t>
      </w:r>
      <w:r>
        <w:t xml:space="preserve">para Cabinetmaker and Bench Carpenter al 1 de julio de 2026, con rango percentil 25–75 declarado de aproximadamente</w:t>
      </w:r>
      <w:r>
        <w:t xml:space="preserve"> </w:t>
      </w:r>
      <w:r>
        <w:rPr>
          <w:bCs/>
          <w:b/>
        </w:rPr>
        <w:t xml:space="preserve">USD $34,226–$51,809</w:t>
      </w:r>
      <w:r>
        <w:t xml:space="preserve">.</w:t>
      </w:r>
    </w:p>
    <w:p>
      <w:pPr>
        <w:numPr>
          <w:ilvl w:val="0"/>
          <w:numId w:val="1007"/>
        </w:numPr>
        <w:pStyle w:val="Compact"/>
      </w:pPr>
      <w:r>
        <w:t xml:space="preserve">Salary.com reportó por separado un promedio aproximado de</w:t>
      </w:r>
      <w:r>
        <w:t xml:space="preserve"> </w:t>
      </w:r>
      <w:r>
        <w:rPr>
          <w:bCs/>
          <w:b/>
        </w:rPr>
        <w:t xml:space="preserve">USD $60,290 al año / $29 por hora</w:t>
      </w:r>
      <w:r>
        <w:t xml:space="preserve"> </w:t>
      </w:r>
      <w:r>
        <w:t xml:space="preserve">para Cabinet Maker al 1 de julio de 2026, con rango percentil 25–75 declarado de aproximadamente</w:t>
      </w:r>
      <w:r>
        <w:t xml:space="preserve"> </w:t>
      </w:r>
      <w:r>
        <w:rPr>
          <w:bCs/>
          <w:b/>
        </w:rPr>
        <w:t xml:space="preserve">USD $54,219–$66,817</w:t>
      </w:r>
      <w:r>
        <w:t xml:space="preserve">.</w:t>
      </w:r>
    </w:p>
    <w:p>
      <w:pPr>
        <w:pStyle w:val="FirstParagraph"/>
      </w:pPr>
      <w:r>
        <w:t xml:space="preserve">Estas son</w:t>
      </w:r>
      <w:r>
        <w:t xml:space="preserve"> </w:t>
      </w:r>
      <w:r>
        <w:rPr>
          <w:bCs/>
          <w:b/>
        </w:rPr>
        <w:t xml:space="preserve">estimaciones de mercado no gubernamentales para títulos relacionados</w:t>
      </w:r>
      <w:r>
        <w:t xml:space="preserve">. Las metodologías y definiciones de puesto difieren, por lo que no deben combinarse con la mediana oficial de BLS/O*NET.</w:t>
      </w:r>
    </w:p>
    <w:bookmarkEnd w:id="39"/>
    <w:bookmarkStart w:id="40" w:name="canadá--datos-oficiales-de-carpinteros"/>
    <w:p>
      <w:pPr>
        <w:pStyle w:val="Heading3"/>
      </w:pPr>
      <w:r>
        <w:t xml:space="preserve">Canadá — datos oficiales de carpinteros</w:t>
      </w:r>
    </w:p>
    <w:p>
      <w:pPr>
        <w:pStyle w:val="FirstParagraph"/>
      </w:pPr>
      <w:r>
        <w:t xml:space="preserve">Job Bank del Gobierno de Canadá reporta salarios nacionales de carpintero, actualizados el 19 de noviembre de 2025, de aproximadamente:</w:t>
      </w:r>
    </w:p>
    <w:p>
      <w:pPr>
        <w:numPr>
          <w:ilvl w:val="0"/>
          <w:numId w:val="1008"/>
        </w:numPr>
        <w:pStyle w:val="Compact"/>
      </w:pPr>
      <w:r>
        <w:rPr>
          <w:bCs/>
          <w:b/>
        </w:rPr>
        <w:t xml:space="preserve">CAD $22.00/hora bajo</w:t>
      </w:r>
    </w:p>
    <w:p>
      <w:pPr>
        <w:numPr>
          <w:ilvl w:val="0"/>
          <w:numId w:val="1008"/>
        </w:numPr>
        <w:pStyle w:val="Compact"/>
      </w:pPr>
      <w:r>
        <w:rPr>
          <w:bCs/>
          <w:b/>
        </w:rPr>
        <w:t xml:space="preserve">CAD $32.12/hora mediano</w:t>
      </w:r>
    </w:p>
    <w:p>
      <w:pPr>
        <w:numPr>
          <w:ilvl w:val="0"/>
          <w:numId w:val="1008"/>
        </w:numPr>
        <w:pStyle w:val="Compact"/>
      </w:pPr>
      <w:r>
        <w:rPr>
          <w:bCs/>
          <w:b/>
        </w:rPr>
        <w:t xml:space="preserve">CAD $44.23/hora alto</w:t>
      </w:r>
    </w:p>
    <w:p>
      <w:pPr>
        <w:pStyle w:val="FirstParagraph"/>
      </w:pPr>
      <w:r>
        <w:t xml:space="preserve">Los salarios varían por provincia, territorio, experiencia, especialidad, afiliación sindical, sector de construcción y demanda local. Use los filtros de ubicación de Job Bank antes de tomar una decisión de formación o traslado.</w:t>
      </w:r>
    </w:p>
    <w:bookmarkEnd w:id="40"/>
    <w:bookmarkEnd w:id="41"/>
    <w:bookmarkStart w:id="42"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Revise 15–20 vacantes locales para ayudante de carpintero, aprendiz, ebanista, asistente de taller, instalador o trabajo en madera. Registre herramientas, requisitos de seguridad, credenciales, horarios y experiencia solicitada.</w:t>
      </w:r>
    </w:p>
    <w:p>
      <w:pPr>
        <w:pStyle w:val="BodyText"/>
      </w:pPr>
      <w:r>
        <w:rPr>
          <w:bCs/>
          <w:b/>
        </w:rPr>
        <w:t xml:space="preserve">Semanas 3–4:</w:t>
      </w:r>
      <w:r>
        <w:t xml:space="preserve"> </w:t>
      </w:r>
      <w:r>
        <w:t xml:space="preserve">Refuerce medición y aritmética: fracciones, decimales, conversión métrico/imperial, área, ángulos, trazado, tolerancias y cantidades de material.</w:t>
      </w:r>
    </w:p>
    <w:p>
      <w:pPr>
        <w:pStyle w:val="BodyText"/>
      </w:pPr>
      <w:r>
        <w:rPr>
          <w:bCs/>
          <w:b/>
        </w:rPr>
        <w:t xml:space="preserve">Semanas 5–6:</w:t>
      </w:r>
      <w:r>
        <w:t xml:space="preserve"> </w:t>
      </w:r>
      <w:r>
        <w:t xml:space="preserve">Aprenda conceptos básicos de dibujos y planos, terminología de madera y tableros, herrajes, fijaciones, adhesivos y acabados.</w:t>
      </w:r>
    </w:p>
    <w:p>
      <w:pPr>
        <w:pStyle w:val="BodyText"/>
      </w:pPr>
      <w:r>
        <w:rPr>
          <w:bCs/>
          <w:b/>
        </w:rPr>
        <w:t xml:space="preserve">Semanas 7–8:</w:t>
      </w:r>
      <w:r>
        <w:t xml:space="preserve"> </w:t>
      </w:r>
      <w:r>
        <w:t xml:space="preserve">Complete capacitación supervisada de seguridad con herramientas. Aprenda resguardos, EPP, extracción de polvo, inspección y procedimientos de apagado correctos para los equipos que esté autorizado a usar.</w:t>
      </w:r>
    </w:p>
    <w:p>
      <w:pPr>
        <w:pStyle w:val="BodyText"/>
      </w:pPr>
      <w:r>
        <w:rPr>
          <w:bCs/>
          <w:b/>
        </w:rPr>
        <w:t xml:space="preserve">Semanas 9–10:</w:t>
      </w:r>
      <w:r>
        <w:t xml:space="preserve"> </w:t>
      </w:r>
      <w:r>
        <w:t xml:space="preserve">Construya un pequeño proyecto supervisado o ejercicio formativo que demuestre medición, trazado, corte, ensamblaje, ajuste, acabado y documentación precisos. No use equipos para los que no tenga capacitación y autorización.</w:t>
      </w:r>
    </w:p>
    <w:p>
      <w:pPr>
        <w:pStyle w:val="BodyText"/>
      </w:pPr>
      <w:r>
        <w:rPr>
          <w:bCs/>
          <w:b/>
        </w:rPr>
        <w:t xml:space="preserve">Semanas 11–12:</w:t>
      </w:r>
      <w:r>
        <w:t xml:space="preserve"> </w:t>
      </w:r>
      <w:r>
        <w:t xml:space="preserve">Busque programas de aprendizaje, formación pública y cargos de formación del empleador. Verifique financiamiento, costos totales, requisitos de herramientas, políticas de reembolso y requisitos laborales locales antes de pagar por capacitación.</w:t>
      </w:r>
    </w:p>
    <w:bookmarkEnd w:id="42"/>
    <w:bookmarkStart w:id="43" w:name="X19f97d861a5fcd6201062820a300811cf779c71"/>
    <w:p>
      <w:pPr>
        <w:pStyle w:val="Heading2"/>
      </w:pPr>
      <w:r>
        <w:t xml:space="preserve">Construir experiencia sin tener todavía el título</w:t>
      </w:r>
    </w:p>
    <w:p>
      <w:pPr>
        <w:pStyle w:val="FirstParagraph"/>
      </w:pPr>
      <w:r>
        <w:t xml:space="preserve">La experiencia transferible puede provenir de:</w:t>
      </w:r>
    </w:p>
    <w:p>
      <w:pPr>
        <w:numPr>
          <w:ilvl w:val="0"/>
          <w:numId w:val="1009"/>
        </w:numPr>
        <w:pStyle w:val="Compact"/>
      </w:pPr>
      <w:r>
        <w:t xml:space="preserve">trabajo como obrero o ayudante de oficio en construcción;</w:t>
      </w:r>
    </w:p>
    <w:p>
      <w:pPr>
        <w:numPr>
          <w:ilvl w:val="0"/>
          <w:numId w:val="1009"/>
        </w:numPr>
        <w:pStyle w:val="Compact"/>
      </w:pPr>
      <w:r>
        <w:t xml:space="preserve">mantenimiento y reparación;</w:t>
      </w:r>
    </w:p>
    <w:p>
      <w:pPr>
        <w:numPr>
          <w:ilvl w:val="0"/>
          <w:numId w:val="1009"/>
        </w:numPr>
        <w:pStyle w:val="Compact"/>
      </w:pPr>
      <w:r>
        <w:t xml:space="preserve">ensamblaje o instalación de muebles;</w:t>
      </w:r>
    </w:p>
    <w:p>
      <w:pPr>
        <w:numPr>
          <w:ilvl w:val="0"/>
          <w:numId w:val="1009"/>
        </w:numPr>
        <w:pStyle w:val="Compact"/>
      </w:pPr>
      <w:r>
        <w:t xml:space="preserve">bodega o manejo de materiales;</w:t>
      </w:r>
    </w:p>
    <w:p>
      <w:pPr>
        <w:numPr>
          <w:ilvl w:val="0"/>
          <w:numId w:val="1009"/>
        </w:numPr>
        <w:pStyle w:val="Compact"/>
      </w:pPr>
      <w:r>
        <w:t xml:space="preserve">manufactura o producción;</w:t>
      </w:r>
    </w:p>
    <w:p>
      <w:pPr>
        <w:numPr>
          <w:ilvl w:val="0"/>
          <w:numId w:val="1009"/>
        </w:numPr>
        <w:pStyle w:val="Compact"/>
      </w:pPr>
      <w:r>
        <w:t xml:space="preserve">apoyo en mejoras o renovaciones de vivienda;</w:t>
      </w:r>
    </w:p>
    <w:p>
      <w:pPr>
        <w:numPr>
          <w:ilvl w:val="0"/>
          <w:numId w:val="1009"/>
        </w:numPr>
        <w:pStyle w:val="Compact"/>
      </w:pPr>
      <w:r>
        <w:t xml:space="preserve">fabricación de escenografía, exhibiciones, sets o mobiliario comercial;</w:t>
      </w:r>
    </w:p>
    <w:p>
      <w:pPr>
        <w:numPr>
          <w:ilvl w:val="0"/>
          <w:numId w:val="1009"/>
        </w:numPr>
        <w:pStyle w:val="Compact"/>
      </w:pPr>
      <w:r>
        <w:t xml:space="preserve">venta minorista de materiales de construcción; o</w:t>
      </w:r>
    </w:p>
    <w:p>
      <w:pPr>
        <w:numPr>
          <w:ilvl w:val="0"/>
          <w:numId w:val="1009"/>
        </w:numPr>
        <w:pStyle w:val="Compact"/>
      </w:pPr>
      <w:r>
        <w:t xml:space="preserve">proyectos comunitarios o de formación vocacional supervisados.</w:t>
      </w:r>
    </w:p>
    <w:p>
      <w:pPr>
        <w:pStyle w:val="FirstParagraph"/>
      </w:pPr>
      <w:r>
        <w:t xml:space="preserve">Al describir experiencia, sea preciso. La evidencia útil incluye mediciones exactas, uso seguro de herramientas, calidad de instalación, bajo retrabajo, control de materiales, asistencia confiable, comunicación con clientes o finalización exitosa de proyectos supervisados. No afirme experiencia de nivel oficial, Red Seal, licencia, certificación, CNC, trabajo estructural u operación de maquinaria si no la tiene realmente.</w:t>
      </w:r>
    </w:p>
    <w:bookmarkEnd w:id="43"/>
    <w:bookmarkStart w:id="44" w:name="avance-profesional"/>
    <w:p>
      <w:pPr>
        <w:pStyle w:val="Heading2"/>
      </w:pPr>
      <w:r>
        <w:t xml:space="preserve">Avance profesional</w:t>
      </w:r>
    </w:p>
    <w:p>
      <w:pPr>
        <w:pStyle w:val="FirstParagraph"/>
      </w:pPr>
      <w:r>
        <w:t xml:space="preserve">Los siguientes pasos pueden incluir carpintero de nivel oficial, carpintero de acabados, carpintero de formaleta, ebanista, instalador de gabinetes, técnico de molduras, líder de taller, estimador, capataz, supervisor de producción, operador CNC para madera, coordinador de proyectos o trabajo independiente cuando sea legalmente permitido.</w:t>
      </w:r>
    </w:p>
    <w:p>
      <w:pPr>
        <w:pStyle w:val="BodyText"/>
      </w:pPr>
      <w:r>
        <w:t xml:space="preserve">Los roles avanzados pueden requerir mejor lectura de planos, conocimiento de códigos, estimación, familiaridad con CNC/CAD/CAM, experiencia de supervisión, certificación del oficio, licencias comerciales o credenciales específicas de la jurisdicción.</w:t>
      </w:r>
    </w:p>
    <w:p>
      <w:pPr>
        <w:pStyle w:val="BodyText"/>
      </w:pPr>
      <w:r>
        <w:t xml:space="preserve">Antes de pagar por un certificado avanzado o curso de software, compare varias vacantes actuales del rol exacto que desea.</w:t>
      </w:r>
    </w:p>
    <w:bookmarkEnd w:id="44"/>
    <w:bookmarkStart w:id="45" w:name="uso-responsable-de-ia-en-este-trabajo"/>
    <w:p>
      <w:pPr>
        <w:pStyle w:val="Heading2"/>
      </w:pPr>
      <w:r>
        <w:t xml:space="preserve">Uso responsable de IA en este trabajo</w:t>
      </w:r>
    </w:p>
    <w:p>
      <w:pPr>
        <w:pStyle w:val="FirstParagraph"/>
      </w:pPr>
      <w:r>
        <w:t xml:space="preserve">Las herramientas de IA pueden ayudar a explicar terminología general, crear preguntas de práctica para entrevistas, resumir notas de estudio no sensibles o redactar una lista neutral de materiales para un ejercicio de formación. No deben sustituir planos aprobados, cálculos estructurales, especificaciones de ingeniería, procedimientos de seguridad, instrucciones de maquinaria, mediciones, requisitos de código ni controles de calidad del empleador.</w:t>
      </w:r>
    </w:p>
    <w:p>
      <w:pPr>
        <w:pStyle w:val="BodyText"/>
      </w:pPr>
      <w:r>
        <w:t xml:space="preserve">No pegue planos propietarios, información de clientes, precios de proveedores, credenciales, cotizaciones de proyectos, cronogramas internos, detalles de acceso ni información protegida del proyecto en un servicio público de IA salvo autorización explícita del empleador o cliente.</w:t>
      </w:r>
    </w:p>
    <w:p>
      <w:pPr>
        <w:pStyle w:val="BodyText"/>
      </w:pPr>
      <w:r>
        <w:t xml:space="preserve">Verifique mediciones, cantidades, listas de corte, fórmulas, supuestos de carga, recomendaciones de productos y citas generadas por IA antes de usarlas. Un error que parezca creíble puede causar desperdicio, retrabajo, daño a equipos, pérdidas financieras o lesiones.</w:t>
      </w:r>
    </w:p>
    <w:bookmarkEnd w:id="45"/>
    <w:bookmarkStart w:id="46" w:name="X838856dc10feccea0c4ce703e3cb5417e51c5f2"/>
    <w:p>
      <w:pPr>
        <w:pStyle w:val="Heading2"/>
      </w:pPr>
      <w:r>
        <w:t xml:space="preserve">Fundamentos de ciberseguridad y privacidad</w:t>
      </w:r>
    </w:p>
    <w:p>
      <w:pPr>
        <w:pStyle w:val="FirstParagraph"/>
      </w:pPr>
      <w:r>
        <w:t xml:space="preserve">Las empresas modernas de construcción y trabajo en madera pueden usar planos en la nube, plataformas de estimación, sistemas de gestión de proyectos, archivos CNC, órdenes digitales y portales de clientes. Siga las reglas del empleador para:</w:t>
      </w:r>
    </w:p>
    <w:p>
      <w:pPr>
        <w:numPr>
          <w:ilvl w:val="0"/>
          <w:numId w:val="1010"/>
        </w:numPr>
        <w:pStyle w:val="Compact"/>
      </w:pPr>
      <w:r>
        <w:t xml:space="preserve">acceso a cuentas y autenticación multifactor;</w:t>
      </w:r>
    </w:p>
    <w:p>
      <w:pPr>
        <w:numPr>
          <w:ilvl w:val="0"/>
          <w:numId w:val="1010"/>
        </w:numPr>
        <w:pStyle w:val="Compact"/>
      </w:pPr>
      <w:r>
        <w:t xml:space="preserve">contraseñas y uso compartido de credenciales;</w:t>
      </w:r>
    </w:p>
    <w:p>
      <w:pPr>
        <w:numPr>
          <w:ilvl w:val="0"/>
          <w:numId w:val="1010"/>
        </w:numPr>
        <w:pStyle w:val="Compact"/>
      </w:pPr>
      <w:r>
        <w:t xml:space="preserve">phishing y archivos adjuntos sospechosos;</w:t>
      </w:r>
    </w:p>
    <w:p>
      <w:pPr>
        <w:numPr>
          <w:ilvl w:val="0"/>
          <w:numId w:val="1010"/>
        </w:numPr>
        <w:pStyle w:val="Compact"/>
      </w:pPr>
      <w:r>
        <w:t xml:space="preserve">ubicaciones aprobadas para compartir archivos;</w:t>
      </w:r>
    </w:p>
    <w:p>
      <w:pPr>
        <w:numPr>
          <w:ilvl w:val="0"/>
          <w:numId w:val="1010"/>
        </w:numPr>
        <w:pStyle w:val="Compact"/>
      </w:pPr>
      <w:r>
        <w:t xml:space="preserve">direcciones y datos de contacto de clientes;</w:t>
      </w:r>
    </w:p>
    <w:p>
      <w:pPr>
        <w:numPr>
          <w:ilvl w:val="0"/>
          <w:numId w:val="1010"/>
        </w:numPr>
        <w:pStyle w:val="Compact"/>
      </w:pPr>
      <w:r>
        <w:t xml:space="preserve">planos propietarios y archivos de producción;</w:t>
      </w:r>
    </w:p>
    <w:p>
      <w:pPr>
        <w:numPr>
          <w:ilvl w:val="0"/>
          <w:numId w:val="1010"/>
        </w:numPr>
        <w:pStyle w:val="Compact"/>
      </w:pPr>
      <w:r>
        <w:t xml:space="preserve">medios extraíbles usados con equipos de taller;</w:t>
      </w:r>
    </w:p>
    <w:p>
      <w:pPr>
        <w:numPr>
          <w:ilvl w:val="0"/>
          <w:numId w:val="1010"/>
        </w:numPr>
        <w:pStyle w:val="Compact"/>
      </w:pPr>
      <w:r>
        <w:t xml:space="preserve">reporte de incidentes; y</w:t>
      </w:r>
    </w:p>
    <w:p>
      <w:pPr>
        <w:numPr>
          <w:ilvl w:val="0"/>
          <w:numId w:val="1010"/>
        </w:numPr>
        <w:pStyle w:val="Compact"/>
      </w:pPr>
      <w:r>
        <w:t xml:space="preserve">uso de dispositivos personales o herramientas públicas de IA.</w:t>
      </w:r>
    </w:p>
    <w:p>
      <w:pPr>
        <w:pStyle w:val="FirstParagraph"/>
      </w:pPr>
      <w:r>
        <w:t xml:space="preserve">Si un proveedor, cliente o gerente parece solicitar un cambio de cuenta bancaria, pago urgente, descarga inusual de archivos o una instrucción de compra modificada por un canal inesperado, verifíquelo mediante el proceso aprobado del empleador antes de actuar.</w:t>
      </w:r>
    </w:p>
    <w:bookmarkEnd w:id="46"/>
    <w:bookmarkStart w:id="47" w:name="Xadaf4c55f2a05228f0e7a57a6c8a13ef2ae3237"/>
    <w:p>
      <w:pPr>
        <w:pStyle w:val="Heading2"/>
      </w:pPr>
      <w:r>
        <w:t xml:space="preserve">Evitar estafas y ofertas de formación débiles</w:t>
      </w:r>
    </w:p>
    <w:p>
      <w:pPr>
        <w:pStyle w:val="FirstParagraph"/>
      </w:pPr>
      <w:r>
        <w:t xml:space="preserve">Tenga precaución cuando una escuela, reclutador, empleador o vendedor de formación:</w:t>
      </w:r>
    </w:p>
    <w:p>
      <w:pPr>
        <w:numPr>
          <w:ilvl w:val="0"/>
          <w:numId w:val="1011"/>
        </w:numPr>
        <w:pStyle w:val="Compact"/>
      </w:pPr>
      <w:r>
        <w:t xml:space="preserve">garantice empleo, aprendizaje, colocación sindical o salario específico;</w:t>
      </w:r>
    </w:p>
    <w:p>
      <w:pPr>
        <w:numPr>
          <w:ilvl w:val="0"/>
          <w:numId w:val="1011"/>
        </w:numPr>
        <w:pStyle w:val="Compact"/>
      </w:pPr>
      <w:r>
        <w:t xml:space="preserve">lo presione para pagar de inmediato;</w:t>
      </w:r>
    </w:p>
    <w:p>
      <w:pPr>
        <w:numPr>
          <w:ilvl w:val="0"/>
          <w:numId w:val="1011"/>
        </w:numPr>
        <w:pStyle w:val="Compact"/>
      </w:pPr>
      <w:r>
        <w:t xml:space="preserve">afirme que un certificado privado es legalmente obligatorio sin evidencia oficial;</w:t>
      </w:r>
    </w:p>
    <w:p>
      <w:pPr>
        <w:numPr>
          <w:ilvl w:val="0"/>
          <w:numId w:val="1011"/>
        </w:numPr>
        <w:pStyle w:val="Compact"/>
      </w:pPr>
      <w:r>
        <w:t xml:space="preserve">no revele costo total, herramientas, condiciones de financiamiento o reembolso;</w:t>
      </w:r>
    </w:p>
    <w:p>
      <w:pPr>
        <w:numPr>
          <w:ilvl w:val="0"/>
          <w:numId w:val="1011"/>
        </w:numPr>
        <w:pStyle w:val="Compact"/>
      </w:pPr>
      <w:r>
        <w:t xml:space="preserve">no pueda explicar qué empleadores reconocen la formación;</w:t>
      </w:r>
    </w:p>
    <w:p>
      <w:pPr>
        <w:numPr>
          <w:ilvl w:val="0"/>
          <w:numId w:val="1011"/>
        </w:numPr>
        <w:pStyle w:val="Compact"/>
      </w:pPr>
      <w:r>
        <w:t xml:space="preserve">solicite pago por una oferta de trabajo, envío de equipos o verificación de antecedentes mediante tarjetas de regalo, criptomonedas u otros métodos inusuales; o</w:t>
      </w:r>
    </w:p>
    <w:p>
      <w:pPr>
        <w:numPr>
          <w:ilvl w:val="0"/>
          <w:numId w:val="1011"/>
        </w:numPr>
        <w:pStyle w:val="Compact"/>
      </w:pPr>
      <w:r>
        <w:t xml:space="preserve">solicite identidad o información bancaria sensible antes de que usted haya verificado independientemente la organización.</w:t>
      </w:r>
    </w:p>
    <w:p>
      <w:pPr>
        <w:pStyle w:val="FirstParagraph"/>
      </w:pPr>
      <w:r>
        <w:t xml:space="preserve">Use fuentes oficiales del gobierno, programas de aprendizaje, sindicatos, empleadores o proveedores públicos/acreditados para verificar afirmaciones cuando sea posible.</w:t>
      </w:r>
    </w:p>
    <w:bookmarkEnd w:id="47"/>
    <w:bookmarkStart w:id="48" w:name="cuándo-detenerse-antes-de-gastar-dinero"/>
    <w:p>
      <w:pPr>
        <w:pStyle w:val="Heading2"/>
      </w:pPr>
      <w:r>
        <w:t xml:space="preserve">Cuándo detenerse antes de gastar dinero</w:t>
      </w:r>
    </w:p>
    <w:p>
      <w:pPr>
        <w:pStyle w:val="FirstParagraph"/>
      </w:pPr>
      <w:r>
        <w:t xml:space="preserve">Pause o retrase una matrícula cuando:</w:t>
      </w:r>
    </w:p>
    <w:p>
      <w:pPr>
        <w:numPr>
          <w:ilvl w:val="0"/>
          <w:numId w:val="1012"/>
        </w:numPr>
        <w:pStyle w:val="Compact"/>
      </w:pPr>
      <w:r>
        <w:t xml:space="preserve">los empleadores locales no soliciten la credencial que está considerando;</w:t>
      </w:r>
    </w:p>
    <w:p>
      <w:pPr>
        <w:numPr>
          <w:ilvl w:val="0"/>
          <w:numId w:val="1012"/>
        </w:numPr>
        <w:pStyle w:val="Compact"/>
      </w:pPr>
      <w:r>
        <w:t xml:space="preserve">el proveedor no entregue por escrito costo total, requisitos de herramientas y reglas de reembolso;</w:t>
      </w:r>
    </w:p>
    <w:p>
      <w:pPr>
        <w:numPr>
          <w:ilvl w:val="0"/>
          <w:numId w:val="1012"/>
        </w:numPr>
        <w:pStyle w:val="Compact"/>
      </w:pPr>
      <w:r>
        <w:t xml:space="preserve">la formación pública, sindical, de aprendizaje o pagada por el empleador pueda cubrir la misma habilidad;</w:t>
      </w:r>
    </w:p>
    <w:p>
      <w:pPr>
        <w:numPr>
          <w:ilvl w:val="0"/>
          <w:numId w:val="1012"/>
        </w:numPr>
        <w:pStyle w:val="Compact"/>
      </w:pPr>
      <w:r>
        <w:t xml:space="preserve">no haya confirmado si el programa es reconocido en su jurisdicción;</w:t>
      </w:r>
    </w:p>
    <w:p>
      <w:pPr>
        <w:numPr>
          <w:ilvl w:val="0"/>
          <w:numId w:val="1012"/>
        </w:numPr>
        <w:pStyle w:val="Compact"/>
      </w:pPr>
      <w:r>
        <w:t xml:space="preserve">las exigencias físicas o condiciones de seguridad del trabajo no encajen con sus circunstancias; o</w:t>
      </w:r>
    </w:p>
    <w:p>
      <w:pPr>
        <w:numPr>
          <w:ilvl w:val="0"/>
          <w:numId w:val="1012"/>
        </w:numPr>
        <w:pStyle w:val="Compact"/>
      </w:pPr>
      <w:r>
        <w:t xml:space="preserve">las condiciones de financiamiento crearían una deuda difícil de pagar.</w:t>
      </w:r>
    </w:p>
    <w:bookmarkEnd w:id="48"/>
    <w:bookmarkStart w:id="62" w:name="fuentes-actuales"/>
    <w:p>
      <w:pPr>
        <w:pStyle w:val="Heading2"/>
      </w:pPr>
      <w:r>
        <w:t xml:space="preserve">Fuentes actuales</w:t>
      </w:r>
    </w:p>
    <w:p>
      <w:pPr>
        <w:pStyle w:val="FirstParagraph"/>
      </w:pPr>
      <w:r>
        <w:t xml:space="preserve">Fuentes oficiales/públicas:</w:t>
      </w:r>
    </w:p>
    <w:p>
      <w:pPr>
        <w:numPr>
          <w:ilvl w:val="0"/>
          <w:numId w:val="1013"/>
        </w:numPr>
        <w:pStyle w:val="Compact"/>
      </w:pPr>
      <w:r>
        <w:t xml:space="preserve">U.S. Department of Labor O*NET OnLine — Carpenters:</w:t>
      </w:r>
      <w:r>
        <w:t xml:space="preserve"> </w:t>
      </w:r>
      <w:hyperlink r:id="rId49">
        <w:r>
          <w:rPr>
            <w:rStyle w:val="Hyperlink"/>
          </w:rPr>
          <w:t xml:space="preserve">source</w:t>
        </w:r>
      </w:hyperlink>
    </w:p>
    <w:p>
      <w:pPr>
        <w:numPr>
          <w:ilvl w:val="0"/>
          <w:numId w:val="1013"/>
        </w:numPr>
        <w:pStyle w:val="Compact"/>
      </w:pPr>
      <w:r>
        <w:t xml:space="preserve">Apprenticeship.gov:</w:t>
      </w:r>
      <w:r>
        <w:t xml:space="preserve"> </w:t>
      </w:r>
      <w:hyperlink r:id="rId50">
        <w:r>
          <w:rPr>
            <w:rStyle w:val="Hyperlink"/>
          </w:rPr>
          <w:t xml:space="preserve">source</w:t>
        </w:r>
      </w:hyperlink>
    </w:p>
    <w:p>
      <w:pPr>
        <w:numPr>
          <w:ilvl w:val="0"/>
          <w:numId w:val="1013"/>
        </w:numPr>
        <w:pStyle w:val="Compact"/>
      </w:pPr>
      <w:r>
        <w:t xml:space="preserve">CareerOneStop — recursos de formación WIOA:</w:t>
      </w:r>
      <w:r>
        <w:t xml:space="preserve"> </w:t>
      </w:r>
      <w:hyperlink r:id="rId51">
        <w:r>
          <w:rPr>
            <w:rStyle w:val="Hyperlink"/>
          </w:rPr>
          <w:t xml:space="preserve">source</w:t>
        </w:r>
      </w:hyperlink>
    </w:p>
    <w:p>
      <w:pPr>
        <w:numPr>
          <w:ilvl w:val="0"/>
          <w:numId w:val="1013"/>
        </w:numPr>
        <w:pStyle w:val="Compact"/>
      </w:pPr>
      <w:r>
        <w:t xml:space="preserve">Government of Canada Job Bank — salarios de carpinteros:</w:t>
      </w:r>
      <w:r>
        <w:t xml:space="preserve"> </w:t>
      </w:r>
      <w:hyperlink r:id="rId52">
        <w:r>
          <w:rPr>
            <w:rStyle w:val="Hyperlink"/>
          </w:rPr>
          <w:t xml:space="preserve">source</w:t>
        </w:r>
      </w:hyperlink>
    </w:p>
    <w:p>
      <w:pPr>
        <w:numPr>
          <w:ilvl w:val="0"/>
          <w:numId w:val="1013"/>
        </w:numPr>
        <w:pStyle w:val="Compact"/>
      </w:pPr>
      <w:r>
        <w:t xml:space="preserve">Government of Canada Job Bank — requisitos de Carpenter (NOC 72310):</w:t>
      </w:r>
      <w:r>
        <w:t xml:space="preserve"> </w:t>
      </w:r>
      <w:hyperlink r:id="rId53">
        <w:r>
          <w:rPr>
            <w:rStyle w:val="Hyperlink"/>
          </w:rPr>
          <w:t xml:space="preserve">source</w:t>
        </w:r>
      </w:hyperlink>
    </w:p>
    <w:p>
      <w:pPr>
        <w:numPr>
          <w:ilvl w:val="0"/>
          <w:numId w:val="1013"/>
        </w:numPr>
        <w:pStyle w:val="Compact"/>
      </w:pPr>
      <w:r>
        <w:t xml:space="preserve">Government of Canada — apoyos para oficios especializados y aprendizaje:</w:t>
      </w:r>
      <w:r>
        <w:t xml:space="preserve"> </w:t>
      </w:r>
      <w:hyperlink r:id="rId54">
        <w:r>
          <w:rPr>
            <w:rStyle w:val="Hyperlink"/>
          </w:rPr>
          <w:t xml:space="preserve">source</w:t>
        </w:r>
      </w:hyperlink>
    </w:p>
    <w:p>
      <w:pPr>
        <w:numPr>
          <w:ilvl w:val="0"/>
          <w:numId w:val="1013"/>
        </w:numPr>
        <w:pStyle w:val="Compact"/>
      </w:pPr>
      <w:r>
        <w:t xml:space="preserve">Government of Canada — estado de Apprenticeship Grants:</w:t>
      </w:r>
      <w:r>
        <w:t xml:space="preserve"> </w:t>
      </w:r>
      <w:hyperlink r:id="rId55">
        <w:r>
          <w:rPr>
            <w:rStyle w:val="Hyperlink"/>
          </w:rPr>
          <w:t xml:space="preserve">source</w:t>
        </w:r>
      </w:hyperlink>
    </w:p>
    <w:p>
      <w:pPr>
        <w:numPr>
          <w:ilvl w:val="0"/>
          <w:numId w:val="1013"/>
        </w:numPr>
        <w:pStyle w:val="Compact"/>
      </w:pPr>
      <w:r>
        <w:t xml:space="preserve">Government of Canada — oportunidades de financiación para oficios especializados y aprendizaje:</w:t>
      </w:r>
      <w:r>
        <w:t xml:space="preserve"> </w:t>
      </w:r>
      <w:hyperlink r:id="rId56">
        <w:r>
          <w:rPr>
            <w:rStyle w:val="Hyperlink"/>
          </w:rPr>
          <w:t xml:space="preserve">source</w:t>
        </w:r>
      </w:hyperlink>
    </w:p>
    <w:p>
      <w:pPr>
        <w:numPr>
          <w:ilvl w:val="0"/>
          <w:numId w:val="1013"/>
        </w:numPr>
        <w:pStyle w:val="Compact"/>
      </w:pPr>
      <w:r>
        <w:t xml:space="preserve">Government of Canada — Apprenticeship Service:</w:t>
      </w:r>
      <w:r>
        <w:t xml:space="preserve"> </w:t>
      </w:r>
      <w:hyperlink r:id="rId57">
        <w:r>
          <w:rPr>
            <w:rStyle w:val="Hyperlink"/>
          </w:rPr>
          <w:t xml:space="preserve">source</w:t>
        </w:r>
      </w:hyperlink>
    </w:p>
    <w:p>
      <w:pPr>
        <w:numPr>
          <w:ilvl w:val="0"/>
          <w:numId w:val="1013"/>
        </w:numPr>
        <w:pStyle w:val="Compact"/>
      </w:pPr>
      <w:r>
        <w:t xml:space="preserve">SENA Betowa — Básico de carpintería y ebanistería:</w:t>
      </w:r>
      <w:r>
        <w:t xml:space="preserve"> </w:t>
      </w:r>
      <w:hyperlink r:id="rId58">
        <w:r>
          <w:rPr>
            <w:rStyle w:val="Hyperlink"/>
          </w:rPr>
          <w:t xml:space="preserve">source</w:t>
        </w:r>
      </w:hyperlink>
    </w:p>
    <w:p>
      <w:pPr>
        <w:numPr>
          <w:ilvl w:val="0"/>
          <w:numId w:val="1013"/>
        </w:numPr>
        <w:pStyle w:val="Compact"/>
      </w:pPr>
      <w:r>
        <w:t xml:space="preserve">OIT/Cinterfor:</w:t>
      </w:r>
      <w:r>
        <w:t xml:space="preserve"> </w:t>
      </w:r>
      <w:hyperlink r:id="rId59">
        <w:r>
          <w:rPr>
            <w:rStyle w:val="Hyperlink"/>
          </w:rPr>
          <w:t xml:space="preserve">source</w:t>
        </w:r>
      </w:hyperlink>
    </w:p>
    <w:p>
      <w:pPr>
        <w:pStyle w:val="FirstParagraph"/>
      </w:pPr>
      <w:r>
        <w:t xml:space="preserve">Fuentes salariales suplementarias no gubernamentales:</w:t>
      </w:r>
    </w:p>
    <w:p>
      <w:pPr>
        <w:numPr>
          <w:ilvl w:val="0"/>
          <w:numId w:val="1014"/>
        </w:numPr>
        <w:pStyle w:val="Compact"/>
      </w:pPr>
      <w:r>
        <w:t xml:space="preserve">Salary.com — Cabinetmaker and Bench Carpenter:</w:t>
      </w:r>
      <w:r>
        <w:t xml:space="preserve"> </w:t>
      </w:r>
      <w:hyperlink r:id="rId60">
        <w:r>
          <w:rPr>
            <w:rStyle w:val="Hyperlink"/>
          </w:rPr>
          <w:t xml:space="preserve">source</w:t>
        </w:r>
      </w:hyperlink>
    </w:p>
    <w:p>
      <w:pPr>
        <w:numPr>
          <w:ilvl w:val="0"/>
          <w:numId w:val="1014"/>
        </w:numPr>
        <w:pStyle w:val="Compact"/>
      </w:pPr>
      <w:r>
        <w:t xml:space="preserve">Salary.com — Cabinet Maker:</w:t>
      </w:r>
      <w:r>
        <w:t xml:space="preserve"> </w:t>
      </w:r>
      <w:hyperlink r:id="rId61">
        <w:r>
          <w:rPr>
            <w:rStyle w:val="Hyperlink"/>
          </w:rPr>
          <w:t xml:space="preserve">source</w:t>
        </w:r>
      </w:hyperlink>
    </w:p>
    <w:bookmarkEnd w:id="62"/>
    <w:bookmarkStart w:id="63" w:name="nota-sobre-fuentes-y-revisión"/>
    <w:p>
      <w:pPr>
        <w:pStyle w:val="Heading2"/>
      </w:pPr>
      <w:r>
        <w:t xml:space="preserve">Nota sobre fuentes y revisión</w:t>
      </w:r>
    </w:p>
    <w:p>
      <w:pPr>
        <w:pStyle w:val="FirstParagraph"/>
      </w:pPr>
      <w:r>
        <w:t xml:space="preserve">Esta guía usa investigación de fuentes vigentes registrada el 14 de agosto de 2026. Salarios, disponibilidad de formación, reglas de programas, requisitos de licencias y condiciones laborales pueden cambiar. Revise nuevamente las fuentes oficiales y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legal, asesoría financiera ni resultados laborales garantizados.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basico-de-carpinteria-y-ebanisteria?offertype=company&amp;programId=12174" TargetMode="External" /><Relationship Type="http://schemas.openxmlformats.org/officeDocument/2006/relationships/hyperlink" Id="rId50" Target="https://www.apprenticeship.gov/" TargetMode="External" /><Relationship Type="http://schemas.openxmlformats.org/officeDocument/2006/relationships/hyperlink" Id="rId57" Target="https://www.canada.ca/en/employment-social-development/programs/apprentice-service-program.html" TargetMode="External" /><Relationship Type="http://schemas.openxmlformats.org/officeDocument/2006/relationships/hyperlink" Id="rId54" Target="https://www.canada.ca/en/services/jobs/training/support-skilled-trades-apprentices.html" TargetMode="External" /><Relationship Type="http://schemas.openxmlformats.org/officeDocument/2006/relationships/hyperlink" Id="rId56" Target="https://www.canada.ca/en/services/jobs/training/support-skilled-trades-apprentices/funding-opportunities.html" TargetMode="External" /><Relationship Type="http://schemas.openxmlformats.org/officeDocument/2006/relationships/hyperlink" Id="rId55" Target="https://www.canada.ca/en/services/jobs/training/support-skilled-trades-apprentices/grants.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3" Target="https://www.jobbank.gc.ca/marketreport/requirements/6408/ca" TargetMode="External" /><Relationship Type="http://schemas.openxmlformats.org/officeDocument/2006/relationships/hyperlink" Id="rId52" Target="https://www.jobbank.gc.ca/wagereport/occupation/6388" TargetMode="External" /><Relationship Type="http://schemas.openxmlformats.org/officeDocument/2006/relationships/hyperlink" Id="rId59" Target="https://www.oitcinterfor.org/" TargetMode="External" /><Relationship Type="http://schemas.openxmlformats.org/officeDocument/2006/relationships/hyperlink" Id="rId49" Target="https://www.onetonline.org/link/summary/47-2031.00" TargetMode="External" /><Relationship Type="http://schemas.openxmlformats.org/officeDocument/2006/relationships/hyperlink" Id="rId60" Target="https://www.salary.com/research/salary/benchmark/cabinetmaker-and-bench-carpenter-salary" TargetMode="External" /><Relationship Type="http://schemas.openxmlformats.org/officeDocument/2006/relationships/hyperlink" Id="rId61" Target="https://www.salary.com/research/salary/listing/cabinet-m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2026-08-14T20:21:11Z</dcterms:created>
  <dcterms:modified xsi:type="dcterms:W3CDTF">2026-08-14T20:21:11Z</dcterms:modified>
</cp:coreProperties>
</file>

<file path=docProps/custom.xml><?xml version="1.0" encoding="utf-8"?>
<Properties xmlns="http://schemas.openxmlformats.org/officeDocument/2006/custom-properties" xmlns:vt="http://schemas.openxmlformats.org/officeDocument/2006/docPropsVTypes"/>
</file>