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4" w:name="Xda1fa3efb6a12ba62410c2447986020c52a92b3"/>
    <w:p>
      <w:pPr>
        <w:pStyle w:val="Heading1"/>
      </w:pPr>
      <w:r>
        <w:t xml:space="preserve">Guía de Oportunidades para Toda la Vida 87 — Analista y Probador de Aseguramiento de Calidad de Software</w:t>
      </w:r>
    </w:p>
    <w:p>
      <w:pPr>
        <w:pStyle w:val="FirstParagraph"/>
      </w:pPr>
      <w:r>
        <w:rPr>
          <w:bCs/>
          <w:b/>
        </w:rPr>
        <w:t xml:space="preserve">Versión:</w:t>
      </w:r>
      <w:r>
        <w:t xml:space="preserve"> </w:t>
      </w:r>
      <w:r>
        <w:t xml:space="preserve">2.0 maestra de trabajo controlada</w:t>
      </w:r>
      <w:r>
        <w:br/>
      </w:r>
      <w:r>
        <w:rPr>
          <w:bCs/>
          <w:b/>
        </w:rPr>
        <w:t xml:space="preserve">Idioma:</w:t>
      </w:r>
      <w:r>
        <w:t xml:space="preserve"> </w:t>
      </w:r>
      <w:r>
        <w:t xml:space="preserve">Español neutro de América Latina (</w:t>
      </w:r>
      <w:r>
        <w:rPr>
          <w:rStyle w:val="VerbatimChar"/>
        </w:rPr>
        <w:t xml:space="preserve">es-419</w:t>
      </w:r>
      <w:r>
        <w:t xml:space="preserve">)</w:t>
      </w:r>
      <w:r>
        <w:br/>
      </w:r>
      <w:r>
        <w:rPr>
          <w:bCs/>
          <w:b/>
        </w:rPr>
        <w:t xml:space="preserve">Referencia principal de EE. UU.:</w:t>
      </w:r>
      <w:r>
        <w:t xml:space="preserve"> </w:t>
      </w:r>
      <w:r>
        <w:t xml:space="preserve">O*NET-SOC 15-1253.00 — Software Quality Assurance Analysts and Testers</w:t>
      </w:r>
      <w:r>
        <w:br/>
      </w:r>
      <w:r>
        <w:rPr>
          <w:bCs/>
          <w:b/>
        </w:rPr>
        <w:t xml:space="preserve">Comparaciones de Canadá:</w:t>
      </w:r>
      <w:r>
        <w:t xml:space="preserve"> </w:t>
      </w:r>
      <w:r>
        <w:t xml:space="preserve">NOC 21222 — Information systems specialists; NOC 22222 — Information systems testing technicians</w:t>
      </w:r>
      <w:r>
        <w:br/>
      </w:r>
      <w:r>
        <w:rPr>
          <w:bCs/>
          <w:b/>
        </w:rPr>
        <w:t xml:space="preserve">Comparación de Colombia:</w:t>
      </w:r>
      <w:r>
        <w:t xml:space="preserve"> </w:t>
      </w:r>
      <w:r>
        <w:t xml:space="preserve">CUOC 25190 — Desarrolladores y analistas de software y multimedia no clasificados en otras ocupaciones</w:t>
      </w:r>
      <w:r>
        <w:br/>
      </w:r>
      <w:r>
        <w:rPr>
          <w:bCs/>
          <w:b/>
        </w:rPr>
        <w:t xml:space="preserve">Fecha de revisión:</w:t>
      </w:r>
      <w:r>
        <w:t xml:space="preserve"> </w:t>
      </w:r>
      <w:r>
        <w:t xml:space="preserve">2026-08-22</w:t>
      </w:r>
      <w:r>
        <w:br/>
      </w:r>
      <w:r>
        <w:rPr>
          <w:bCs/>
          <w:b/>
        </w:rPr>
        <w:t xml:space="preserve">Fuente inglesa congelada:</w:t>
      </w:r>
      <w:r>
        <w:t xml:space="preserve"> </w:t>
      </w:r>
      <w:r>
        <w:t xml:space="preserve">blob</w:t>
      </w:r>
      <w:r>
        <w:t xml:space="preserve"> </w:t>
      </w:r>
      <w:r>
        <w:rPr>
          <w:rStyle w:val="VerbatimChar"/>
        </w:rPr>
        <w:t xml:space="preserve">446a05a75eaed4739a007d9327faba8234210d19</w:t>
      </w:r>
    </w:p>
    <w:bookmarkStart w:id="20" w:name="qué-es-esta-carrera"/>
    <w:p>
      <w:pPr>
        <w:pStyle w:val="Heading2"/>
      </w:pPr>
      <w:r>
        <w:t xml:space="preserve">Qué es esta carrera</w:t>
      </w:r>
    </w:p>
    <w:p>
      <w:pPr>
        <w:pStyle w:val="FirstParagraph"/>
      </w:pPr>
      <w:r>
        <w:t xml:space="preserve">Los analistas y probadores de aseguramiento de calidad de software ayudan a determinar si una aplicación se comporta como se espera, cumple requisitos definidos, maneja errores de forma segura y puede liberarse con un nivel de riesgo entendido. El trabajo puede incluir revisar requisitos, diseñar casos de prueba, preparar datos, ejecutar verificaciones manuales o automatizadas, documentar defectos, volver a probar correcciones, apoyar regresión y evaluar usabilidad y accesibilidad.</w:t>
      </w:r>
    </w:p>
    <w:p>
      <w:pPr>
        <w:pStyle w:val="BodyText"/>
      </w:pPr>
      <w:r>
        <w:t xml:space="preserve">QA no es simplemente “buscar errores”. Es trabajo de evidencia. Un buen probador sabe qué se verifica, qué ambiente y versión se usaron, qué precondiciones y datos aplicaron, qué resultado se esperaba, qué ocurrió realmente y cómo otra persona puede reproducir la observación.</w:t>
      </w:r>
    </w:p>
    <w:p>
      <w:pPr>
        <w:pStyle w:val="BodyText"/>
      </w:pPr>
      <w:r>
        <w:t xml:space="preserve">Estados Unidos tiene una correspondencia directa en</w:t>
      </w:r>
      <w:r>
        <w:t xml:space="preserve"> </w:t>
      </w:r>
      <w:r>
        <w:rPr>
          <w:bCs/>
          <w:b/>
        </w:rPr>
        <w:t xml:space="preserve">O*NET-SOC 15-1253.00</w:t>
      </w:r>
      <w:r>
        <w:t xml:space="preserve">. Canadá separa mejor el alcance: el trabajo de analista de QA se compara con</w:t>
      </w:r>
      <w:r>
        <w:t xml:space="preserve"> </w:t>
      </w:r>
      <w:r>
        <w:rPr>
          <w:bCs/>
          <w:b/>
        </w:rPr>
        <w:t xml:space="preserve">NOC 21222</w:t>
      </w:r>
      <w:r>
        <w:t xml:space="preserve">, mientras que la ejecución técnica de pruebas se compara con</w:t>
      </w:r>
      <w:r>
        <w:t xml:space="preserve"> </w:t>
      </w:r>
      <w:r>
        <w:rPr>
          <w:bCs/>
          <w:b/>
        </w:rPr>
        <w:t xml:space="preserve">NOC 22222</w:t>
      </w:r>
      <w:r>
        <w:t xml:space="preserve">. Colombia tiene una correspondencia sólida en</w:t>
      </w:r>
      <w:r>
        <w:t xml:space="preserve"> </w:t>
      </w:r>
      <w:r>
        <w:rPr>
          <w:bCs/>
          <w:b/>
        </w:rPr>
        <w:t xml:space="preserve">CUOC 25190</w:t>
      </w:r>
      <w:r>
        <w:t xml:space="preserve">.</w:t>
      </w:r>
    </w:p>
    <w:bookmarkEnd w:id="20"/>
    <w:bookmarkStart w:id="21" w:name="por-qué-sigue-siendo-importante"/>
    <w:p>
      <w:pPr>
        <w:pStyle w:val="Heading2"/>
      </w:pPr>
      <w:r>
        <w:t xml:space="preserve">Por qué sigue siendo importante</w:t>
      </w:r>
    </w:p>
    <w:p>
      <w:pPr>
        <w:pStyle w:val="FirstParagraph"/>
      </w:pPr>
      <w:r>
        <w:t xml:space="preserve">El software afecta banca, salud, gobierno, transporte, educación, comercio, comunicaciones, manufactura y servicios digitales. Un defecto puede causar cálculos incorrectos, transacciones fallidas, indisponibilidad, pérdida de datos, exposición de privacidad, problemas de seguridad, interfaces inaccesibles, retrabajo y pérdida de confianza.</w:t>
      </w:r>
    </w:p>
    <w:p>
      <w:pPr>
        <w:pStyle w:val="BodyText"/>
      </w:pPr>
      <w:r>
        <w:t xml:space="preserve">La automatización y la IA amplían la capacidad de pruebas, pero no eliminan la necesidad de personas que definan verificaciones confiables, interpreten fallas, detecten evidencia débil, exploren casos límite y comuniquen riesgo.</w:t>
      </w:r>
    </w:p>
    <w:bookmarkEnd w:id="21"/>
    <w:bookmarkStart w:id="22" w:name="títulos-de-trabajo-relacionados"/>
    <w:p>
      <w:pPr>
        <w:pStyle w:val="Heading2"/>
      </w:pPr>
      <w:r>
        <w:t xml:space="preserve">Títulos de trabajo relacionados</w:t>
      </w:r>
    </w:p>
    <w:p>
      <w:pPr>
        <w:pStyle w:val="FirstParagraph"/>
      </w:pPr>
      <w:r>
        <w:t xml:space="preserve">Busque, según experiencia y especialización:</w:t>
      </w:r>
    </w:p>
    <w:p>
      <w:pPr>
        <w:numPr>
          <w:ilvl w:val="0"/>
          <w:numId w:val="1001"/>
        </w:numPr>
        <w:pStyle w:val="Compact"/>
      </w:pPr>
      <w:r>
        <w:t xml:space="preserve">Software QA Analyst;</w:t>
      </w:r>
    </w:p>
    <w:p>
      <w:pPr>
        <w:numPr>
          <w:ilvl w:val="0"/>
          <w:numId w:val="1001"/>
        </w:numPr>
        <w:pStyle w:val="Compact"/>
      </w:pPr>
      <w:r>
        <w:t xml:space="preserve">Software Quality Assurance Analyst;</w:t>
      </w:r>
    </w:p>
    <w:p>
      <w:pPr>
        <w:numPr>
          <w:ilvl w:val="0"/>
          <w:numId w:val="1001"/>
        </w:numPr>
        <w:pStyle w:val="Compact"/>
      </w:pPr>
      <w:r>
        <w:t xml:space="preserve">QA Tester;</w:t>
      </w:r>
    </w:p>
    <w:p>
      <w:pPr>
        <w:numPr>
          <w:ilvl w:val="0"/>
          <w:numId w:val="1001"/>
        </w:numPr>
        <w:pStyle w:val="Compact"/>
      </w:pPr>
      <w:r>
        <w:t xml:space="preserve">Software Tester;</w:t>
      </w:r>
    </w:p>
    <w:p>
      <w:pPr>
        <w:numPr>
          <w:ilvl w:val="0"/>
          <w:numId w:val="1001"/>
        </w:numPr>
        <w:pStyle w:val="Compact"/>
      </w:pPr>
      <w:r>
        <w:t xml:space="preserve">Manual Tester;</w:t>
      </w:r>
    </w:p>
    <w:p>
      <w:pPr>
        <w:numPr>
          <w:ilvl w:val="0"/>
          <w:numId w:val="1001"/>
        </w:numPr>
        <w:pStyle w:val="Compact"/>
      </w:pPr>
      <w:r>
        <w:t xml:space="preserve">QA Engineer;</w:t>
      </w:r>
    </w:p>
    <w:p>
      <w:pPr>
        <w:numPr>
          <w:ilvl w:val="0"/>
          <w:numId w:val="1001"/>
        </w:numPr>
        <w:pStyle w:val="Compact"/>
      </w:pPr>
      <w:r>
        <w:t xml:space="preserve">Test Engineer;</w:t>
      </w:r>
    </w:p>
    <w:p>
      <w:pPr>
        <w:numPr>
          <w:ilvl w:val="0"/>
          <w:numId w:val="1001"/>
        </w:numPr>
        <w:pStyle w:val="Compact"/>
      </w:pPr>
      <w:r>
        <w:t xml:space="preserve">Automation Tester;</w:t>
      </w:r>
    </w:p>
    <w:p>
      <w:pPr>
        <w:numPr>
          <w:ilvl w:val="0"/>
          <w:numId w:val="1001"/>
        </w:numPr>
        <w:pStyle w:val="Compact"/>
      </w:pPr>
      <w:r>
        <w:t xml:space="preserve">Test Automation Engineer;</w:t>
      </w:r>
    </w:p>
    <w:p>
      <w:pPr>
        <w:numPr>
          <w:ilvl w:val="0"/>
          <w:numId w:val="1001"/>
        </w:numPr>
        <w:pStyle w:val="Compact"/>
      </w:pPr>
      <w:r>
        <w:t xml:space="preserve">Quality Engineer;</w:t>
      </w:r>
    </w:p>
    <w:p>
      <w:pPr>
        <w:numPr>
          <w:ilvl w:val="0"/>
          <w:numId w:val="1001"/>
        </w:numPr>
        <w:pStyle w:val="Compact"/>
      </w:pPr>
      <w:r>
        <w:t xml:space="preserve">SDET;</w:t>
      </w:r>
    </w:p>
    <w:p>
      <w:pPr>
        <w:numPr>
          <w:ilvl w:val="0"/>
          <w:numId w:val="1001"/>
        </w:numPr>
        <w:pStyle w:val="Compact"/>
      </w:pPr>
      <w:r>
        <w:t xml:space="preserve">API Tester;</w:t>
      </w:r>
    </w:p>
    <w:p>
      <w:pPr>
        <w:numPr>
          <w:ilvl w:val="0"/>
          <w:numId w:val="1001"/>
        </w:numPr>
        <w:pStyle w:val="Compact"/>
      </w:pPr>
      <w:r>
        <w:t xml:space="preserve">Accessibility Tester;</w:t>
      </w:r>
    </w:p>
    <w:p>
      <w:pPr>
        <w:numPr>
          <w:ilvl w:val="0"/>
          <w:numId w:val="1001"/>
        </w:numPr>
        <w:pStyle w:val="Compact"/>
      </w:pPr>
      <w:r>
        <w:t xml:space="preserve">Performance Tester;</w:t>
      </w:r>
    </w:p>
    <w:p>
      <w:pPr>
        <w:numPr>
          <w:ilvl w:val="0"/>
          <w:numId w:val="1001"/>
        </w:numPr>
        <w:pStyle w:val="Compact"/>
      </w:pPr>
      <w:r>
        <w:t xml:space="preserve">UAT Analyst.</w:t>
      </w:r>
    </w:p>
    <w:p>
      <w:pPr>
        <w:pStyle w:val="FirstParagraph"/>
      </w:pPr>
      <w:r>
        <w:t xml:space="preserve">Lea siempre las funciones reales, la profundidad de programación, el alcance de pruebas y la autoridad de liberación.</w:t>
      </w:r>
    </w:p>
    <w:bookmarkEnd w:id="22"/>
    <w:bookmarkStart w:id="23" w:name="base-de-prueba-y-trazabilidad"/>
    <w:p>
      <w:pPr>
        <w:pStyle w:val="Heading2"/>
      </w:pPr>
      <w:r>
        <w:t xml:space="preserve">Base de prueba y trazabilidad</w:t>
      </w:r>
    </w:p>
    <w:p>
      <w:pPr>
        <w:pStyle w:val="FirstParagraph"/>
      </w:pPr>
      <w:r>
        <w:t xml:space="preserve">Toda prueba importante debe partir de una base definida, por ejemplo:</w:t>
      </w:r>
    </w:p>
    <w:p>
      <w:pPr>
        <w:numPr>
          <w:ilvl w:val="0"/>
          <w:numId w:val="1002"/>
        </w:numPr>
        <w:pStyle w:val="Compact"/>
      </w:pPr>
      <w:r>
        <w:t xml:space="preserve">requisito aprobado;</w:t>
      </w:r>
    </w:p>
    <w:p>
      <w:pPr>
        <w:numPr>
          <w:ilvl w:val="0"/>
          <w:numId w:val="1002"/>
        </w:numPr>
        <w:pStyle w:val="Compact"/>
      </w:pPr>
      <w:r>
        <w:t xml:space="preserve">criterio de aceptación;</w:t>
      </w:r>
    </w:p>
    <w:p>
      <w:pPr>
        <w:numPr>
          <w:ilvl w:val="0"/>
          <w:numId w:val="1002"/>
        </w:numPr>
        <w:pStyle w:val="Compact"/>
      </w:pPr>
      <w:r>
        <w:t xml:space="preserve">historia de usuario;</w:t>
      </w:r>
    </w:p>
    <w:p>
      <w:pPr>
        <w:numPr>
          <w:ilvl w:val="0"/>
          <w:numId w:val="1002"/>
        </w:numPr>
        <w:pStyle w:val="Compact"/>
      </w:pPr>
      <w:r>
        <w:t xml:space="preserve">contrato de interfaz o API;</w:t>
      </w:r>
    </w:p>
    <w:p>
      <w:pPr>
        <w:numPr>
          <w:ilvl w:val="0"/>
          <w:numId w:val="1002"/>
        </w:numPr>
        <w:pStyle w:val="Compact"/>
      </w:pPr>
      <w:r>
        <w:t xml:space="preserve">diseño o especificación;</w:t>
      </w:r>
    </w:p>
    <w:p>
      <w:pPr>
        <w:numPr>
          <w:ilvl w:val="0"/>
          <w:numId w:val="1002"/>
        </w:numPr>
        <w:pStyle w:val="Compact"/>
      </w:pPr>
      <w:r>
        <w:t xml:space="preserve">corrección de defecto;</w:t>
      </w:r>
    </w:p>
    <w:p>
      <w:pPr>
        <w:numPr>
          <w:ilvl w:val="0"/>
          <w:numId w:val="1002"/>
        </w:numPr>
        <w:pStyle w:val="Compact"/>
      </w:pPr>
      <w:r>
        <w:t xml:space="preserve">riesgo;</w:t>
      </w:r>
    </w:p>
    <w:p>
      <w:pPr>
        <w:numPr>
          <w:ilvl w:val="0"/>
          <w:numId w:val="1002"/>
        </w:numPr>
        <w:pStyle w:val="Compact"/>
      </w:pPr>
      <w:r>
        <w:t xml:space="preserve">flujo de usuario documentado;</w:t>
      </w:r>
    </w:p>
    <w:p>
      <w:pPr>
        <w:numPr>
          <w:ilvl w:val="0"/>
          <w:numId w:val="1002"/>
        </w:numPr>
        <w:pStyle w:val="Compact"/>
      </w:pPr>
      <w:r>
        <w:t xml:space="preserve">requisito regulatorio o de política cuando corresponda.</w:t>
      </w:r>
    </w:p>
    <w:p>
      <w:pPr>
        <w:pStyle w:val="FirstParagraph"/>
      </w:pPr>
      <w:r>
        <w:t xml:space="preserve">La trazabilidad puede conectar:</w:t>
      </w:r>
    </w:p>
    <w:p>
      <w:pPr>
        <w:pStyle w:val="BodyText"/>
      </w:pPr>
      <w:r>
        <w:rPr>
          <w:bCs/>
          <w:b/>
        </w:rPr>
        <w:t xml:space="preserve">requisito o riesgo → caso de prueba → ejecución → evidencia → defecto o resultado → retest / decisión de liberación.</w:t>
      </w:r>
    </w:p>
    <w:p>
      <w:pPr>
        <w:pStyle w:val="BodyText"/>
      </w:pPr>
      <w:r>
        <w:t xml:space="preserve">QA no debe inventar silenciosamente requisitos para hacer que una prueba pase o falle.</w:t>
      </w:r>
    </w:p>
    <w:bookmarkEnd w:id="23"/>
    <w:bookmarkStart w:id="24" w:name="diseño-de-casos-de-prueba"/>
    <w:p>
      <w:pPr>
        <w:pStyle w:val="Heading2"/>
      </w:pPr>
      <w:r>
        <w:t xml:space="preserve">Diseño de casos de prueba</w:t>
      </w:r>
    </w:p>
    <w:p>
      <w:pPr>
        <w:pStyle w:val="FirstParagraph"/>
      </w:pPr>
      <w:r>
        <w:t xml:space="preserve">Un caso defendible puede incluir:</w:t>
      </w:r>
    </w:p>
    <w:p>
      <w:pPr>
        <w:numPr>
          <w:ilvl w:val="0"/>
          <w:numId w:val="1003"/>
        </w:numPr>
        <w:pStyle w:val="Compact"/>
      </w:pPr>
      <w:r>
        <w:t xml:space="preserve">objetivo;</w:t>
      </w:r>
    </w:p>
    <w:p>
      <w:pPr>
        <w:numPr>
          <w:ilvl w:val="0"/>
          <w:numId w:val="1003"/>
        </w:numPr>
        <w:pStyle w:val="Compact"/>
      </w:pPr>
      <w:r>
        <w:t xml:space="preserve">requisito o riesgo;</w:t>
      </w:r>
    </w:p>
    <w:p>
      <w:pPr>
        <w:numPr>
          <w:ilvl w:val="0"/>
          <w:numId w:val="1003"/>
        </w:numPr>
        <w:pStyle w:val="Compact"/>
      </w:pPr>
      <w:r>
        <w:t xml:space="preserve">precondiciones;</w:t>
      </w:r>
    </w:p>
    <w:p>
      <w:pPr>
        <w:numPr>
          <w:ilvl w:val="0"/>
          <w:numId w:val="1003"/>
        </w:numPr>
        <w:pStyle w:val="Compact"/>
      </w:pPr>
      <w:r>
        <w:t xml:space="preserve">ambiente;</w:t>
      </w:r>
    </w:p>
    <w:p>
      <w:pPr>
        <w:numPr>
          <w:ilvl w:val="0"/>
          <w:numId w:val="1003"/>
        </w:numPr>
        <w:pStyle w:val="Compact"/>
      </w:pPr>
      <w:r>
        <w:t xml:space="preserve">build/versión;</w:t>
      </w:r>
    </w:p>
    <w:p>
      <w:pPr>
        <w:numPr>
          <w:ilvl w:val="0"/>
          <w:numId w:val="1003"/>
        </w:numPr>
        <w:pStyle w:val="Compact"/>
      </w:pPr>
      <w:r>
        <w:t xml:space="preserve">datos de prueba;</w:t>
      </w:r>
    </w:p>
    <w:p>
      <w:pPr>
        <w:numPr>
          <w:ilvl w:val="0"/>
          <w:numId w:val="1003"/>
        </w:numPr>
        <w:pStyle w:val="Compact"/>
      </w:pPr>
      <w:r>
        <w:t xml:space="preserve">pasos;</w:t>
      </w:r>
    </w:p>
    <w:p>
      <w:pPr>
        <w:numPr>
          <w:ilvl w:val="0"/>
          <w:numId w:val="1003"/>
        </w:numPr>
        <w:pStyle w:val="Compact"/>
      </w:pPr>
      <w:r>
        <w:t xml:space="preserve">resultado esperado;</w:t>
      </w:r>
    </w:p>
    <w:p>
      <w:pPr>
        <w:numPr>
          <w:ilvl w:val="0"/>
          <w:numId w:val="1003"/>
        </w:numPr>
        <w:pStyle w:val="Compact"/>
      </w:pPr>
      <w:r>
        <w:t xml:space="preserve">resultado real;</w:t>
      </w:r>
    </w:p>
    <w:p>
      <w:pPr>
        <w:numPr>
          <w:ilvl w:val="0"/>
          <w:numId w:val="1003"/>
        </w:numPr>
        <w:pStyle w:val="Compact"/>
      </w:pPr>
      <w:r>
        <w:t xml:space="preserve">estado aprobado/fallido/bloqueado;</w:t>
      </w:r>
    </w:p>
    <w:p>
      <w:pPr>
        <w:numPr>
          <w:ilvl w:val="0"/>
          <w:numId w:val="1003"/>
        </w:numPr>
        <w:pStyle w:val="Compact"/>
      </w:pPr>
      <w:r>
        <w:t xml:space="preserve">evidencia;</w:t>
      </w:r>
    </w:p>
    <w:p>
      <w:pPr>
        <w:numPr>
          <w:ilvl w:val="0"/>
          <w:numId w:val="1003"/>
        </w:numPr>
        <w:pStyle w:val="Compact"/>
      </w:pPr>
      <w:r>
        <w:t xml:space="preserve">limpieza o restablecimiento;</w:t>
      </w:r>
    </w:p>
    <w:p>
      <w:pPr>
        <w:numPr>
          <w:ilvl w:val="0"/>
          <w:numId w:val="1003"/>
        </w:numPr>
        <w:pStyle w:val="Compact"/>
      </w:pPr>
      <w:r>
        <w:t xml:space="preserve">defecto o requisito relacionado.</w:t>
      </w:r>
    </w:p>
    <w:p>
      <w:pPr>
        <w:pStyle w:val="FirstParagraph"/>
      </w:pPr>
      <w:r>
        <w:t xml:space="preserve">Cuando el requisito es ambiguo o contradictorio, se debe escalar la ambigüedad en lugar de decidir el resultado esperado después de observar el producto.</w:t>
      </w:r>
    </w:p>
    <w:bookmarkEnd w:id="24"/>
    <w:bookmarkStart w:id="25" w:name="reportes-de-defectos-reproducibles"/>
    <w:p>
      <w:pPr>
        <w:pStyle w:val="Heading2"/>
      </w:pPr>
      <w:r>
        <w:t xml:space="preserve">Reportes de defectos reproducibles</w:t>
      </w:r>
    </w:p>
    <w:p>
      <w:pPr>
        <w:pStyle w:val="FirstParagraph"/>
      </w:pPr>
      <w:r>
        <w:t xml:space="preserve">Un reporte útil debe permitir que otra persona reproduzca e investigue el problema. Incluya, cuando corresponda:</w:t>
      </w:r>
    </w:p>
    <w:p>
      <w:pPr>
        <w:numPr>
          <w:ilvl w:val="0"/>
          <w:numId w:val="1004"/>
        </w:numPr>
        <w:pStyle w:val="Compact"/>
      </w:pPr>
      <w:r>
        <w:t xml:space="preserve">título conciso;</w:t>
      </w:r>
    </w:p>
    <w:p>
      <w:pPr>
        <w:numPr>
          <w:ilvl w:val="0"/>
          <w:numId w:val="1004"/>
        </w:numPr>
        <w:pStyle w:val="Compact"/>
      </w:pPr>
      <w:r>
        <w:t xml:space="preserve">ambiente, navegador, dispositivo o plataforma;</w:t>
      </w:r>
    </w:p>
    <w:p>
      <w:pPr>
        <w:numPr>
          <w:ilvl w:val="0"/>
          <w:numId w:val="1004"/>
        </w:numPr>
        <w:pStyle w:val="Compact"/>
      </w:pPr>
      <w:r>
        <w:t xml:space="preserve">build/versión;</w:t>
      </w:r>
    </w:p>
    <w:p>
      <w:pPr>
        <w:numPr>
          <w:ilvl w:val="0"/>
          <w:numId w:val="1004"/>
        </w:numPr>
        <w:pStyle w:val="Compact"/>
      </w:pPr>
      <w:r>
        <w:t xml:space="preserve">precondiciones;</w:t>
      </w:r>
    </w:p>
    <w:p>
      <w:pPr>
        <w:numPr>
          <w:ilvl w:val="0"/>
          <w:numId w:val="1004"/>
        </w:numPr>
        <w:pStyle w:val="Compact"/>
      </w:pPr>
      <w:r>
        <w:t xml:space="preserve">pasos reproducibles;</w:t>
      </w:r>
    </w:p>
    <w:p>
      <w:pPr>
        <w:numPr>
          <w:ilvl w:val="0"/>
          <w:numId w:val="1004"/>
        </w:numPr>
        <w:pStyle w:val="Compact"/>
      </w:pPr>
      <w:r>
        <w:t xml:space="preserve">resultado esperado;</w:t>
      </w:r>
    </w:p>
    <w:p>
      <w:pPr>
        <w:numPr>
          <w:ilvl w:val="0"/>
          <w:numId w:val="1004"/>
        </w:numPr>
        <w:pStyle w:val="Compact"/>
      </w:pPr>
      <w:r>
        <w:t xml:space="preserve">resultado real;</w:t>
      </w:r>
    </w:p>
    <w:p>
      <w:pPr>
        <w:numPr>
          <w:ilvl w:val="0"/>
          <w:numId w:val="1004"/>
        </w:numPr>
        <w:pStyle w:val="Compact"/>
      </w:pPr>
      <w:r>
        <w:t xml:space="preserve">frecuencia;</w:t>
      </w:r>
    </w:p>
    <w:p>
      <w:pPr>
        <w:numPr>
          <w:ilvl w:val="0"/>
          <w:numId w:val="1004"/>
        </w:numPr>
        <w:pStyle w:val="Compact"/>
      </w:pPr>
      <w:r>
        <w:t xml:space="preserve">capturas, logs o video seguros;</w:t>
      </w:r>
    </w:p>
    <w:p>
      <w:pPr>
        <w:numPr>
          <w:ilvl w:val="0"/>
          <w:numId w:val="1004"/>
        </w:numPr>
        <w:pStyle w:val="Compact"/>
      </w:pPr>
      <w:r>
        <w:t xml:space="preserve">severidad/impacto;</w:t>
      </w:r>
    </w:p>
    <w:p>
      <w:pPr>
        <w:numPr>
          <w:ilvl w:val="0"/>
          <w:numId w:val="1004"/>
        </w:numPr>
        <w:pStyle w:val="Compact"/>
      </w:pPr>
      <w:r>
        <w:t xml:space="preserve">requisito o prueba relacionada;</w:t>
      </w:r>
    </w:p>
    <w:p>
      <w:pPr>
        <w:numPr>
          <w:ilvl w:val="0"/>
          <w:numId w:val="1004"/>
        </w:numPr>
        <w:pStyle w:val="Compact"/>
      </w:pPr>
      <w:r>
        <w:t xml:space="preserve">identificador de datos sin exponer información protegida.</w:t>
      </w:r>
    </w:p>
    <w:p>
      <w:pPr>
        <w:pStyle w:val="FirstParagraph"/>
      </w:pPr>
      <w:r>
        <w:t xml:space="preserve">Describa lo observado. No culpe a un desarrollador ni afirme una causa raíz no demostrada.</w:t>
      </w:r>
    </w:p>
    <w:bookmarkEnd w:id="25"/>
    <w:bookmarkStart w:id="26" w:name="severidad-frente-a-prioridad"/>
    <w:p>
      <w:pPr>
        <w:pStyle w:val="Heading2"/>
      </w:pPr>
      <w:r>
        <w:t xml:space="preserve">Severidad frente a prioridad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Severidad</w:t>
      </w:r>
      <w:r>
        <w:t xml:space="preserve">: impacto del defecto en usuarios, sistema, datos, seguridad o negocio.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Prioridad</w:t>
      </w:r>
      <w:r>
        <w:t xml:space="preserve">: urgencia u orden en que la organización decide atenderlo.</w:t>
      </w:r>
    </w:p>
    <w:p>
      <w:pPr>
        <w:pStyle w:val="FirstParagraph"/>
      </w:pPr>
      <w:r>
        <w:t xml:space="preserve">Los equipos usan escalas distintas. Siga las definiciones y reglas de escalamiento del empleador.</w:t>
      </w:r>
    </w:p>
    <w:bookmarkEnd w:id="26"/>
    <w:bookmarkStart w:id="27" w:name="niveles-y-tipos-de-prueba"/>
    <w:p>
      <w:pPr>
        <w:pStyle w:val="Heading2"/>
      </w:pPr>
      <w:r>
        <w:t xml:space="preserve">Niveles y tipos de prueba</w:t>
      </w:r>
    </w:p>
    <w:p>
      <w:pPr>
        <w:pStyle w:val="FirstParagraph"/>
      </w:pPr>
      <w:r>
        <w:t xml:space="preserve">Pueden incluir:</w:t>
      </w:r>
    </w:p>
    <w:p>
      <w:pPr>
        <w:numPr>
          <w:ilvl w:val="0"/>
          <w:numId w:val="1006"/>
        </w:numPr>
        <w:pStyle w:val="Compact"/>
      </w:pPr>
      <w:r>
        <w:t xml:space="preserve">unitarias;</w:t>
      </w:r>
    </w:p>
    <w:p>
      <w:pPr>
        <w:numPr>
          <w:ilvl w:val="0"/>
          <w:numId w:val="1006"/>
        </w:numPr>
        <w:pStyle w:val="Compact"/>
      </w:pPr>
      <w:r>
        <w:t xml:space="preserve">integración;</w:t>
      </w:r>
    </w:p>
    <w:p>
      <w:pPr>
        <w:numPr>
          <w:ilvl w:val="0"/>
          <w:numId w:val="1006"/>
        </w:numPr>
        <w:pStyle w:val="Compact"/>
      </w:pPr>
      <w:r>
        <w:t xml:space="preserve">sistema;</w:t>
      </w:r>
    </w:p>
    <w:p>
      <w:pPr>
        <w:numPr>
          <w:ilvl w:val="0"/>
          <w:numId w:val="1006"/>
        </w:numPr>
        <w:pStyle w:val="Compact"/>
      </w:pPr>
      <w:r>
        <w:t xml:space="preserve">end-to-end;</w:t>
      </w:r>
    </w:p>
    <w:p>
      <w:pPr>
        <w:numPr>
          <w:ilvl w:val="0"/>
          <w:numId w:val="1006"/>
        </w:numPr>
        <w:pStyle w:val="Compact"/>
      </w:pPr>
      <w:r>
        <w:t xml:space="preserve">aceptación;</w:t>
      </w:r>
    </w:p>
    <w:p>
      <w:pPr>
        <w:numPr>
          <w:ilvl w:val="0"/>
          <w:numId w:val="1006"/>
        </w:numPr>
        <w:pStyle w:val="Compact"/>
      </w:pPr>
      <w:r>
        <w:t xml:space="preserve">funcionales;</w:t>
      </w:r>
    </w:p>
    <w:p>
      <w:pPr>
        <w:numPr>
          <w:ilvl w:val="0"/>
          <w:numId w:val="1006"/>
        </w:numPr>
        <w:pStyle w:val="Compact"/>
      </w:pPr>
      <w:r>
        <w:t xml:space="preserve">regresión;</w:t>
      </w:r>
    </w:p>
    <w:p>
      <w:pPr>
        <w:numPr>
          <w:ilvl w:val="0"/>
          <w:numId w:val="1006"/>
        </w:numPr>
        <w:pStyle w:val="Compact"/>
      </w:pPr>
      <w:r>
        <w:t xml:space="preserve">negativas/error;</w:t>
      </w:r>
    </w:p>
    <w:p>
      <w:pPr>
        <w:numPr>
          <w:ilvl w:val="0"/>
          <w:numId w:val="1006"/>
        </w:numPr>
        <w:pStyle w:val="Compact"/>
      </w:pPr>
      <w:r>
        <w:t xml:space="preserve">valores límite;</w:t>
      </w:r>
    </w:p>
    <w:p>
      <w:pPr>
        <w:numPr>
          <w:ilvl w:val="0"/>
          <w:numId w:val="1006"/>
        </w:numPr>
        <w:pStyle w:val="Compact"/>
      </w:pPr>
      <w:r>
        <w:t xml:space="preserve">compatibilidad;</w:t>
      </w:r>
    </w:p>
    <w:p>
      <w:pPr>
        <w:numPr>
          <w:ilvl w:val="0"/>
          <w:numId w:val="1006"/>
        </w:numPr>
        <w:pStyle w:val="Compact"/>
      </w:pPr>
      <w:r>
        <w:t xml:space="preserve">API;</w:t>
      </w:r>
    </w:p>
    <w:p>
      <w:pPr>
        <w:numPr>
          <w:ilvl w:val="0"/>
          <w:numId w:val="1006"/>
        </w:numPr>
        <w:pStyle w:val="Compact"/>
      </w:pPr>
      <w:r>
        <w:t xml:space="preserve">validación de datos;</w:t>
      </w:r>
    </w:p>
    <w:p>
      <w:pPr>
        <w:numPr>
          <w:ilvl w:val="0"/>
          <w:numId w:val="1006"/>
        </w:numPr>
        <w:pStyle w:val="Compact"/>
      </w:pPr>
      <w:r>
        <w:t xml:space="preserve">usabilidad;</w:t>
      </w:r>
    </w:p>
    <w:p>
      <w:pPr>
        <w:numPr>
          <w:ilvl w:val="0"/>
          <w:numId w:val="1006"/>
        </w:numPr>
        <w:pStyle w:val="Compact"/>
      </w:pPr>
      <w:r>
        <w:t xml:space="preserve">accesibilidad;</w:t>
      </w:r>
    </w:p>
    <w:p>
      <w:pPr>
        <w:numPr>
          <w:ilvl w:val="0"/>
          <w:numId w:val="1006"/>
        </w:numPr>
        <w:pStyle w:val="Compact"/>
      </w:pPr>
      <w:r>
        <w:t xml:space="preserve">rendimiento/carga/estrés;</w:t>
      </w:r>
    </w:p>
    <w:p>
      <w:pPr>
        <w:numPr>
          <w:ilvl w:val="0"/>
          <w:numId w:val="1006"/>
        </w:numPr>
        <w:pStyle w:val="Compact"/>
      </w:pPr>
      <w:r>
        <w:t xml:space="preserve">recuperación/resiliencia;</w:t>
      </w:r>
    </w:p>
    <w:p>
      <w:pPr>
        <w:numPr>
          <w:ilvl w:val="0"/>
          <w:numId w:val="1006"/>
        </w:numPr>
        <w:pStyle w:val="Compact"/>
      </w:pPr>
      <w:r>
        <w:t xml:space="preserve">seguridad únicamente con autorización explícita.</w:t>
      </w:r>
    </w:p>
    <w:p>
      <w:pPr>
        <w:pStyle w:val="FirstParagraph"/>
      </w:pPr>
      <w:r>
        <w:t xml:space="preserve">Una sola persona no necesariamente realiza todos estos tipos. QA tampoco posee automáticamente la decisión final de liberación.</w:t>
      </w:r>
    </w:p>
    <w:bookmarkEnd w:id="27"/>
    <w:bookmarkStart w:id="28" w:name="pruebas-exploratorias-y-guionadas"/>
    <w:p>
      <w:pPr>
        <w:pStyle w:val="Heading2"/>
      </w:pPr>
      <w:r>
        <w:t xml:space="preserve">Pruebas exploratorias y guionadas</w:t>
      </w:r>
    </w:p>
    <w:p>
      <w:pPr>
        <w:pStyle w:val="FirstParagraph"/>
      </w:pPr>
      <w:r>
        <w:t xml:space="preserve">Las pruebas guionadas aportan repetibilidad y trazabilidad. Las exploratorias utilizan juicio para investigar comportamientos y combinaciones inesperadas. Son complementarias.</w:t>
      </w:r>
    </w:p>
    <w:p>
      <w:pPr>
        <w:pStyle w:val="BodyText"/>
      </w:pPr>
      <w:r>
        <w:t xml:space="preserve">Las pruebas exploratorias también deben respetar alcance, ambiente, datos, autorización y documentación básica de lo realizado.</w:t>
      </w:r>
    </w:p>
    <w:bookmarkEnd w:id="28"/>
    <w:bookmarkStart w:id="29" w:name="datos-de-prueba"/>
    <w:p>
      <w:pPr>
        <w:pStyle w:val="Heading2"/>
      </w:pPr>
      <w:r>
        <w:t xml:space="preserve">Datos de prueba</w:t>
      </w:r>
    </w:p>
    <w:p>
      <w:pPr>
        <w:pStyle w:val="FirstParagraph"/>
      </w:pPr>
      <w:r>
        <w:t xml:space="preserve">Prefiera:</w:t>
      </w:r>
    </w:p>
    <w:p>
      <w:pPr>
        <w:numPr>
          <w:ilvl w:val="0"/>
          <w:numId w:val="1007"/>
        </w:numPr>
        <w:pStyle w:val="Compact"/>
      </w:pPr>
      <w:r>
        <w:t xml:space="preserve">datos sintéticos;</w:t>
      </w:r>
    </w:p>
    <w:p>
      <w:pPr>
        <w:numPr>
          <w:ilvl w:val="0"/>
          <w:numId w:val="1007"/>
        </w:numPr>
        <w:pStyle w:val="Compact"/>
      </w:pPr>
      <w:r>
        <w:t xml:space="preserve">datos enmascarados aprobados;</w:t>
      </w:r>
    </w:p>
    <w:p>
      <w:pPr>
        <w:numPr>
          <w:ilvl w:val="0"/>
          <w:numId w:val="1007"/>
        </w:numPr>
        <w:pStyle w:val="Compact"/>
      </w:pPr>
      <w:r>
        <w:t xml:space="preserve">cuentas de prueba diseñadas para ese fin;</w:t>
      </w:r>
    </w:p>
    <w:p>
      <w:pPr>
        <w:numPr>
          <w:ilvl w:val="0"/>
          <w:numId w:val="1007"/>
        </w:numPr>
        <w:pStyle w:val="Compact"/>
      </w:pPr>
      <w:r>
        <w:t xml:space="preserve">conjuntos controlados con resultados conocidos.</w:t>
      </w:r>
    </w:p>
    <w:p>
      <w:pPr>
        <w:pStyle w:val="FirstParagraph"/>
      </w:pPr>
      <w:r>
        <w:t xml:space="preserve">No copie casualmente datos de producción a ambientes de prueba. Proteja credenciales, tokens y llaves. No adjunte datos protegidos a tickets si no es necesario y autorizado. Sanitice logs, capturas y videos cuando corresponda.</w:t>
      </w:r>
    </w:p>
    <w:bookmarkEnd w:id="29"/>
    <w:bookmarkStart w:id="30" w:name="ambientes-y-configuración"/>
    <w:p>
      <w:pPr>
        <w:pStyle w:val="Heading2"/>
      </w:pPr>
      <w:r>
        <w:t xml:space="preserve">Ambientes y configuración</w:t>
      </w:r>
    </w:p>
    <w:p>
      <w:pPr>
        <w:pStyle w:val="FirstParagraph"/>
      </w:pPr>
      <w:r>
        <w:t xml:space="preserve">Registre información importante como:</w:t>
      </w:r>
    </w:p>
    <w:p>
      <w:pPr>
        <w:numPr>
          <w:ilvl w:val="0"/>
          <w:numId w:val="1008"/>
        </w:numPr>
        <w:pStyle w:val="Compact"/>
      </w:pPr>
      <w:r>
        <w:t xml:space="preserve">versión/build;</w:t>
      </w:r>
    </w:p>
    <w:p>
      <w:pPr>
        <w:numPr>
          <w:ilvl w:val="0"/>
          <w:numId w:val="1008"/>
        </w:numPr>
        <w:pStyle w:val="Compact"/>
      </w:pPr>
      <w:r>
        <w:t xml:space="preserve">sistema operativo;</w:t>
      </w:r>
    </w:p>
    <w:p>
      <w:pPr>
        <w:numPr>
          <w:ilvl w:val="0"/>
          <w:numId w:val="1008"/>
        </w:numPr>
        <w:pStyle w:val="Compact"/>
      </w:pPr>
      <w:r>
        <w:t xml:space="preserve">navegador/dispositivo;</w:t>
      </w:r>
    </w:p>
    <w:p>
      <w:pPr>
        <w:numPr>
          <w:ilvl w:val="0"/>
          <w:numId w:val="1008"/>
        </w:numPr>
        <w:pStyle w:val="Compact"/>
      </w:pPr>
      <w:r>
        <w:t xml:space="preserve">versión de API o servicio;</w:t>
      </w:r>
    </w:p>
    <w:p>
      <w:pPr>
        <w:numPr>
          <w:ilvl w:val="0"/>
          <w:numId w:val="1008"/>
        </w:numPr>
        <w:pStyle w:val="Compact"/>
      </w:pPr>
      <w:r>
        <w:t xml:space="preserve">feature flags;</w:t>
      </w:r>
    </w:p>
    <w:p>
      <w:pPr>
        <w:numPr>
          <w:ilvl w:val="0"/>
          <w:numId w:val="1008"/>
        </w:numPr>
        <w:pStyle w:val="Compact"/>
      </w:pPr>
      <w:r>
        <w:t xml:space="preserve">estado de base de datos;</w:t>
      </w:r>
    </w:p>
    <w:p>
      <w:pPr>
        <w:numPr>
          <w:ilvl w:val="0"/>
          <w:numId w:val="1008"/>
        </w:numPr>
        <w:pStyle w:val="Compact"/>
      </w:pPr>
      <w:r>
        <w:t xml:space="preserve">rol de la cuenta;</w:t>
      </w:r>
    </w:p>
    <w:p>
      <w:pPr>
        <w:numPr>
          <w:ilvl w:val="0"/>
          <w:numId w:val="1008"/>
        </w:numPr>
        <w:pStyle w:val="Compact"/>
      </w:pPr>
      <w:r>
        <w:t xml:space="preserve">dependencias;</w:t>
      </w:r>
    </w:p>
    <w:p>
      <w:pPr>
        <w:numPr>
          <w:ilvl w:val="0"/>
          <w:numId w:val="1008"/>
        </w:numPr>
        <w:pStyle w:val="Compact"/>
      </w:pPr>
      <w:r>
        <w:t xml:space="preserve">configuración específica del ambiente.</w:t>
      </w:r>
    </w:p>
    <w:p>
      <w:pPr>
        <w:pStyle w:val="FirstParagraph"/>
      </w:pPr>
      <w:r>
        <w:t xml:space="preserve">No declare una corrección final hasta probar la versión y ambiente relevantes.</w:t>
      </w:r>
    </w:p>
    <w:bookmarkEnd w:id="30"/>
    <w:bookmarkStart w:id="31" w:name="regresión"/>
    <w:p>
      <w:pPr>
        <w:pStyle w:val="Heading2"/>
      </w:pPr>
      <w:r>
        <w:t xml:space="preserve">Regresión</w:t>
      </w:r>
    </w:p>
    <w:p>
      <w:pPr>
        <w:pStyle w:val="FirstParagraph"/>
      </w:pPr>
      <w:r>
        <w:t xml:space="preserve">La regresión verifica si un cambio dañó funciones previamente operativas. Priorice según:</w:t>
      </w:r>
    </w:p>
    <w:p>
      <w:pPr>
        <w:numPr>
          <w:ilvl w:val="0"/>
          <w:numId w:val="1009"/>
        </w:numPr>
        <w:pStyle w:val="Compact"/>
      </w:pPr>
      <w:r>
        <w:t xml:space="preserve">componentes modificados;</w:t>
      </w:r>
    </w:p>
    <w:p>
      <w:pPr>
        <w:numPr>
          <w:ilvl w:val="0"/>
          <w:numId w:val="1009"/>
        </w:numPr>
        <w:pStyle w:val="Compact"/>
      </w:pPr>
      <w:r>
        <w:t xml:space="preserve">dependencias;</w:t>
      </w:r>
    </w:p>
    <w:p>
      <w:pPr>
        <w:numPr>
          <w:ilvl w:val="0"/>
          <w:numId w:val="1009"/>
        </w:numPr>
        <w:pStyle w:val="Compact"/>
      </w:pPr>
      <w:r>
        <w:t xml:space="preserve">flujos críticos;</w:t>
      </w:r>
    </w:p>
    <w:p>
      <w:pPr>
        <w:numPr>
          <w:ilvl w:val="0"/>
          <w:numId w:val="1009"/>
        </w:numPr>
        <w:pStyle w:val="Compact"/>
      </w:pPr>
      <w:r>
        <w:t xml:space="preserve">historial de defectos;</w:t>
      </w:r>
    </w:p>
    <w:p>
      <w:pPr>
        <w:numPr>
          <w:ilvl w:val="0"/>
          <w:numId w:val="1009"/>
        </w:numPr>
        <w:pStyle w:val="Compact"/>
      </w:pPr>
      <w:r>
        <w:t xml:space="preserve">impacto de negocio;</w:t>
      </w:r>
    </w:p>
    <w:p>
      <w:pPr>
        <w:numPr>
          <w:ilvl w:val="0"/>
          <w:numId w:val="1009"/>
        </w:numPr>
        <w:pStyle w:val="Compact"/>
      </w:pPr>
      <w:r>
        <w:t xml:space="preserve">privacidad/seguridad;</w:t>
      </w:r>
    </w:p>
    <w:p>
      <w:pPr>
        <w:numPr>
          <w:ilvl w:val="0"/>
          <w:numId w:val="1009"/>
        </w:numPr>
        <w:pStyle w:val="Compact"/>
      </w:pPr>
      <w:r>
        <w:t xml:space="preserve">integraciones;</w:t>
      </w:r>
    </w:p>
    <w:p>
      <w:pPr>
        <w:numPr>
          <w:ilvl w:val="0"/>
          <w:numId w:val="1009"/>
        </w:numPr>
        <w:pStyle w:val="Compact"/>
      </w:pPr>
      <w:r>
        <w:t xml:space="preserve">tiempo disponible;</w:t>
      </w:r>
    </w:p>
    <w:p>
      <w:pPr>
        <w:numPr>
          <w:ilvl w:val="0"/>
          <w:numId w:val="1009"/>
        </w:numPr>
        <w:pStyle w:val="Compact"/>
      </w:pPr>
      <w:r>
        <w:t xml:space="preserve">confiabilidad de automatización.</w:t>
      </w:r>
    </w:p>
    <w:p>
      <w:pPr>
        <w:pStyle w:val="FirstParagraph"/>
      </w:pPr>
      <w:r>
        <w:t xml:space="preserve">Una suite enorme que nadie confía no es automáticamente mejor que una suite más pequeña y basada en riesgo.</w:t>
      </w:r>
    </w:p>
    <w:bookmarkEnd w:id="31"/>
    <w:bookmarkStart w:id="32" w:name="automatización-de-pruebas"/>
    <w:p>
      <w:pPr>
        <w:pStyle w:val="Heading2"/>
      </w:pPr>
      <w:r>
        <w:t xml:space="preserve">Automatización de pruebas</w:t>
      </w:r>
    </w:p>
    <w:p>
      <w:pPr>
        <w:pStyle w:val="FirstParagraph"/>
      </w:pPr>
      <w:r>
        <w:t xml:space="preserve">Las señales de ofertas de empleo de O*NET incluyen</w:t>
      </w:r>
      <w:r>
        <w:t xml:space="preserve"> </w:t>
      </w:r>
      <w:r>
        <w:rPr>
          <w:bCs/>
          <w:b/>
        </w:rPr>
        <w:t xml:space="preserve">Python, Selenium, Atlassian JIRA, SQL, Java, Jenkins CI, JavaScript, Postman, AWS, Git, Linux, Microsoft Azure, Apache JMeter, C#, GitHub, C++, Microsoft Playwright, Azure DevOps Services, TestNG, RESTful API, Appium y REST Assured</w:t>
      </w:r>
      <w:r>
        <w:t xml:space="preserve">.</w:t>
      </w:r>
    </w:p>
    <w:p>
      <w:pPr>
        <w:pStyle w:val="BodyText"/>
      </w:pPr>
      <w:r>
        <w:t xml:space="preserve">La automatización requiere:</w:t>
      </w:r>
    </w:p>
    <w:p>
      <w:pPr>
        <w:numPr>
          <w:ilvl w:val="0"/>
          <w:numId w:val="1010"/>
        </w:numPr>
        <w:pStyle w:val="Compact"/>
      </w:pPr>
      <w:r>
        <w:t xml:space="preserve">código mantenible;</w:t>
      </w:r>
    </w:p>
    <w:p>
      <w:pPr>
        <w:numPr>
          <w:ilvl w:val="0"/>
          <w:numId w:val="1010"/>
        </w:numPr>
        <w:pStyle w:val="Compact"/>
      </w:pPr>
      <w:r>
        <w:t xml:space="preserve">selectores o interfaces estables;</w:t>
      </w:r>
    </w:p>
    <w:p>
      <w:pPr>
        <w:numPr>
          <w:ilvl w:val="0"/>
          <w:numId w:val="1010"/>
        </w:numPr>
        <w:pStyle w:val="Compact"/>
      </w:pPr>
      <w:r>
        <w:t xml:space="preserve">aserciones significativas;</w:t>
      </w:r>
    </w:p>
    <w:p>
      <w:pPr>
        <w:numPr>
          <w:ilvl w:val="0"/>
          <w:numId w:val="1010"/>
        </w:numPr>
        <w:pStyle w:val="Compact"/>
      </w:pPr>
      <w:r>
        <w:t xml:space="preserve">control de versiones;</w:t>
      </w:r>
    </w:p>
    <w:p>
      <w:pPr>
        <w:numPr>
          <w:ilvl w:val="0"/>
          <w:numId w:val="1010"/>
        </w:numPr>
        <w:pStyle w:val="Compact"/>
      </w:pPr>
      <w:r>
        <w:t xml:space="preserve">revisión donde aplique;</w:t>
      </w:r>
    </w:p>
    <w:p>
      <w:pPr>
        <w:numPr>
          <w:ilvl w:val="0"/>
          <w:numId w:val="1010"/>
        </w:numPr>
        <w:pStyle w:val="Compact"/>
      </w:pPr>
      <w:r>
        <w:t xml:space="preserve">datos controlados;</w:t>
      </w:r>
    </w:p>
    <w:p>
      <w:pPr>
        <w:numPr>
          <w:ilvl w:val="0"/>
          <w:numId w:val="1010"/>
        </w:numPr>
        <w:pStyle w:val="Compact"/>
      </w:pPr>
      <w:r>
        <w:t xml:space="preserve">diagnóstico de fallas;</w:t>
      </w:r>
    </w:p>
    <w:p>
      <w:pPr>
        <w:numPr>
          <w:ilvl w:val="0"/>
          <w:numId w:val="1010"/>
        </w:numPr>
        <w:pStyle w:val="Compact"/>
      </w:pPr>
      <w:r>
        <w:t xml:space="preserve">manejo de pruebas flaky;</w:t>
      </w:r>
    </w:p>
    <w:p>
      <w:pPr>
        <w:numPr>
          <w:ilvl w:val="0"/>
          <w:numId w:val="1010"/>
        </w:numPr>
        <w:pStyle w:val="Compact"/>
      </w:pPr>
      <w:r>
        <w:t xml:space="preserve">mantenimiento cuando cambia el producto.</w:t>
      </w:r>
    </w:p>
    <w:p>
      <w:pPr>
        <w:pStyle w:val="FirstParagraph"/>
      </w:pPr>
      <w:r>
        <w:t xml:space="preserve">Que una suite automatizada pase no demuestra que el producto esté libre de defectos.</w:t>
      </w:r>
    </w:p>
    <w:bookmarkEnd w:id="32"/>
    <w:bookmarkStart w:id="33" w:name="pruebas-flaky"/>
    <w:p>
      <w:pPr>
        <w:pStyle w:val="Heading2"/>
      </w:pPr>
      <w:r>
        <w:t xml:space="preserve">Pruebas flaky</w:t>
      </w:r>
    </w:p>
    <w:p>
      <w:pPr>
        <w:pStyle w:val="FirstParagraph"/>
      </w:pPr>
      <w:r>
        <w:t xml:space="preserve">Una prueba flaky produce resultados inconsistentes sin un cambio significativo del producto. Causas comunes:</w:t>
      </w:r>
    </w:p>
    <w:p>
      <w:pPr>
        <w:numPr>
          <w:ilvl w:val="0"/>
          <w:numId w:val="1011"/>
        </w:numPr>
        <w:pStyle w:val="Compact"/>
      </w:pPr>
      <w:r>
        <w:t xml:space="preserve">tiempos rígidos;</w:t>
      </w:r>
    </w:p>
    <w:p>
      <w:pPr>
        <w:numPr>
          <w:ilvl w:val="0"/>
          <w:numId w:val="1011"/>
        </w:numPr>
        <w:pStyle w:val="Compact"/>
      </w:pPr>
      <w:r>
        <w:t xml:space="preserve">estado compartido;</w:t>
      </w:r>
    </w:p>
    <w:p>
      <w:pPr>
        <w:numPr>
          <w:ilvl w:val="0"/>
          <w:numId w:val="1011"/>
        </w:numPr>
        <w:pStyle w:val="Compact"/>
      </w:pPr>
      <w:r>
        <w:t xml:space="preserve">datos inestables;</w:t>
      </w:r>
    </w:p>
    <w:p>
      <w:pPr>
        <w:numPr>
          <w:ilvl w:val="0"/>
          <w:numId w:val="1011"/>
        </w:numPr>
        <w:pStyle w:val="Compact"/>
      </w:pPr>
      <w:r>
        <w:t xml:space="preserve">dependencias no confiables;</w:t>
      </w:r>
    </w:p>
    <w:p>
      <w:pPr>
        <w:numPr>
          <w:ilvl w:val="0"/>
          <w:numId w:val="1011"/>
        </w:numPr>
        <w:pStyle w:val="Compact"/>
      </w:pPr>
      <w:r>
        <w:t xml:space="preserve">race conditions;</w:t>
      </w:r>
    </w:p>
    <w:p>
      <w:pPr>
        <w:numPr>
          <w:ilvl w:val="0"/>
          <w:numId w:val="1011"/>
        </w:numPr>
        <w:pStyle w:val="Compact"/>
      </w:pPr>
      <w:r>
        <w:t xml:space="preserve">selectores frágiles;</w:t>
      </w:r>
    </w:p>
    <w:p>
      <w:pPr>
        <w:numPr>
          <w:ilvl w:val="0"/>
          <w:numId w:val="1011"/>
        </w:numPr>
        <w:pStyle w:val="Compact"/>
      </w:pPr>
      <w:r>
        <w:t xml:space="preserve">capacidad del ambiente;</w:t>
      </w:r>
    </w:p>
    <w:p>
      <w:pPr>
        <w:numPr>
          <w:ilvl w:val="0"/>
          <w:numId w:val="1011"/>
        </w:numPr>
        <w:pStyle w:val="Compact"/>
      </w:pPr>
      <w:r>
        <w:t xml:space="preserve">red inestable.</w:t>
      </w:r>
    </w:p>
    <w:p>
      <w:pPr>
        <w:pStyle w:val="FirstParagraph"/>
      </w:pPr>
      <w:r>
        <w:t xml:space="preserve">No normalice la inestabilidad sin explicación. Regístrela, investigue y repare, ponga en cuarentena o sustituya la prueba según la política del equipo.</w:t>
      </w:r>
    </w:p>
    <w:bookmarkEnd w:id="33"/>
    <w:bookmarkStart w:id="34" w:name="pruebas-de-api"/>
    <w:p>
      <w:pPr>
        <w:pStyle w:val="Heading2"/>
      </w:pPr>
      <w:r>
        <w:t xml:space="preserve">Pruebas de API</w:t>
      </w:r>
    </w:p>
    <w:p>
      <w:pPr>
        <w:pStyle w:val="FirstParagraph"/>
      </w:pPr>
      <w:r>
        <w:t xml:space="preserve">Pueden verificar:</w:t>
      </w:r>
    </w:p>
    <w:p>
      <w:pPr>
        <w:numPr>
          <w:ilvl w:val="0"/>
          <w:numId w:val="1012"/>
        </w:numPr>
        <w:pStyle w:val="Compact"/>
      </w:pPr>
      <w:r>
        <w:t xml:space="preserve">códigos de estado;</w:t>
      </w:r>
    </w:p>
    <w:p>
      <w:pPr>
        <w:numPr>
          <w:ilvl w:val="0"/>
          <w:numId w:val="1012"/>
        </w:numPr>
        <w:pStyle w:val="Compact"/>
      </w:pPr>
      <w:r>
        <w:t xml:space="preserve">esquemas;</w:t>
      </w:r>
    </w:p>
    <w:p>
      <w:pPr>
        <w:numPr>
          <w:ilvl w:val="0"/>
          <w:numId w:val="1012"/>
        </w:numPr>
        <w:pStyle w:val="Compact"/>
      </w:pPr>
      <w:r>
        <w:t xml:space="preserve">campos obligatorios;</w:t>
      </w:r>
    </w:p>
    <w:p>
      <w:pPr>
        <w:numPr>
          <w:ilvl w:val="0"/>
          <w:numId w:val="1012"/>
        </w:numPr>
        <w:pStyle w:val="Compact"/>
      </w:pPr>
      <w:r>
        <w:t xml:space="preserve">autorización;</w:t>
      </w:r>
    </w:p>
    <w:p>
      <w:pPr>
        <w:numPr>
          <w:ilvl w:val="0"/>
          <w:numId w:val="1012"/>
        </w:numPr>
        <w:pStyle w:val="Compact"/>
      </w:pPr>
      <w:r>
        <w:t xml:space="preserve">validaciones;</w:t>
      </w:r>
    </w:p>
    <w:p>
      <w:pPr>
        <w:numPr>
          <w:ilvl w:val="0"/>
          <w:numId w:val="1012"/>
        </w:numPr>
        <w:pStyle w:val="Compact"/>
      </w:pPr>
      <w:r>
        <w:t xml:space="preserve">reglas de negocio;</w:t>
      </w:r>
    </w:p>
    <w:p>
      <w:pPr>
        <w:numPr>
          <w:ilvl w:val="0"/>
          <w:numId w:val="1012"/>
        </w:numPr>
        <w:pStyle w:val="Compact"/>
      </w:pPr>
      <w:r>
        <w:t xml:space="preserve">paginación;</w:t>
      </w:r>
    </w:p>
    <w:p>
      <w:pPr>
        <w:numPr>
          <w:ilvl w:val="0"/>
          <w:numId w:val="1012"/>
        </w:numPr>
        <w:pStyle w:val="Compact"/>
      </w:pPr>
      <w:r>
        <w:t xml:space="preserve">casos límite;</w:t>
      </w:r>
    </w:p>
    <w:p>
      <w:pPr>
        <w:numPr>
          <w:ilvl w:val="0"/>
          <w:numId w:val="1012"/>
        </w:numPr>
        <w:pStyle w:val="Compact"/>
      </w:pPr>
      <w:r>
        <w:t xml:space="preserve">manejo de errores;</w:t>
      </w:r>
    </w:p>
    <w:p>
      <w:pPr>
        <w:numPr>
          <w:ilvl w:val="0"/>
          <w:numId w:val="1012"/>
        </w:numPr>
        <w:pStyle w:val="Compact"/>
      </w:pPr>
      <w:r>
        <w:t xml:space="preserve">rendimiento bajo condiciones aprobadas.</w:t>
      </w:r>
    </w:p>
    <w:p>
      <w:pPr>
        <w:pStyle w:val="FirstParagraph"/>
      </w:pPr>
      <w:r>
        <w:t xml:space="preserve">La herramienta no define por sí sola el comportamiento correcto.</w:t>
      </w:r>
    </w:p>
    <w:bookmarkEnd w:id="34"/>
    <w:bookmarkStart w:id="35" w:name="base-de-datos-y-validación-de-datos"/>
    <w:p>
      <w:pPr>
        <w:pStyle w:val="Heading2"/>
      </w:pPr>
      <w:r>
        <w:t xml:space="preserve">Base de datos y validación de datos</w:t>
      </w:r>
    </w:p>
    <w:p>
      <w:pPr>
        <w:pStyle w:val="FirstParagraph"/>
      </w:pPr>
      <w:r>
        <w:t xml:space="preserve">QA puede verificar que:</w:t>
      </w:r>
    </w:p>
    <w:p>
      <w:pPr>
        <w:numPr>
          <w:ilvl w:val="0"/>
          <w:numId w:val="1013"/>
        </w:numPr>
        <w:pStyle w:val="Compact"/>
      </w:pPr>
      <w:r>
        <w:t xml:space="preserve">las transacciones creen los registros esperados;</w:t>
      </w:r>
    </w:p>
    <w:p>
      <w:pPr>
        <w:numPr>
          <w:ilvl w:val="0"/>
          <w:numId w:val="1013"/>
        </w:numPr>
        <w:pStyle w:val="Compact"/>
      </w:pPr>
      <w:r>
        <w:t xml:space="preserve">los cambios afecten las filas correctas;</w:t>
      </w:r>
    </w:p>
    <w:p>
      <w:pPr>
        <w:numPr>
          <w:ilvl w:val="0"/>
          <w:numId w:val="1013"/>
        </w:numPr>
        <w:pStyle w:val="Compact"/>
      </w:pPr>
      <w:r>
        <w:t xml:space="preserve">tipos y restricciones funcionen;</w:t>
      </w:r>
    </w:p>
    <w:p>
      <w:pPr>
        <w:numPr>
          <w:ilvl w:val="0"/>
          <w:numId w:val="1013"/>
        </w:numPr>
        <w:pStyle w:val="Compact"/>
      </w:pPr>
      <w:r>
        <w:t xml:space="preserve">cálculos concilien;</w:t>
      </w:r>
    </w:p>
    <w:p>
      <w:pPr>
        <w:numPr>
          <w:ilvl w:val="0"/>
          <w:numId w:val="1013"/>
        </w:numPr>
        <w:pStyle w:val="Compact"/>
      </w:pPr>
      <w:r>
        <w:t xml:space="preserve">migraciones preserven datos requeridos;</w:t>
      </w:r>
    </w:p>
    <w:p>
      <w:pPr>
        <w:numPr>
          <w:ilvl w:val="0"/>
          <w:numId w:val="1013"/>
        </w:numPr>
        <w:pStyle w:val="Compact"/>
      </w:pPr>
      <w:r>
        <w:t xml:space="preserve">duplicados se manejen según la regla;</w:t>
      </w:r>
    </w:p>
    <w:p>
      <w:pPr>
        <w:numPr>
          <w:ilvl w:val="0"/>
          <w:numId w:val="1013"/>
        </w:numPr>
        <w:pStyle w:val="Compact"/>
      </w:pPr>
      <w:r>
        <w:t xml:space="preserve">se creen registros de auditoría cuando corresponda.</w:t>
      </w:r>
    </w:p>
    <w:p>
      <w:pPr>
        <w:pStyle w:val="FirstParagraph"/>
      </w:pPr>
      <w:r>
        <w:t xml:space="preserve">Use acceso de lectura/escritura únicamente dentro de su autorización.</w:t>
      </w:r>
    </w:p>
    <w:bookmarkEnd w:id="35"/>
    <w:bookmarkStart w:id="36" w:name="cicd-y-liberación"/>
    <w:p>
      <w:pPr>
        <w:pStyle w:val="Heading2"/>
      </w:pPr>
      <w:r>
        <w:t xml:space="preserve">CI/CD y liberación</w:t>
      </w:r>
    </w:p>
    <w:p>
      <w:pPr>
        <w:pStyle w:val="FirstParagraph"/>
      </w:pPr>
      <w:r>
        <w:t xml:space="preserve">Un buen gate de calidad debe aclarar:</w:t>
      </w:r>
    </w:p>
    <w:p>
      <w:pPr>
        <w:numPr>
          <w:ilvl w:val="0"/>
          <w:numId w:val="1014"/>
        </w:numPr>
        <w:pStyle w:val="Compact"/>
      </w:pPr>
      <w:r>
        <w:t xml:space="preserve">build probado;</w:t>
      </w:r>
    </w:p>
    <w:p>
      <w:pPr>
        <w:numPr>
          <w:ilvl w:val="0"/>
          <w:numId w:val="1014"/>
        </w:numPr>
        <w:pStyle w:val="Compact"/>
      </w:pPr>
      <w:r>
        <w:t xml:space="preserve">suites ejecutadas;</w:t>
      </w:r>
    </w:p>
    <w:p>
      <w:pPr>
        <w:numPr>
          <w:ilvl w:val="0"/>
          <w:numId w:val="1014"/>
        </w:numPr>
        <w:pStyle w:val="Compact"/>
      </w:pPr>
      <w:r>
        <w:t xml:space="preserve">fallas y omisiones;</w:t>
      </w:r>
    </w:p>
    <w:p>
      <w:pPr>
        <w:numPr>
          <w:ilvl w:val="0"/>
          <w:numId w:val="1014"/>
        </w:numPr>
        <w:pStyle w:val="Compact"/>
      </w:pPr>
      <w:r>
        <w:t xml:space="preserve">confiabilidad de resultados;</w:t>
      </w:r>
    </w:p>
    <w:p>
      <w:pPr>
        <w:numPr>
          <w:ilvl w:val="0"/>
          <w:numId w:val="1014"/>
        </w:numPr>
        <w:pStyle w:val="Compact"/>
      </w:pPr>
      <w:r>
        <w:t xml:space="preserve">evidencia retenida;</w:t>
      </w:r>
    </w:p>
    <w:p>
      <w:pPr>
        <w:numPr>
          <w:ilvl w:val="0"/>
          <w:numId w:val="1014"/>
        </w:numPr>
        <w:pStyle w:val="Compact"/>
      </w:pPr>
      <w:r>
        <w:t xml:space="preserve">criterio de liberación;</w:t>
      </w:r>
    </w:p>
    <w:p>
      <w:pPr>
        <w:numPr>
          <w:ilvl w:val="0"/>
          <w:numId w:val="1014"/>
        </w:numPr>
        <w:pStyle w:val="Compact"/>
      </w:pPr>
      <w:r>
        <w:t xml:space="preserve">quién puede aprobar excepciones.</w:t>
      </w:r>
    </w:p>
    <w:p>
      <w:pPr>
        <w:pStyle w:val="FirstParagraph"/>
      </w:pPr>
      <w:r>
        <w:t xml:space="preserve">Pasar pruebas automatizadas es evidencia, no autorización automática para liberar.</w:t>
      </w:r>
    </w:p>
    <w:bookmarkEnd w:id="36"/>
    <w:bookmarkStart w:id="37" w:name="límite-de-pruebas-de-seguridad"/>
    <w:p>
      <w:pPr>
        <w:pStyle w:val="Heading2"/>
      </w:pPr>
      <w:r>
        <w:t xml:space="preserve">Límite de pruebas de seguridad</w:t>
      </w:r>
    </w:p>
    <w:p>
      <w:pPr>
        <w:pStyle w:val="FirstParagraph"/>
      </w:pPr>
      <w:r>
        <w:t xml:space="preserve">QA funcional no equivale automáticamente a penetration testing.</w:t>
      </w:r>
    </w:p>
    <w:p>
      <w:pPr>
        <w:pStyle w:val="BodyText"/>
      </w:pPr>
      <w:r>
        <w:t xml:space="preserve">Se pueden hacer verificaciones seguras y autorizadas de roles, autorización, sesiones, validación de entrada, defaults seguros y privacidad. Escaneo intrusivo, explotación, ataques de credenciales, payloads destructivos o pruebas de penetración requieren autorización explícita y reglas de alcance.</w:t>
      </w:r>
    </w:p>
    <w:p>
      <w:pPr>
        <w:pStyle w:val="BodyText"/>
      </w:pPr>
      <w:r>
        <w:t xml:space="preserve">NIST SSDF y OWASP WSTG son referencias útiles, pero no otorgan permiso para atacar sistemas.</w:t>
      </w:r>
    </w:p>
    <w:bookmarkEnd w:id="37"/>
    <w:bookmarkStart w:id="38" w:name="accesibilidad"/>
    <w:p>
      <w:pPr>
        <w:pStyle w:val="Heading2"/>
      </w:pPr>
      <w:r>
        <w:t xml:space="preserve">Accesibilidad</w:t>
      </w:r>
    </w:p>
    <w:p>
      <w:pPr>
        <w:pStyle w:val="FirstParagraph"/>
      </w:pPr>
      <w:r>
        <w:t xml:space="preserve">QA puede revisar teclado, foco visible, etiquetas, mensajes de error, encabezados, contraste, zoom/reflow, lectores de pantalla, subtítulos y alternativas.</w:t>
      </w:r>
    </w:p>
    <w:p>
      <w:pPr>
        <w:pStyle w:val="BodyText"/>
      </w:pPr>
      <w:r>
        <w:t xml:space="preserve">Los escáneres automáticos detectan solo parte de los problemas. Pasar un escaneo no establece cumplimiento legal de accesibilidad.</w:t>
      </w:r>
    </w:p>
    <w:bookmarkEnd w:id="38"/>
    <w:bookmarkStart w:id="39" w:name="rendimiento"/>
    <w:p>
      <w:pPr>
        <w:pStyle w:val="Heading2"/>
      </w:pPr>
      <w:r>
        <w:t xml:space="preserve">Rendimiento</w:t>
      </w:r>
    </w:p>
    <w:p>
      <w:pPr>
        <w:pStyle w:val="FirstParagraph"/>
      </w:pPr>
      <w:r>
        <w:t xml:space="preserve">Las pruebas pueden medir tiempo de respuesta, throughput, concurrencia, uso de recursos, estabilidad y recuperación. Las pruebas de carga/estrés pueden afectar sistemas; use ambientes, límites, datos y horarios aprobados.</w:t>
      </w:r>
    </w:p>
    <w:bookmarkEnd w:id="39"/>
    <w:bookmarkStart w:id="40" w:name="privacidad-y-seguridad-de-la-evidencia"/>
    <w:p>
      <w:pPr>
        <w:pStyle w:val="Heading2"/>
      </w:pPr>
      <w:r>
        <w:t xml:space="preserve">Privacidad y seguridad de la evidencia</w:t>
      </w:r>
    </w:p>
    <w:p>
      <w:pPr>
        <w:pStyle w:val="FirstParagraph"/>
      </w:pPr>
      <w:r>
        <w:t xml:space="preserve">Tickets, capturas, videos, logs y exportaciones pueden contener datos sensibles. Use mínimo privilegio, repositorios aprobados, MFA, enmascaramiento, verificación de destinatarios y reglas de retención. No use correo o almacenamiento personal para artefactos protegidos ni exponga credenciales o secretos.</w:t>
      </w:r>
    </w:p>
    <w:bookmarkEnd w:id="40"/>
    <w:bookmarkStart w:id="41" w:name="ia-responsable-en-qa"/>
    <w:p>
      <w:pPr>
        <w:pStyle w:val="Heading2"/>
      </w:pPr>
      <w:r>
        <w:t xml:space="preserve">IA responsable en QA</w:t>
      </w:r>
    </w:p>
    <w:p>
      <w:pPr>
        <w:pStyle w:val="FirstParagraph"/>
      </w:pPr>
      <w:r>
        <w:t xml:space="preserve">La IA puede ayudar, cuando la política lo permita, a:</w:t>
      </w:r>
    </w:p>
    <w:p>
      <w:pPr>
        <w:numPr>
          <w:ilvl w:val="0"/>
          <w:numId w:val="1015"/>
        </w:numPr>
        <w:pStyle w:val="Compact"/>
      </w:pPr>
      <w:r>
        <w:t xml:space="preserve">proponer ideas de prueba;</w:t>
      </w:r>
    </w:p>
    <w:p>
      <w:pPr>
        <w:numPr>
          <w:ilvl w:val="0"/>
          <w:numId w:val="1015"/>
        </w:numPr>
        <w:pStyle w:val="Compact"/>
      </w:pPr>
      <w:r>
        <w:t xml:space="preserve">redactar casos;</w:t>
      </w:r>
    </w:p>
    <w:p>
      <w:pPr>
        <w:numPr>
          <w:ilvl w:val="0"/>
          <w:numId w:val="1015"/>
        </w:numPr>
        <w:pStyle w:val="Compact"/>
      </w:pPr>
      <w:r>
        <w:t xml:space="preserve">generar datos sintéticos;</w:t>
      </w:r>
    </w:p>
    <w:p>
      <w:pPr>
        <w:numPr>
          <w:ilvl w:val="0"/>
          <w:numId w:val="1015"/>
        </w:numPr>
        <w:pStyle w:val="Compact"/>
      </w:pPr>
      <w:r>
        <w:t xml:space="preserve">explicar un stack trace;</w:t>
      </w:r>
    </w:p>
    <w:p>
      <w:pPr>
        <w:numPr>
          <w:ilvl w:val="0"/>
          <w:numId w:val="1015"/>
        </w:numPr>
        <w:pStyle w:val="Compact"/>
      </w:pPr>
      <w:r>
        <w:t xml:space="preserve">redactar automatización;</w:t>
      </w:r>
    </w:p>
    <w:p>
      <w:pPr>
        <w:numPr>
          <w:ilvl w:val="0"/>
          <w:numId w:val="1015"/>
        </w:numPr>
        <w:pStyle w:val="Compact"/>
      </w:pPr>
      <w:r>
        <w:t xml:space="preserve">sugerir edge cases;</w:t>
      </w:r>
    </w:p>
    <w:p>
      <w:pPr>
        <w:numPr>
          <w:ilvl w:val="0"/>
          <w:numId w:val="1015"/>
        </w:numPr>
        <w:pStyle w:val="Compact"/>
      </w:pPr>
      <w:r>
        <w:t xml:space="preserve">preparar documentación.</w:t>
      </w:r>
    </w:p>
    <w:p>
      <w:pPr>
        <w:pStyle w:val="FirstParagraph"/>
      </w:pPr>
      <w:r>
        <w:t xml:space="preserve">La validación humana sigue siendo obligatoria. No cargue código fuente protegido, credenciales, datos de clientes, logs privados o información no publicada en herramientas no aprobadas. No acepte requisitos inventados por IA. No permita que la IA cierre defectos o autorice liberaciones fuera de la gobernanza. No trate una explicación generada como causa raíz demostrada.</w:t>
      </w:r>
    </w:p>
    <w:p>
      <w:pPr>
        <w:pStyle w:val="BodyText"/>
      </w:pPr>
      <w:r>
        <w:t xml:space="preserve">NIST AI RMF y su perfil de IA generativa son guías voluntarias de gestión de riesgo.</w:t>
      </w:r>
    </w:p>
    <w:bookmarkEnd w:id="41"/>
    <w:bookmarkStart w:id="42" w:name="límites-éticos"/>
    <w:p>
      <w:pPr>
        <w:pStyle w:val="Heading2"/>
      </w:pPr>
      <w:r>
        <w:t xml:space="preserve">Límites éticos</w:t>
      </w:r>
    </w:p>
    <w:p>
      <w:pPr>
        <w:pStyle w:val="FirstParagraph"/>
      </w:pPr>
      <w:r>
        <w:t xml:space="preserve">No se debe:</w:t>
      </w:r>
    </w:p>
    <w:p>
      <w:pPr>
        <w:numPr>
          <w:ilvl w:val="0"/>
          <w:numId w:val="1016"/>
        </w:numPr>
        <w:pStyle w:val="Compact"/>
      </w:pPr>
      <w:r>
        <w:t xml:space="preserve">fabricar resultados;</w:t>
      </w:r>
    </w:p>
    <w:p>
      <w:pPr>
        <w:numPr>
          <w:ilvl w:val="0"/>
          <w:numId w:val="1016"/>
        </w:numPr>
        <w:pStyle w:val="Compact"/>
      </w:pPr>
      <w:r>
        <w:t xml:space="preserve">marcar PASS sin evidencia;</w:t>
      </w:r>
    </w:p>
    <w:p>
      <w:pPr>
        <w:numPr>
          <w:ilvl w:val="0"/>
          <w:numId w:val="1016"/>
        </w:numPr>
        <w:pStyle w:val="Compact"/>
      </w:pPr>
      <w:r>
        <w:t xml:space="preserve">ocultar fallas conocidas;</w:t>
      </w:r>
    </w:p>
    <w:p>
      <w:pPr>
        <w:numPr>
          <w:ilvl w:val="0"/>
          <w:numId w:val="1016"/>
        </w:numPr>
        <w:pStyle w:val="Compact"/>
      </w:pPr>
      <w:r>
        <w:t xml:space="preserve">cambiar el resultado esperado después de ejecutar solo para crear un PASS;</w:t>
      </w:r>
    </w:p>
    <w:p>
      <w:pPr>
        <w:numPr>
          <w:ilvl w:val="0"/>
          <w:numId w:val="1016"/>
        </w:numPr>
        <w:pStyle w:val="Compact"/>
      </w:pPr>
      <w:r>
        <w:t xml:space="preserve">eliminar defectos sin disposición autorizada;</w:t>
      </w:r>
    </w:p>
    <w:p>
      <w:pPr>
        <w:numPr>
          <w:ilvl w:val="0"/>
          <w:numId w:val="1016"/>
        </w:numPr>
        <w:pStyle w:val="Compact"/>
      </w:pPr>
      <w:r>
        <w:t xml:space="preserve">usar datos productivos sin autorización;</w:t>
      </w:r>
    </w:p>
    <w:p>
      <w:pPr>
        <w:numPr>
          <w:ilvl w:val="0"/>
          <w:numId w:val="1016"/>
        </w:numPr>
        <w:pStyle w:val="Compact"/>
      </w:pPr>
      <w:r>
        <w:t xml:space="preserve">explotar sistemas fuera de alcance;</w:t>
      </w:r>
    </w:p>
    <w:p>
      <w:pPr>
        <w:numPr>
          <w:ilvl w:val="0"/>
          <w:numId w:val="1016"/>
        </w:numPr>
        <w:pStyle w:val="Compact"/>
      </w:pPr>
      <w:r>
        <w:t xml:space="preserve">divulgar defectos o vulnerabilidades confidenciales;</w:t>
      </w:r>
    </w:p>
    <w:p>
      <w:pPr>
        <w:numPr>
          <w:ilvl w:val="0"/>
          <w:numId w:val="1016"/>
        </w:numPr>
        <w:pStyle w:val="Compact"/>
      </w:pPr>
      <w:r>
        <w:t xml:space="preserve">afirmar que un producto está “sin bugs” porque una suite pasó.</w:t>
      </w:r>
    </w:p>
    <w:bookmarkEnd w:id="42"/>
    <w:bookmarkStart w:id="43" w:name="X2e40e8b476a4f61d95f2f6df22dd9e800baac25"/>
    <w:p>
      <w:pPr>
        <w:pStyle w:val="Heading2"/>
      </w:pPr>
      <w:r>
        <w:t xml:space="preserve">Educación y rutas de entrada — Estados Unidos</w:t>
      </w:r>
    </w:p>
    <w:p>
      <w:pPr>
        <w:pStyle w:val="FirstParagraph"/>
      </w:pPr>
      <w:r>
        <w:t xml:space="preserve">O*NET ubica la ocupación en</w:t>
      </w:r>
      <w:r>
        <w:t xml:space="preserve"> </w:t>
      </w:r>
      <w:r>
        <w:rPr>
          <w:bCs/>
          <w:b/>
        </w:rPr>
        <w:t xml:space="preserve">Job Zone Four — Considerable Preparation Needed</w:t>
      </w:r>
      <w:r>
        <w:t xml:space="preserve">. Las respuestas actuales sobre educación de nuevas contrataciones incluyen aproximadamente: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50%</w:t>
      </w:r>
      <w:r>
        <w:t xml:space="preserve"> </w:t>
      </w:r>
      <w:r>
        <w:t xml:space="preserve">licenciatura/bachelor’s degree;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26%</w:t>
      </w:r>
      <w:r>
        <w:t xml:space="preserve"> </w:t>
      </w:r>
      <w:r>
        <w:t xml:space="preserve">associate degree;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9%</w:t>
      </w:r>
      <w:r>
        <w:t xml:space="preserve"> </w:t>
      </w:r>
      <w:r>
        <w:t xml:space="preserve">certificado postsecundario.</w:t>
      </w:r>
    </w:p>
    <w:p>
      <w:pPr>
        <w:pStyle w:val="FirstParagraph"/>
      </w:pPr>
      <w:r>
        <w:t xml:space="preserve">No son requisitos universales. Los empleadores pueden aceptar diferentes combinaciones de educación, experiencia, portafolio, prácticas, aprendizaje, soporte técnico, desarrollo y automatización.</w:t>
      </w:r>
    </w:p>
    <w:p>
      <w:pPr>
        <w:pStyle w:val="BodyText"/>
      </w:pPr>
      <w:r>
        <w:t xml:space="preserve">CareerOneStop/American Job Centers pueden ayudar a localizar capacitación y programas WIOA. La elegibilidad y el financiamiento no son automáticos.</w:t>
      </w:r>
    </w:p>
    <w:p>
      <w:pPr>
        <w:pStyle w:val="BodyText"/>
      </w:pPr>
      <w:r>
        <w:t xml:space="preserve">O*NET lista el título de Registered Apprenticeship</w:t>
      </w:r>
      <w:r>
        <w:t xml:space="preserve"> </w:t>
      </w:r>
      <w:r>
        <w:rPr>
          <w:bCs/>
          <w:b/>
        </w:rPr>
        <w:t xml:space="preserve">Software Quality Assurance Tester (Nof)</w:t>
      </w:r>
      <w:r>
        <w:t xml:space="preserve">. Verifique vacantes reales en Apprenticeship.gov.</w:t>
      </w:r>
    </w:p>
    <w:bookmarkEnd w:id="43"/>
    <w:bookmarkStart w:id="46" w:name="canadá"/>
    <w:p>
      <w:pPr>
        <w:pStyle w:val="Heading2"/>
      </w:pPr>
      <w:r>
        <w:t xml:space="preserve">Canadá</w:t>
      </w:r>
    </w:p>
    <w:bookmarkStart w:id="44" w:name="qa-a-nivel-de-analista--noc-21222"/>
    <w:p>
      <w:pPr>
        <w:pStyle w:val="Heading3"/>
      </w:pPr>
      <w:r>
        <w:t xml:space="preserve">QA a nivel de analista — NOC 21222</w:t>
      </w:r>
    </w:p>
    <w:p>
      <w:pPr>
        <w:pStyle w:val="FirstParagraph"/>
      </w:pPr>
      <w:r>
        <w:t xml:space="preserve">El título</w:t>
      </w:r>
      <w:r>
        <w:t xml:space="preserve"> </w:t>
      </w:r>
      <w:r>
        <w:rPr>
          <w:bCs/>
          <w:b/>
        </w:rPr>
        <w:t xml:space="preserve">Software QA (Quality Assurance) Analyst</w:t>
      </w:r>
      <w:r>
        <w:t xml:space="preserve"> </w:t>
      </w:r>
      <w:r>
        <w:t xml:space="preserve">se compara con</w:t>
      </w:r>
      <w:r>
        <w:t xml:space="preserve"> </w:t>
      </w:r>
      <w:r>
        <w:rPr>
          <w:bCs/>
          <w:b/>
        </w:rPr>
        <w:t xml:space="preserve">NOC 21222</w:t>
      </w:r>
      <w:r>
        <w:t xml:space="preserve">. Salarios nacionales actuales: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C$28.85/hora</w:t>
      </w:r>
      <w:r>
        <w:t xml:space="preserve"> </w:t>
      </w:r>
      <w:r>
        <w:t xml:space="preserve">bajo;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C$46.15/hora</w:t>
      </w:r>
      <w:r>
        <w:t xml:space="preserve"> </w:t>
      </w:r>
      <w:r>
        <w:t xml:space="preserve">mediano;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C$68.68/hora</w:t>
      </w:r>
      <w:r>
        <w:t xml:space="preserve"> </w:t>
      </w:r>
      <w:r>
        <w:t xml:space="preserve">alto.</w:t>
      </w:r>
    </w:p>
    <w:bookmarkEnd w:id="44"/>
    <w:bookmarkStart w:id="45" w:name="software-tester--noc-22222"/>
    <w:p>
      <w:pPr>
        <w:pStyle w:val="Heading3"/>
      </w:pPr>
      <w:r>
        <w:t xml:space="preserve">Software Tester — NOC 22222</w:t>
      </w:r>
    </w:p>
    <w:p>
      <w:pPr>
        <w:pStyle w:val="FirstParagraph"/>
      </w:pPr>
      <w:r>
        <w:t xml:space="preserve">El título</w:t>
      </w:r>
      <w:r>
        <w:t xml:space="preserve"> </w:t>
      </w:r>
      <w:r>
        <w:rPr>
          <w:bCs/>
          <w:b/>
        </w:rPr>
        <w:t xml:space="preserve">Software Tester</w:t>
      </w:r>
      <w:r>
        <w:t xml:space="preserve"> </w:t>
      </w:r>
      <w:r>
        <w:t xml:space="preserve">se compara con</w:t>
      </w:r>
      <w:r>
        <w:t xml:space="preserve"> </w:t>
      </w:r>
      <w:r>
        <w:rPr>
          <w:bCs/>
          <w:b/>
        </w:rPr>
        <w:t xml:space="preserve">NOC 22222</w:t>
      </w:r>
      <w:r>
        <w:t xml:space="preserve">. Salarios nacionales actuales: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C$17.50/hora</w:t>
      </w:r>
      <w:r>
        <w:t xml:space="preserve"> </w:t>
      </w:r>
      <w:r>
        <w:t xml:space="preserve">bajo;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C$35.00/hora</w:t>
      </w:r>
      <w:r>
        <w:t xml:space="preserve"> </w:t>
      </w:r>
      <w:r>
        <w:t xml:space="preserve">mediano;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C$51.28/hora</w:t>
      </w:r>
      <w:r>
        <w:t xml:space="preserve"> </w:t>
      </w:r>
      <w:r>
        <w:t xml:space="preserve">alto.</w:t>
      </w:r>
    </w:p>
    <w:p>
      <w:pPr>
        <w:pStyle w:val="FirstParagraph"/>
      </w:pPr>
      <w:r>
        <w:t xml:space="preserve">La regulación no es uniforme. Job Bank identifica actualmente esta ocupación como regulada en Manitoba mediante la Certified Technicians and Technologists Association of Manitoba. Verifique la provincia/territorio correspondiente.</w:t>
      </w:r>
    </w:p>
    <w:bookmarkEnd w:id="45"/>
    <w:bookmarkEnd w:id="46"/>
    <w:bookmarkStart w:id="48" w:name="colombia"/>
    <w:p>
      <w:pPr>
        <w:pStyle w:val="Heading2"/>
      </w:pPr>
      <w:r>
        <w:t xml:space="preserve">Colombia</w:t>
      </w:r>
    </w:p>
    <w:p>
      <w:pPr>
        <w:pStyle w:val="FirstParagraph"/>
      </w:pPr>
      <w:r>
        <w:rPr>
          <w:bCs/>
          <w:b/>
        </w:rPr>
        <w:t xml:space="preserve">CUOC 25190</w:t>
      </w:r>
      <w:r>
        <w:t xml:space="preserve"> </w:t>
      </w:r>
      <w:r>
        <w:t xml:space="preserve">incluye títulos como Analista de prueba de software, Analista de pruebas - tester, Analista de aseguramiento de la calidad informática, Probador de sistemas, Probador de software, Coordinador de prueba de software y Líder de pruebas testing.</w:t>
      </w:r>
    </w:p>
    <w:p>
      <w:pPr>
        <w:pStyle w:val="BodyText"/>
      </w:pPr>
      <w:r>
        <w:t xml:space="preserve">No se fabrica un salario nacional representativo de Colombia porque el perfil oficial actual no aporta evidencia estadísticamente representativa adecuada para esa afirmación.</w:t>
      </w:r>
    </w:p>
    <w:bookmarkStart w:id="47" w:name="rutas-sena"/>
    <w:p>
      <w:pPr>
        <w:pStyle w:val="Heading3"/>
      </w:pPr>
      <w:r>
        <w:t xml:space="preserve">Rutas SENA</w:t>
      </w:r>
    </w:p>
    <w:p>
      <w:pPr>
        <w:pStyle w:val="FirstParagraph"/>
      </w:pPr>
      <w:r>
        <w:rPr>
          <w:bCs/>
          <w:b/>
        </w:rPr>
        <w:t xml:space="preserve">Procesamiento de pruebas de software</w:t>
      </w:r>
    </w:p>
    <w:p>
      <w:pPr>
        <w:numPr>
          <w:ilvl w:val="0"/>
          <w:numId w:val="1020"/>
        </w:numPr>
        <w:pStyle w:val="Compact"/>
      </w:pPr>
      <w:r>
        <w:t xml:space="preserve">Técnico;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2.208 horas</w:t>
      </w:r>
      <w:r>
        <w:t xml:space="preserve">;</w:t>
      </w:r>
    </w:p>
    <w:p>
      <w:pPr>
        <w:numPr>
          <w:ilvl w:val="0"/>
          <w:numId w:val="1020"/>
        </w:numPr>
        <w:pStyle w:val="Compact"/>
      </w:pPr>
      <w:r>
        <w:t xml:space="preserve">formación titulada.</w:t>
      </w:r>
    </w:p>
    <w:p>
      <w:pPr>
        <w:pStyle w:val="FirstParagraph"/>
      </w:pPr>
      <w:r>
        <w:rPr>
          <w:bCs/>
          <w:b/>
        </w:rPr>
        <w:t xml:space="preserve">Manejo de pruebas de software</w:t>
      </w:r>
    </w:p>
    <w:p>
      <w:pPr>
        <w:numPr>
          <w:ilvl w:val="0"/>
          <w:numId w:val="1021"/>
        </w:numPr>
        <w:pStyle w:val="Compact"/>
      </w:pPr>
      <w:r>
        <w:t xml:space="preserve">formación complementaria virtual;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40 horas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Modelos de calidad de software</w:t>
      </w:r>
    </w:p>
    <w:p>
      <w:pPr>
        <w:numPr>
          <w:ilvl w:val="0"/>
          <w:numId w:val="1022"/>
        </w:numPr>
        <w:pStyle w:val="Compact"/>
      </w:pPr>
      <w:r>
        <w:t xml:space="preserve">formación complementaria virtual;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40 horas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Procesos para software de calidad</w:t>
      </w:r>
    </w:p>
    <w:p>
      <w:pPr>
        <w:numPr>
          <w:ilvl w:val="0"/>
          <w:numId w:val="1023"/>
        </w:numPr>
        <w:pStyle w:val="Compact"/>
      </w:pPr>
      <w:r>
        <w:t xml:space="preserve">formación complementaria virtual;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40 horas</w:t>
      </w:r>
      <w:r>
        <w:t xml:space="preserve">.</w:t>
      </w:r>
    </w:p>
    <w:p>
      <w:pPr>
        <w:pStyle w:val="FirstParagraph"/>
      </w:pPr>
      <w:r>
        <w:t xml:space="preserve">Los cursos de 40 horas son complementarios y no equivalen al Técnico de 2.208 horas. Verifique disponibilidad, cupos, modalidad y requisitos en Betowa.</w:t>
      </w:r>
    </w:p>
    <w:bookmarkEnd w:id="47"/>
    <w:bookmarkEnd w:id="48"/>
    <w:bookmarkStart w:id="49" w:name="américa-latina-y-el-caribe"/>
    <w:p>
      <w:pPr>
        <w:pStyle w:val="Heading2"/>
      </w:pPr>
      <w:r>
        <w:t xml:space="preserve">América Latina y el Caribe</w:t>
      </w:r>
    </w:p>
    <w:p>
      <w:pPr>
        <w:pStyle w:val="FirstParagraph"/>
      </w:pPr>
      <w:r>
        <w:t xml:space="preserve">OIT/Cinterfor puede ayudar a localizar instituciones nacionales de formación profesional. No garantiza cursos, becas, cupos ni financiamiento de pruebas de software.</w:t>
      </w:r>
    </w:p>
    <w:bookmarkEnd w:id="49"/>
    <w:bookmarkStart w:id="52" w:name="X059b49e3948d9eca9d0e1749507ccbdabef3823"/>
    <w:p>
      <w:pPr>
        <w:pStyle w:val="Heading2"/>
      </w:pPr>
      <w:r>
        <w:t xml:space="preserve">Salarios y perspectiva — use la población correcta</w:t>
      </w:r>
    </w:p>
    <w:bookmarkStart w:id="50" w:name="estados-unidos"/>
    <w:p>
      <w:pPr>
        <w:pStyle w:val="Heading3"/>
      </w:pPr>
      <w:r>
        <w:t xml:space="preserve">Estados Unidos</w:t>
      </w:r>
    </w:p>
    <w:p>
      <w:pPr>
        <w:pStyle w:val="FirstParagraph"/>
      </w:pPr>
      <w:r>
        <w:t xml:space="preserve">BLS 2025/O*NET para 15-1253.00: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Percentil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Anual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Por hora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$61,440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$29.54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$80,310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$38.61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$104,300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$50.14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$133,180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$64.03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$167,010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$80.29</w:t>
            </w:r>
          </w:p>
        </w:tc>
      </w:tr>
    </w:tbl>
    <w:p>
      <w:pPr>
        <w:pStyle w:val="BodyText"/>
      </w:pPr>
      <w:r>
        <w:t xml:space="preserve">Proyección 2024–2034:</w:t>
      </w:r>
    </w:p>
    <w:p>
      <w:pPr>
        <w:numPr>
          <w:ilvl w:val="0"/>
          <w:numId w:val="1024"/>
        </w:numPr>
        <w:pStyle w:val="Compact"/>
      </w:pPr>
      <w:r>
        <w:t xml:space="preserve">empleo 2024:</w:t>
      </w:r>
      <w:r>
        <w:t xml:space="preserve"> </w:t>
      </w:r>
      <w:r>
        <w:rPr>
          <w:bCs/>
          <w:b/>
        </w:rPr>
        <w:t xml:space="preserve">201,700</w:t>
      </w:r>
      <w:r>
        <w:t xml:space="preserve">;</w:t>
      </w:r>
    </w:p>
    <w:p>
      <w:pPr>
        <w:numPr>
          <w:ilvl w:val="0"/>
          <w:numId w:val="1024"/>
        </w:numPr>
        <w:pStyle w:val="Compact"/>
      </w:pPr>
      <w:r>
        <w:t xml:space="preserve">empleo 2034:</w:t>
      </w:r>
      <w:r>
        <w:t xml:space="preserve"> </w:t>
      </w:r>
      <w:r>
        <w:rPr>
          <w:bCs/>
          <w:b/>
        </w:rPr>
        <w:t xml:space="preserve">221,900</w:t>
      </w:r>
      <w:r>
        <w:t xml:space="preserve">;</w:t>
      </w:r>
    </w:p>
    <w:p>
      <w:pPr>
        <w:numPr>
          <w:ilvl w:val="0"/>
          <w:numId w:val="1024"/>
        </w:numPr>
        <w:pStyle w:val="Compact"/>
      </w:pPr>
      <w:r>
        <w:t xml:space="preserve">crecimiento:</w:t>
      </w:r>
      <w:r>
        <w:t xml:space="preserve"> </w:t>
      </w:r>
      <w:r>
        <w:rPr>
          <w:bCs/>
          <w:b/>
        </w:rPr>
        <w:t xml:space="preserve">10%</w:t>
      </w:r>
      <w:r>
        <w:t xml:space="preserve">;</w:t>
      </w:r>
    </w:p>
    <w:p>
      <w:pPr>
        <w:numPr>
          <w:ilvl w:val="0"/>
          <w:numId w:val="1024"/>
        </w:numPr>
        <w:pStyle w:val="Compact"/>
      </w:pPr>
      <w:r>
        <w:t xml:space="preserve">vacantes anuales proyectadas:</w:t>
      </w:r>
      <w:r>
        <w:t xml:space="preserve"> </w:t>
      </w:r>
      <w:r>
        <w:rPr>
          <w:bCs/>
          <w:b/>
        </w:rPr>
        <w:t xml:space="preserve">14,000</w:t>
      </w:r>
      <w:r>
        <w:t xml:space="preserve">.</w:t>
      </w:r>
    </w:p>
    <w:bookmarkEnd w:id="50"/>
    <w:bookmarkStart w:id="51" w:name="estimación-no-gubernamental-actual"/>
    <w:p>
      <w:pPr>
        <w:pStyle w:val="Heading3"/>
      </w:pPr>
      <w:r>
        <w:t xml:space="preserve">Estimación no gubernamental actual</w:t>
      </w:r>
    </w:p>
    <w:p>
      <w:pPr>
        <w:pStyle w:val="FirstParagraph"/>
      </w:pPr>
      <w:r>
        <w:t xml:space="preserve">Indeed, revisado en agosto de 2026, reportó para</w:t>
      </w:r>
      <w:r>
        <w:t xml:space="preserve"> </w:t>
      </w:r>
      <w:r>
        <w:rPr>
          <w:bCs/>
          <w:b/>
        </w:rPr>
        <w:t xml:space="preserve">Software Quality Assurance Analyst</w:t>
      </w:r>
      <w:r>
        <w:t xml:space="preserve"> </w:t>
      </w:r>
      <w:r>
        <w:t xml:space="preserve">aproximadamente:</w:t>
      </w:r>
    </w:p>
    <w:p>
      <w:pPr>
        <w:numPr>
          <w:ilvl w:val="0"/>
          <w:numId w:val="1025"/>
        </w:numPr>
        <w:pStyle w:val="Compact"/>
      </w:pPr>
      <w:r>
        <w:t xml:space="preserve">promedio</w:t>
      </w:r>
      <w:r>
        <w:t xml:space="preserve"> </w:t>
      </w:r>
      <w:r>
        <w:rPr>
          <w:bCs/>
          <w:b/>
        </w:rPr>
        <w:t xml:space="preserve">$87,641/año</w:t>
      </w:r>
      <w:r>
        <w:t xml:space="preserve">;</w:t>
      </w:r>
    </w:p>
    <w:p>
      <w:pPr>
        <w:numPr>
          <w:ilvl w:val="0"/>
          <w:numId w:val="1025"/>
        </w:numPr>
        <w:pStyle w:val="Compact"/>
      </w:pPr>
      <w:r>
        <w:t xml:space="preserve">bajo</w:t>
      </w:r>
      <w:r>
        <w:t xml:space="preserve"> </w:t>
      </w:r>
      <w:r>
        <w:rPr>
          <w:bCs/>
          <w:b/>
        </w:rPr>
        <w:t xml:space="preserve">$56,161/año</w:t>
      </w:r>
      <w:r>
        <w:t xml:space="preserve">;</w:t>
      </w:r>
    </w:p>
    <w:p>
      <w:pPr>
        <w:numPr>
          <w:ilvl w:val="0"/>
          <w:numId w:val="1025"/>
        </w:numPr>
        <w:pStyle w:val="Compact"/>
      </w:pPr>
      <w:r>
        <w:t xml:space="preserve">alto</w:t>
      </w:r>
      <w:r>
        <w:t xml:space="preserve"> </w:t>
      </w:r>
      <w:r>
        <w:rPr>
          <w:bCs/>
          <w:b/>
        </w:rPr>
        <w:t xml:space="preserve">$136,766/año</w:t>
      </w:r>
      <w:r>
        <w:t xml:space="preserve">;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208</w:t>
      </w:r>
      <w:r>
        <w:t xml:space="preserve"> </w:t>
      </w:r>
      <w:r>
        <w:t xml:space="preserve">observaciones;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36 meses</w:t>
      </w:r>
      <w:r>
        <w:t xml:space="preserve"> </w:t>
      </w:r>
      <w:r>
        <w:t xml:space="preserve">de ofertas;</w:t>
      </w:r>
    </w:p>
    <w:p>
      <w:pPr>
        <w:numPr>
          <w:ilvl w:val="0"/>
          <w:numId w:val="1025"/>
        </w:numPr>
        <w:pStyle w:val="Compact"/>
      </w:pPr>
      <w:r>
        <w:t xml:space="preserve">actualizado</w:t>
      </w:r>
      <w:r>
        <w:t xml:space="preserve"> </w:t>
      </w:r>
      <w:r>
        <w:rPr>
          <w:bCs/>
          <w:b/>
        </w:rPr>
        <w:t xml:space="preserve">2 de agosto de 2026</w:t>
      </w:r>
      <w:r>
        <w:t xml:space="preserve">.</w:t>
      </w:r>
    </w:p>
    <w:p>
      <w:pPr>
        <w:pStyle w:val="FirstParagraph"/>
      </w:pPr>
      <w:r>
        <w:t xml:space="preserve">Es una estimación de mercado específica del título, no una estadística oficial.</w:t>
      </w:r>
    </w:p>
    <w:bookmarkEnd w:id="51"/>
    <w:bookmarkEnd w:id="52"/>
    <w:bookmarkStart w:id="53" w:name="secuencia-práctica-de-aprendizaje"/>
    <w:p>
      <w:pPr>
        <w:pStyle w:val="Heading2"/>
      </w:pPr>
      <w:r>
        <w:t xml:space="preserve">Secuencia práctica de aprendizaje</w:t>
      </w:r>
    </w:p>
    <w:p>
      <w:pPr>
        <w:numPr>
          <w:ilvl w:val="0"/>
          <w:numId w:val="1026"/>
        </w:numPr>
        <w:pStyle w:val="Compact"/>
      </w:pPr>
      <w:r>
        <w:t xml:space="preserve">Fundamentos: requisitos, casos, defectos, severidad/prioridad, regresión, accesibilidad y privacidad.</w:t>
      </w:r>
    </w:p>
    <w:p>
      <w:pPr>
        <w:numPr>
          <w:ilvl w:val="0"/>
          <w:numId w:val="1026"/>
        </w:numPr>
        <w:pStyle w:val="Compact"/>
      </w:pPr>
      <w:r>
        <w:t xml:space="preserve">Fundamentos técnicos: HTML/CSS/JavaScript, SQL, HTTP/API, DevTools, Git, logs y línea de comandos.</w:t>
      </w:r>
    </w:p>
    <w:p>
      <w:pPr>
        <w:numPr>
          <w:ilvl w:val="0"/>
          <w:numId w:val="1026"/>
        </w:numPr>
        <w:pStyle w:val="Compact"/>
      </w:pPr>
      <w:r>
        <w:t xml:space="preserve">Automatización: un framework, selectores estables, aserciones, datos, setup/teardown, debugging y CI.</w:t>
      </w:r>
    </w:p>
    <w:p>
      <w:pPr>
        <w:numPr>
          <w:ilvl w:val="0"/>
          <w:numId w:val="1026"/>
        </w:numPr>
        <w:pStyle w:val="Compact"/>
      </w:pPr>
      <w:r>
        <w:t xml:space="preserve">Especialización: API, móvil, rendimiento, accesibilidad, datos, o QA con enfoque de seguridad autorizado.</w:t>
      </w:r>
    </w:p>
    <w:bookmarkEnd w:id="53"/>
    <w:bookmarkStart w:id="54" w:name="portafolio-seguro"/>
    <w:p>
      <w:pPr>
        <w:pStyle w:val="Heading2"/>
      </w:pPr>
      <w:r>
        <w:t xml:space="preserve">Portafolio seguro</w:t>
      </w:r>
    </w:p>
    <w:p>
      <w:pPr>
        <w:pStyle w:val="FirstParagraph"/>
      </w:pPr>
      <w:r>
        <w:t xml:space="preserve">Use software público, con licencia, open source o propio y datos sintéticos. Puede incluir plan de prueba, matriz de trazabilidad, defectos bien escritos, colección API, suite automatizada, revisión de accesibilidad, prueba controlada de rendimiento y workflow CI.</w:t>
      </w:r>
    </w:p>
    <w:p>
      <w:pPr>
        <w:pStyle w:val="BodyText"/>
      </w:pPr>
      <w:r>
        <w:t xml:space="preserve">No publique código de empleadores, requisitos propietarios, datos reales de clientes, credenciales, logs privados o vulnerabilidades fuera de autorización.</w:t>
      </w:r>
    </w:p>
    <w:bookmarkEnd w:id="54"/>
    <w:bookmarkStart w:id="59" w:name="plan-inicial-de-cuatro-semanas"/>
    <w:p>
      <w:pPr>
        <w:pStyle w:val="Heading2"/>
      </w:pPr>
      <w:r>
        <w:t xml:space="preserve">Plan inicial de cuatro semanas</w:t>
      </w:r>
    </w:p>
    <w:bookmarkStart w:id="55" w:name="semana-1"/>
    <w:p>
      <w:pPr>
        <w:pStyle w:val="Heading3"/>
      </w:pPr>
      <w:r>
        <w:t xml:space="preserve">Semana 1</w:t>
      </w:r>
    </w:p>
    <w:p>
      <w:pPr>
        <w:pStyle w:val="FirstParagraph"/>
      </w:pPr>
      <w:r>
        <w:t xml:space="preserve">Escriba diez casos de prueba para una app demo, defina resultados esperados antes de ejecutar y documente dos defectos reproducibles.</w:t>
      </w:r>
    </w:p>
    <w:bookmarkEnd w:id="55"/>
    <w:bookmarkStart w:id="56" w:name="semana-2"/>
    <w:p>
      <w:pPr>
        <w:pStyle w:val="Heading3"/>
      </w:pPr>
      <w:r>
        <w:t xml:space="preserve">Semana 2</w:t>
      </w:r>
    </w:p>
    <w:p>
      <w:pPr>
        <w:pStyle w:val="FirstParagraph"/>
      </w:pPr>
      <w:r>
        <w:t xml:space="preserve">Practique HTTP/API y SQL básico con sistemas locales o demo y documente datos y limpieza.</w:t>
      </w:r>
    </w:p>
    <w:bookmarkEnd w:id="56"/>
    <w:bookmarkStart w:id="57" w:name="semana-3"/>
    <w:p>
      <w:pPr>
        <w:pStyle w:val="Heading3"/>
      </w:pPr>
      <w:r>
        <w:t xml:space="preserve">Semana 3</w:t>
      </w:r>
    </w:p>
    <w:p>
      <w:pPr>
        <w:pStyle w:val="FirstParagraph"/>
      </w:pPr>
      <w:r>
        <w:t xml:space="preserve">Automatice un flujo estable con Playwright, Selenium u otro framework apropiado; agregue aserciones y revise una falla intencional.</w:t>
      </w:r>
    </w:p>
    <w:bookmarkEnd w:id="57"/>
    <w:bookmarkStart w:id="58" w:name="semana-4"/>
    <w:p>
      <w:pPr>
        <w:pStyle w:val="Heading3"/>
      </w:pPr>
      <w:r>
        <w:t xml:space="preserve">Semana 4</w:t>
      </w:r>
    </w:p>
    <w:p>
      <w:pPr>
        <w:pStyle w:val="FirstParagraph"/>
      </w:pPr>
      <w:r>
        <w:t xml:space="preserve">Prepare README, evidencia, limitaciones, un flujo CI sencillo si aplica y bullets de currículum precisos.</w:t>
      </w:r>
    </w:p>
    <w:bookmarkEnd w:id="58"/>
    <w:bookmarkEnd w:id="59"/>
    <w:bookmarkStart w:id="60" w:name="preguntas-antes-de-aceptar-una-posición"/>
    <w:p>
      <w:pPr>
        <w:pStyle w:val="Heading2"/>
      </w:pPr>
      <w:r>
        <w:t xml:space="preserve">Preguntas antes de aceptar una posición</w:t>
      </w:r>
    </w:p>
    <w:p>
      <w:pPr>
        <w:numPr>
          <w:ilvl w:val="0"/>
          <w:numId w:val="1027"/>
        </w:numPr>
        <w:pStyle w:val="Compact"/>
      </w:pPr>
      <w:r>
        <w:t xml:space="preserve">¿Es principalmente manual, automatización, análisis QA o ejecución técnica?</w:t>
      </w:r>
    </w:p>
    <w:p>
      <w:pPr>
        <w:numPr>
          <w:ilvl w:val="0"/>
          <w:numId w:val="1027"/>
        </w:numPr>
        <w:pStyle w:val="Compact"/>
      </w:pPr>
      <w:r>
        <w:t xml:space="preserve">¿Quién define severidad y prioridad?</w:t>
      </w:r>
    </w:p>
    <w:p>
      <w:pPr>
        <w:numPr>
          <w:ilvl w:val="0"/>
          <w:numId w:val="1027"/>
        </w:numPr>
        <w:pStyle w:val="Compact"/>
      </w:pPr>
      <w:r>
        <w:t xml:space="preserve">¿Quién tiene autoridad final de liberación?</w:t>
      </w:r>
    </w:p>
    <w:p>
      <w:pPr>
        <w:numPr>
          <w:ilvl w:val="0"/>
          <w:numId w:val="1027"/>
        </w:numPr>
        <w:pStyle w:val="Compact"/>
      </w:pPr>
      <w:r>
        <w:t xml:space="preserve">¿Qué frameworks se usan?</w:t>
      </w:r>
    </w:p>
    <w:p>
      <w:pPr>
        <w:numPr>
          <w:ilvl w:val="0"/>
          <w:numId w:val="1027"/>
        </w:numPr>
        <w:pStyle w:val="Compact"/>
      </w:pPr>
      <w:r>
        <w:t xml:space="preserve">¿Cómo manejan pruebas flaky?</w:t>
      </w:r>
    </w:p>
    <w:p>
      <w:pPr>
        <w:numPr>
          <w:ilvl w:val="0"/>
          <w:numId w:val="1027"/>
        </w:numPr>
        <w:pStyle w:val="Compact"/>
      </w:pPr>
      <w:r>
        <w:t xml:space="preserve">¿Cómo se crean y protegen datos de prueba?</w:t>
      </w:r>
    </w:p>
    <w:p>
      <w:pPr>
        <w:numPr>
          <w:ilvl w:val="0"/>
          <w:numId w:val="1027"/>
        </w:numPr>
        <w:pStyle w:val="Compact"/>
      </w:pPr>
      <w:r>
        <w:t xml:space="preserve">¿Qué pruebas de seguridad pertenecen al alcance QA?</w:t>
      </w:r>
    </w:p>
    <w:p>
      <w:pPr>
        <w:numPr>
          <w:ilvl w:val="0"/>
          <w:numId w:val="1027"/>
        </w:numPr>
        <w:pStyle w:val="Compact"/>
      </w:pPr>
      <w:r>
        <w:t xml:space="preserve">¿Cómo se verifica accesibilidad?</w:t>
      </w:r>
    </w:p>
    <w:p>
      <w:pPr>
        <w:numPr>
          <w:ilvl w:val="0"/>
          <w:numId w:val="1027"/>
        </w:numPr>
        <w:pStyle w:val="Compact"/>
      </w:pPr>
      <w:r>
        <w:t xml:space="preserve">¿Hay trabajo fuera de horario o fines de semana por liberaciones?</w:t>
      </w:r>
    </w:p>
    <w:p>
      <w:pPr>
        <w:numPr>
          <w:ilvl w:val="0"/>
          <w:numId w:val="1027"/>
        </w:numPr>
        <w:pStyle w:val="Compact"/>
      </w:pPr>
      <w:r>
        <w:t xml:space="preserve">¿Qué distingue junior de senior?</w:t>
      </w:r>
    </w:p>
    <w:bookmarkEnd w:id="60"/>
    <w:bookmarkStart w:id="90" w:name="fuentes-y-enlaces-de-verificación"/>
    <w:p>
      <w:pPr>
        <w:pStyle w:val="Heading2"/>
      </w:pPr>
      <w:r>
        <w:t xml:space="preserve">Fuentes y enlaces de verificación</w:t>
      </w:r>
    </w:p>
    <w:bookmarkStart w:id="68" w:name="estados-unidos-1"/>
    <w:p>
      <w:pPr>
        <w:pStyle w:val="Heading3"/>
      </w:pPr>
      <w:r>
        <w:t xml:space="preserve">Estados Unidos</w:t>
      </w:r>
    </w:p>
    <w:p>
      <w:pPr>
        <w:numPr>
          <w:ilvl w:val="0"/>
          <w:numId w:val="1028"/>
        </w:numPr>
        <w:pStyle w:val="Compact"/>
      </w:pPr>
      <w:r>
        <w:t xml:space="preserve">O*NET:</w:t>
      </w:r>
      <w:r>
        <w:t xml:space="preserve"> </w:t>
      </w:r>
      <w:hyperlink r:id="rId61">
        <w:hyperlink r:id="rId61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28"/>
        </w:numPr>
        <w:pStyle w:val="Compact"/>
      </w:pPr>
      <w:r>
        <w:t xml:space="preserve">O*NET resumen:</w:t>
      </w:r>
      <w:r>
        <w:t xml:space="preserve"> </w:t>
      </w:r>
      <w:hyperlink r:id="rId62">
        <w:hyperlink r:id="rId62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28"/>
        </w:numPr>
        <w:pStyle w:val="Compact"/>
      </w:pPr>
      <w:r>
        <w:t xml:space="preserve">O*NET salarios:</w:t>
      </w:r>
      <w:r>
        <w:t xml:space="preserve"> </w:t>
      </w:r>
      <w:hyperlink r:id="rId63">
        <w:hyperlink r:id="rId63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28"/>
        </w:numPr>
        <w:pStyle w:val="Compact"/>
      </w:pPr>
      <w:r>
        <w:t xml:space="preserve">O*NET perspectiva:</w:t>
      </w:r>
      <w:r>
        <w:t xml:space="preserve"> </w:t>
      </w:r>
      <w:hyperlink r:id="rId64">
        <w:hyperlink r:id="rId64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28"/>
        </w:numPr>
        <w:pStyle w:val="Compact"/>
      </w:pPr>
      <w:r>
        <w:t xml:space="preserve">CareerOneStop WIOA:</w:t>
      </w:r>
      <w:r>
        <w:t xml:space="preserve"> </w:t>
      </w:r>
      <w:hyperlink r:id="rId65">
        <w:hyperlink r:id="rId65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28"/>
        </w:numPr>
        <w:pStyle w:val="Compact"/>
      </w:pPr>
      <w:r>
        <w:t xml:space="preserve">Apprenticeship.gov:</w:t>
      </w:r>
      <w:r>
        <w:t xml:space="preserve"> </w:t>
      </w:r>
      <w:hyperlink r:id="rId66">
        <w:r>
          <w:rPr>
            <w:rStyle w:val="Hyperlink"/>
          </w:rPr>
          <w:t xml:space="preserve">https://www.apprenticeship.gov/</w:t>
        </w:r>
      </w:hyperlink>
    </w:p>
    <w:p>
      <w:pPr>
        <w:numPr>
          <w:ilvl w:val="0"/>
          <w:numId w:val="1028"/>
        </w:numPr>
        <w:pStyle w:val="Compact"/>
      </w:pPr>
      <w:r>
        <w:t xml:space="preserve">Indeed:</w:t>
      </w:r>
      <w:r>
        <w:t xml:space="preserve"> </w:t>
      </w:r>
      <w:hyperlink r:id="rId67">
        <w:hyperlink r:id="rId67">
          <w:r>
            <w:rPr>
              <w:rStyle w:val="Hyperlink"/>
            </w:rPr>
            <w:t xml:space="preserve">Source link</w:t>
          </w:r>
        </w:hyperlink>
      </w:hyperlink>
    </w:p>
    <w:bookmarkEnd w:id="68"/>
    <w:bookmarkStart w:id="76" w:name="canadá-1"/>
    <w:p>
      <w:pPr>
        <w:pStyle w:val="Heading3"/>
      </w:pPr>
      <w:r>
        <w:t xml:space="preserve">Canadá</w:t>
      </w:r>
    </w:p>
    <w:p>
      <w:pPr>
        <w:numPr>
          <w:ilvl w:val="0"/>
          <w:numId w:val="1029"/>
        </w:numPr>
        <w:pStyle w:val="Compact"/>
      </w:pPr>
      <w:r>
        <w:t xml:space="preserve">QA Analyst:</w:t>
      </w:r>
      <w:r>
        <w:t xml:space="preserve"> </w:t>
      </w:r>
      <w:hyperlink r:id="rId69">
        <w:hyperlink r:id="rId69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29"/>
        </w:numPr>
        <w:pStyle w:val="Compact"/>
      </w:pPr>
      <w:r>
        <w:t xml:space="preserve">QA Analyst requisitos:</w:t>
      </w:r>
      <w:r>
        <w:t xml:space="preserve"> </w:t>
      </w:r>
      <w:hyperlink r:id="rId70">
        <w:hyperlink r:id="rId70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29"/>
        </w:numPr>
        <w:pStyle w:val="Compact"/>
      </w:pPr>
      <w:r>
        <w:t xml:space="preserve">QA Analyst salarios:</w:t>
      </w:r>
      <w:r>
        <w:t xml:space="preserve"> </w:t>
      </w:r>
      <w:hyperlink r:id="rId71">
        <w:hyperlink r:id="rId71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29"/>
        </w:numPr>
        <w:pStyle w:val="Compact"/>
      </w:pPr>
      <w:r>
        <w:t xml:space="preserve">Software Tester:</w:t>
      </w:r>
      <w:r>
        <w:t xml:space="preserve"> </w:t>
      </w:r>
      <w:hyperlink r:id="rId72">
        <w:hyperlink r:id="rId72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29"/>
        </w:numPr>
        <w:pStyle w:val="Compact"/>
      </w:pPr>
      <w:r>
        <w:t xml:space="preserve">Software Tester requisitos:</w:t>
      </w:r>
      <w:r>
        <w:t xml:space="preserve"> </w:t>
      </w:r>
      <w:hyperlink r:id="rId73">
        <w:hyperlink r:id="rId73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29"/>
        </w:numPr>
        <w:pStyle w:val="Compact"/>
      </w:pPr>
      <w:r>
        <w:t xml:space="preserve">Software Tester salarios:</w:t>
      </w:r>
      <w:r>
        <w:t xml:space="preserve"> </w:t>
      </w:r>
      <w:hyperlink r:id="rId74">
        <w:hyperlink r:id="rId74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29"/>
        </w:numPr>
        <w:pStyle w:val="Compact"/>
      </w:pPr>
      <w:r>
        <w:t xml:space="preserve">Capacitación Canadá:</w:t>
      </w:r>
      <w:r>
        <w:t xml:space="preserve"> </w:t>
      </w:r>
      <w:hyperlink r:id="rId75">
        <w:hyperlink r:id="rId75">
          <w:r>
            <w:rPr>
              <w:rStyle w:val="Hyperlink"/>
            </w:rPr>
            <w:t xml:space="preserve">Source link</w:t>
          </w:r>
        </w:hyperlink>
      </w:hyperlink>
    </w:p>
    <w:bookmarkEnd w:id="76"/>
    <w:bookmarkStart w:id="82" w:name="colombia-1"/>
    <w:p>
      <w:pPr>
        <w:pStyle w:val="Heading3"/>
      </w:pPr>
      <w:r>
        <w:t xml:space="preserve">Colombia</w:t>
      </w:r>
    </w:p>
    <w:p>
      <w:pPr>
        <w:numPr>
          <w:ilvl w:val="0"/>
          <w:numId w:val="1030"/>
        </w:numPr>
        <w:pStyle w:val="Compact"/>
      </w:pPr>
      <w:r>
        <w:t xml:space="preserve">CUOC 25190:</w:t>
      </w:r>
      <w:r>
        <w:t xml:space="preserve"> </w:t>
      </w:r>
      <w:hyperlink r:id="rId77">
        <w:hyperlink r:id="rId77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30"/>
        </w:numPr>
        <w:pStyle w:val="Compact"/>
      </w:pPr>
      <w:r>
        <w:t xml:space="preserve">SENA Procesamiento de pruebas:</w:t>
      </w:r>
      <w:r>
        <w:t xml:space="preserve"> </w:t>
      </w:r>
      <w:hyperlink r:id="rId78">
        <w:hyperlink r:id="rId78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30"/>
        </w:numPr>
        <w:pStyle w:val="Compact"/>
      </w:pPr>
      <w:r>
        <w:t xml:space="preserve">SENA Manejo de pruebas:</w:t>
      </w:r>
      <w:r>
        <w:t xml:space="preserve"> </w:t>
      </w:r>
      <w:hyperlink r:id="rId79">
        <w:hyperlink r:id="rId79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30"/>
        </w:numPr>
        <w:pStyle w:val="Compact"/>
      </w:pPr>
      <w:r>
        <w:t xml:space="preserve">SENA Modelos de calidad:</w:t>
      </w:r>
      <w:r>
        <w:t xml:space="preserve"> </w:t>
      </w:r>
      <w:hyperlink r:id="rId80">
        <w:hyperlink r:id="rId80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30"/>
        </w:numPr>
        <w:pStyle w:val="Compact"/>
      </w:pPr>
      <w:r>
        <w:t xml:space="preserve">SENA Procesos para software de calidad:</w:t>
      </w:r>
      <w:r>
        <w:t xml:space="preserve"> </w:t>
      </w:r>
      <w:hyperlink r:id="rId81">
        <w:hyperlink r:id="rId81">
          <w:r>
            <w:rPr>
              <w:rStyle w:val="Hyperlink"/>
            </w:rPr>
            <w:t xml:space="preserve">Source link</w:t>
          </w:r>
        </w:hyperlink>
      </w:hyperlink>
    </w:p>
    <w:bookmarkEnd w:id="82"/>
    <w:bookmarkStart w:id="89" w:name="desarrollo-seguro-ia-y-accesibilidad"/>
    <w:p>
      <w:pPr>
        <w:pStyle w:val="Heading3"/>
      </w:pPr>
      <w:r>
        <w:t xml:space="preserve">Desarrollo seguro, IA y accesibilidad</w:t>
      </w:r>
    </w:p>
    <w:p>
      <w:pPr>
        <w:numPr>
          <w:ilvl w:val="0"/>
          <w:numId w:val="1031"/>
        </w:numPr>
        <w:pStyle w:val="Compact"/>
      </w:pPr>
      <w:r>
        <w:t xml:space="preserve">NIST SSDF:</w:t>
      </w:r>
      <w:r>
        <w:t xml:space="preserve"> </w:t>
      </w:r>
      <w:hyperlink r:id="rId83">
        <w:r>
          <w:rPr>
            <w:rStyle w:val="Hyperlink"/>
          </w:rPr>
          <w:t xml:space="preserve">https://csrc.nist.gov/pubs/sp/800/218/final</w:t>
        </w:r>
      </w:hyperlink>
    </w:p>
    <w:p>
      <w:pPr>
        <w:numPr>
          <w:ilvl w:val="0"/>
          <w:numId w:val="1031"/>
        </w:numPr>
        <w:pStyle w:val="Compact"/>
      </w:pPr>
      <w:r>
        <w:t xml:space="preserve">OWASP WSTG:</w:t>
      </w:r>
      <w:r>
        <w:t xml:space="preserve"> </w:t>
      </w:r>
      <w:hyperlink r:id="rId84">
        <w:hyperlink r:id="rId84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31"/>
        </w:numPr>
        <w:pStyle w:val="Compact"/>
      </w:pPr>
      <w:r>
        <w:t xml:space="preserve">NIST AI RMF:</w:t>
      </w:r>
      <w:r>
        <w:t xml:space="preserve"> </w:t>
      </w:r>
      <w:hyperlink r:id="rId85">
        <w:hyperlink r:id="rId85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31"/>
        </w:numPr>
        <w:pStyle w:val="Compact"/>
      </w:pPr>
      <w:r>
        <w:t xml:space="preserve">Section 508:</w:t>
      </w:r>
      <w:r>
        <w:t xml:space="preserve"> </w:t>
      </w:r>
      <w:hyperlink r:id="rId86">
        <w:r>
          <w:rPr>
            <w:rStyle w:val="Hyperlink"/>
          </w:rPr>
          <w:t xml:space="preserve">https://www.section508.gov/create/</w:t>
        </w:r>
      </w:hyperlink>
    </w:p>
    <w:p>
      <w:pPr>
        <w:numPr>
          <w:ilvl w:val="0"/>
          <w:numId w:val="1031"/>
        </w:numPr>
        <w:pStyle w:val="Compact"/>
      </w:pPr>
      <w:r>
        <w:t xml:space="preserve">WCAG 2.2:</w:t>
      </w:r>
      <w:r>
        <w:t xml:space="preserve"> </w:t>
      </w:r>
      <w:hyperlink r:id="rId87">
        <w:r>
          <w:rPr>
            <w:rStyle w:val="Hyperlink"/>
          </w:rPr>
          <w:t xml:space="preserve">https://www.w3.org/TR/WCAG22/</w:t>
        </w:r>
      </w:hyperlink>
    </w:p>
    <w:p>
      <w:pPr>
        <w:numPr>
          <w:ilvl w:val="0"/>
          <w:numId w:val="1031"/>
        </w:numPr>
        <w:pStyle w:val="Compact"/>
      </w:pPr>
      <w:r>
        <w:t xml:space="preserve">OIT/Cinterfor:</w:t>
      </w:r>
      <w:r>
        <w:t xml:space="preserve"> </w:t>
      </w:r>
      <w:hyperlink r:id="rId88">
        <w:r>
          <w:rPr>
            <w:rStyle w:val="Hyperlink"/>
          </w:rPr>
          <w:t xml:space="preserve">https://www.oitcinterfor.org/statsfp/paises</w:t>
        </w:r>
      </w:hyperlink>
    </w:p>
    <w:bookmarkEnd w:id="89"/>
    <w:bookmarkEnd w:id="90"/>
    <w:bookmarkStart w:id="91" w:name="aviso-importante"/>
    <w:p>
      <w:pPr>
        <w:pStyle w:val="Heading2"/>
      </w:pPr>
      <w:r>
        <w:t xml:space="preserve">Aviso importante</w:t>
      </w:r>
    </w:p>
    <w:p>
      <w:pPr>
        <w:pStyle w:val="FirstParagraph"/>
      </w:pPr>
      <w:r>
        <w:t xml:space="preserve">Esta guía ofrece información general de educación y planificación profesional. No garantiza empleo, ingresos, admisión, financiamiento, aprendizaje, certificación, ascenso ni ningún otro resultado. Las correspondencias ocupacionales pueden no ser equivalencias exactas entre jurisdicciones.</w:t>
      </w:r>
    </w:p>
    <w:p>
      <w:pPr>
        <w:pStyle w:val="BodyText"/>
      </w:pPr>
      <w:r>
        <w:t xml:space="preserve">No se afirma certificación humana independiente, acreditación profesional, revisión legal, evaluación de seguridad, certificación de accesibilidad, certificación de liberación de software ni certificación de traducción salvo documentación separada.</w:t>
      </w:r>
    </w:p>
    <w:bookmarkEnd w:id="91"/>
    <w:bookmarkStart w:id="92" w:name="autor-y-asistencia-de-ia"/>
    <w:p>
      <w:pPr>
        <w:pStyle w:val="Heading2"/>
      </w:pPr>
      <w:r>
        <w:t xml:space="preserve">Autor y asistencia de IA</w:t>
      </w:r>
    </w:p>
    <w:p>
      <w:pPr>
        <w:pStyle w:val="FirstParagraph"/>
      </w:pPr>
      <w:r>
        <w:t xml:space="preserve">Creada y dirigida por</w:t>
      </w:r>
      <w:r>
        <w:t xml:space="preserve"> </w:t>
      </w:r>
      <w:r>
        <w:rPr>
          <w:bCs/>
          <w:b/>
        </w:rPr>
        <w:t xml:space="preserve">Alberto “Al” Leiva</w:t>
      </w:r>
      <w:r>
        <w:t xml:space="preserve">. ChatGPT apoyó investigación, organización, edición, apoyo de traducción y preparación de documentos bajo la dirección del autor. El autor conserva la responsabilidad de las decisiones editoriales y de publicación.</w:t>
      </w:r>
    </w:p>
    <w:bookmarkEnd w:id="92"/>
    <w:bookmarkStart w:id="93" w:name="licencia"/>
    <w:p>
      <w:pPr>
        <w:pStyle w:val="Heading2"/>
      </w:pPr>
      <w:r>
        <w:t xml:space="preserve">Licencia</w:t>
      </w:r>
    </w:p>
    <w:p>
      <w:pPr>
        <w:pStyle w:val="FirstParagraph"/>
      </w:pPr>
      <w:r>
        <w:t xml:space="preserve">Salvo indicación contraria, este material está licenciado bajo</w:t>
      </w:r>
      <w:r>
        <w:t xml:space="preserve"> </w:t>
      </w:r>
      <w:r>
        <w:rPr>
          <w:bCs/>
          <w:b/>
        </w:rPr>
        <w:t xml:space="preserve">CC BY-NC-SA 4.0</w:t>
      </w:r>
      <w:r>
        <w:t xml:space="preserve">.</w:t>
      </w:r>
    </w:p>
    <w:bookmarkEnd w:id="93"/>
    <w:bookmarkEnd w:id="9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79" Target="https://betowa.sena.edu.co/oferta/manejo-de-pruebas-de-software?programId=103412" TargetMode="External" /><Relationship Type="http://schemas.openxmlformats.org/officeDocument/2006/relationships/hyperlink" Id="rId80" Target="https://betowa.sena.edu.co/oferta/modelos-de-calidad-de-software?modality=V&amp;offertype=open&amp;programId=73282&amp;technology=1" TargetMode="External" /><Relationship Type="http://schemas.openxmlformats.org/officeDocument/2006/relationships/hyperlink" Id="rId78" Target="https://betowa.sena.edu.co/oferta/procesamiento-de-pruebas-de-software?level=2&amp;modality=V&amp;programId=171614" TargetMode="External" /><Relationship Type="http://schemas.openxmlformats.org/officeDocument/2006/relationships/hyperlink" Id="rId81" Target="https://betowa.sena.edu.co/oferta/procesos-para-software-de-calidad?programId=68240" TargetMode="External" /><Relationship Type="http://schemas.openxmlformats.org/officeDocument/2006/relationships/hyperlink" Id="rId83" Target="https://csrc.nist.gov/pubs/sp/800/218/final" TargetMode="External" /><Relationship Type="http://schemas.openxmlformats.org/officeDocument/2006/relationships/hyperlink" Id="rId77" Target="https://ocupacol.mintrabajo.gov.co/Profile/OccupationalProfile/25190" TargetMode="External" /><Relationship Type="http://schemas.openxmlformats.org/officeDocument/2006/relationships/hyperlink" Id="rId84" Target="https://owasp.org/www-project-web-security-testing-guide/" TargetMode="External" /><Relationship Type="http://schemas.openxmlformats.org/officeDocument/2006/relationships/hyperlink" Id="rId66" Target="https://www.apprenticeship.gov/" TargetMode="External" /><Relationship Type="http://schemas.openxmlformats.org/officeDocument/2006/relationships/hyperlink" Id="rId75" Target="https://www.canada.ca/en/services/jobs/training.html" TargetMode="External" /><Relationship Type="http://schemas.openxmlformats.org/officeDocument/2006/relationships/hyperlink" Id="rId65" Target="https://www.careeronestop.org/LocalHelp/EmploymentAndTraining/find-WIOA-training-programs.aspx" TargetMode="External" /><Relationship Type="http://schemas.openxmlformats.org/officeDocument/2006/relationships/hyperlink" Id="rId67" Target="https://www.indeed.com/career/software-quality-assurance-analyst/salaries" TargetMode="External" /><Relationship Type="http://schemas.openxmlformats.org/officeDocument/2006/relationships/hyperlink" Id="rId70" Target="https://www.jobbank.gc.ca/marketreport/requirements/22511/ca" TargetMode="External" /><Relationship Type="http://schemas.openxmlformats.org/officeDocument/2006/relationships/hyperlink" Id="rId73" Target="https://www.jobbank.gc.ca/marketreport/requirements/3950/ca" TargetMode="External" /><Relationship Type="http://schemas.openxmlformats.org/officeDocument/2006/relationships/hyperlink" Id="rId69" Target="https://www.jobbank.gc.ca/marketreport/summary-occupation/22511/ca" TargetMode="External" /><Relationship Type="http://schemas.openxmlformats.org/officeDocument/2006/relationships/hyperlink" Id="rId72" Target="https://www.jobbank.gc.ca/marketreport/summary-occupation/3950/ca" TargetMode="External" /><Relationship Type="http://schemas.openxmlformats.org/officeDocument/2006/relationships/hyperlink" Id="rId71" Target="https://www.jobbank.gc.ca/marketreport/wages-occupation/22511/ca" TargetMode="External" /><Relationship Type="http://schemas.openxmlformats.org/officeDocument/2006/relationships/hyperlink" Id="rId74" Target="https://www.jobbank.gc.ca/wagereport/occupation/3950" TargetMode="External" /><Relationship Type="http://schemas.openxmlformats.org/officeDocument/2006/relationships/hyperlink" Id="rId85" Target="https://www.nist.gov/itl/ai-risk-management-framework" TargetMode="External" /><Relationship Type="http://schemas.openxmlformats.org/officeDocument/2006/relationships/hyperlink" Id="rId88" Target="https://www.oitcinterfor.org/statsfp/paises" TargetMode="External" /><Relationship Type="http://schemas.openxmlformats.org/officeDocument/2006/relationships/hyperlink" Id="rId61" Target="https://www.onetonline.org/link/details/15-1253.00" TargetMode="External" /><Relationship Type="http://schemas.openxmlformats.org/officeDocument/2006/relationships/hyperlink" Id="rId64" Target="https://www.onetonline.org/link/localtrends/15-1253.00" TargetMode="External" /><Relationship Type="http://schemas.openxmlformats.org/officeDocument/2006/relationships/hyperlink" Id="rId63" Target="https://www.onetonline.org/link/localwages/15-1253.00" TargetMode="External" /><Relationship Type="http://schemas.openxmlformats.org/officeDocument/2006/relationships/hyperlink" Id="rId62" Target="https://www.onetonline.org/link/summary/15-1253.00" TargetMode="External" /><Relationship Type="http://schemas.openxmlformats.org/officeDocument/2006/relationships/hyperlink" Id="rId86" Target="https://www.section508.gov/create/" TargetMode="External" /><Relationship Type="http://schemas.openxmlformats.org/officeDocument/2006/relationships/hyperlink" Id="rId87" Target="https://www.w3.org/TR/WCAG22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9" Target="https://betowa.sena.edu.co/oferta/manejo-de-pruebas-de-software?programId=103412" TargetMode="External" /><Relationship Type="http://schemas.openxmlformats.org/officeDocument/2006/relationships/hyperlink" Id="rId80" Target="https://betowa.sena.edu.co/oferta/modelos-de-calidad-de-software?modality=V&amp;offertype=open&amp;programId=73282&amp;technology=1" TargetMode="External" /><Relationship Type="http://schemas.openxmlformats.org/officeDocument/2006/relationships/hyperlink" Id="rId78" Target="https://betowa.sena.edu.co/oferta/procesamiento-de-pruebas-de-software?level=2&amp;modality=V&amp;programId=171614" TargetMode="External" /><Relationship Type="http://schemas.openxmlformats.org/officeDocument/2006/relationships/hyperlink" Id="rId81" Target="https://betowa.sena.edu.co/oferta/procesos-para-software-de-calidad?programId=68240" TargetMode="External" /><Relationship Type="http://schemas.openxmlformats.org/officeDocument/2006/relationships/hyperlink" Id="rId83" Target="https://csrc.nist.gov/pubs/sp/800/218/final" TargetMode="External" /><Relationship Type="http://schemas.openxmlformats.org/officeDocument/2006/relationships/hyperlink" Id="rId77" Target="https://ocupacol.mintrabajo.gov.co/Profile/OccupationalProfile/25190" TargetMode="External" /><Relationship Type="http://schemas.openxmlformats.org/officeDocument/2006/relationships/hyperlink" Id="rId84" Target="https://owasp.org/www-project-web-security-testing-guide/" TargetMode="External" /><Relationship Type="http://schemas.openxmlformats.org/officeDocument/2006/relationships/hyperlink" Id="rId66" Target="https://www.apprenticeship.gov/" TargetMode="External" /><Relationship Type="http://schemas.openxmlformats.org/officeDocument/2006/relationships/hyperlink" Id="rId75" Target="https://www.canada.ca/en/services/jobs/training.html" TargetMode="External" /><Relationship Type="http://schemas.openxmlformats.org/officeDocument/2006/relationships/hyperlink" Id="rId65" Target="https://www.careeronestop.org/LocalHelp/EmploymentAndTraining/find-WIOA-training-programs.aspx" TargetMode="External" /><Relationship Type="http://schemas.openxmlformats.org/officeDocument/2006/relationships/hyperlink" Id="rId67" Target="https://www.indeed.com/career/software-quality-assurance-analyst/salaries" TargetMode="External" /><Relationship Type="http://schemas.openxmlformats.org/officeDocument/2006/relationships/hyperlink" Id="rId70" Target="https://www.jobbank.gc.ca/marketreport/requirements/22511/ca" TargetMode="External" /><Relationship Type="http://schemas.openxmlformats.org/officeDocument/2006/relationships/hyperlink" Id="rId73" Target="https://www.jobbank.gc.ca/marketreport/requirements/3950/ca" TargetMode="External" /><Relationship Type="http://schemas.openxmlformats.org/officeDocument/2006/relationships/hyperlink" Id="rId69" Target="https://www.jobbank.gc.ca/marketreport/summary-occupation/22511/ca" TargetMode="External" /><Relationship Type="http://schemas.openxmlformats.org/officeDocument/2006/relationships/hyperlink" Id="rId72" Target="https://www.jobbank.gc.ca/marketreport/summary-occupation/3950/ca" TargetMode="External" /><Relationship Type="http://schemas.openxmlformats.org/officeDocument/2006/relationships/hyperlink" Id="rId71" Target="https://www.jobbank.gc.ca/marketreport/wages-occupation/22511/ca" TargetMode="External" /><Relationship Type="http://schemas.openxmlformats.org/officeDocument/2006/relationships/hyperlink" Id="rId74" Target="https://www.jobbank.gc.ca/wagereport/occupation/3950" TargetMode="External" /><Relationship Type="http://schemas.openxmlformats.org/officeDocument/2006/relationships/hyperlink" Id="rId85" Target="https://www.nist.gov/itl/ai-risk-management-framework" TargetMode="External" /><Relationship Type="http://schemas.openxmlformats.org/officeDocument/2006/relationships/hyperlink" Id="rId88" Target="https://www.oitcinterfor.org/statsfp/paises" TargetMode="External" /><Relationship Type="http://schemas.openxmlformats.org/officeDocument/2006/relationships/hyperlink" Id="rId61" Target="https://www.onetonline.org/link/details/15-1253.00" TargetMode="External" /><Relationship Type="http://schemas.openxmlformats.org/officeDocument/2006/relationships/hyperlink" Id="rId64" Target="https://www.onetonline.org/link/localtrends/15-1253.00" TargetMode="External" /><Relationship Type="http://schemas.openxmlformats.org/officeDocument/2006/relationships/hyperlink" Id="rId63" Target="https://www.onetonline.org/link/localwages/15-1253.00" TargetMode="External" /><Relationship Type="http://schemas.openxmlformats.org/officeDocument/2006/relationships/hyperlink" Id="rId62" Target="https://www.onetonline.org/link/summary/15-1253.00" TargetMode="External" /><Relationship Type="http://schemas.openxmlformats.org/officeDocument/2006/relationships/hyperlink" Id="rId86" Target="https://www.section508.gov/create/" TargetMode="External" /><Relationship Type="http://schemas.openxmlformats.org/officeDocument/2006/relationships/hyperlink" Id="rId87" Target="https://www.w3.org/TR/WCAG22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2026-08-22T07:10:03Z</dcterms:created>
  <dcterms:modified xsi:type="dcterms:W3CDTF">2026-08-22T07:10:03Z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