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fa3ba4197a844ebfc7f1e512a0467d3f630b298"/>
    <w:p>
      <w:pPr>
        <w:pStyle w:val="Heading1"/>
      </w:pPr>
      <w:r>
        <w:t xml:space="preserve">Lifelong Opportunity Guide 71 — Event Coordinator and Meeting Assistant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13-1121.00 — Meeting, Convention, and Event Planners</w:t>
      </w:r>
      <w:r>
        <w:br/>
      </w:r>
      <w:r>
        <w:rPr>
          <w:bCs/>
          <w:b/>
        </w:rPr>
        <w:t xml:space="preserve">Canada comparison:</w:t>
      </w:r>
      <w:r>
        <w:t xml:space="preserve"> </w:t>
      </w:r>
      <w:r>
        <w:t xml:space="preserve">NOC 12103 — Conference and event planners</w:t>
      </w:r>
      <w:r>
        <w:br/>
      </w:r>
      <w:r>
        <w:rPr>
          <w:bCs/>
          <w:b/>
        </w:rPr>
        <w:t xml:space="preserve">Colombia comparison:</w:t>
      </w:r>
      <w:r>
        <w:t xml:space="preserve"> </w:t>
      </w:r>
      <w:r>
        <w:t xml:space="preserve">CUOC 33320 — Coordinadores y productores de conferencias, eventos y espectáculos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Event coordinators and meeting assistants help turn an event idea into a workable plan and then help carry that plan through registration, vendor coordination, venue preparation, schedules, attendee communication, on-site support, and post-event follow-up.</w:t>
      </w:r>
    </w:p>
    <w:p>
      <w:pPr>
        <w:pStyle w:val="BodyText"/>
      </w:pPr>
      <w:r>
        <w:t xml:space="preserve">The work may support business meetings, conferences, conventions, trade shows, training sessions, university events, community programs, hotel functions, nonprofit events, weddings, festivals, exhibitions, fundraisers, internal company gatherings, hybrid meetings, or virtual events. Titles vary widely. Employers may use names such as event assistant, meeting assistant, event coordinator, conference coordinator, events specialist, convention services coordinator, banquet coordinator, program coordinator, or special-events coordinator.</w:t>
      </w:r>
    </w:p>
    <w:p>
      <w:pPr>
        <w:pStyle w:val="BodyText"/>
      </w:pPr>
      <w:r>
        <w:t xml:space="preserve">This guide uses</w:t>
      </w:r>
      <w:r>
        <w:t xml:space="preserve"> </w:t>
      </w:r>
      <w:r>
        <w:rPr>
          <w:bCs/>
          <w:b/>
        </w:rPr>
        <w:t xml:space="preserve">O*NET-SOC 13-1121.00 — Meeting, Convention, and Event Planners</w:t>
      </w:r>
      <w:r>
        <w:t xml:space="preserve"> </w:t>
      </w:r>
      <w:r>
        <w:t xml:space="preserve">as the primary U.S. benchmark. That occupation is broader than many entry-level “assistant” positions. A meeting assistant may support one portion of the process while a senior planner or manager owns the budget, contract, venue, legal, safety, or client decisions. The safest career approach is to understand the full event lifecycle while acting only within the authority actually assigned by the employer or client.</w:t>
      </w:r>
    </w:p>
    <w:bookmarkEnd w:id="20"/>
    <w:bookmarkStart w:id="21" w:name="why-this-role-can-be-an-opportunity"/>
    <w:p>
      <w:pPr>
        <w:pStyle w:val="Heading2"/>
      </w:pPr>
      <w:r>
        <w:t xml:space="preserve">Why this role can be an opportunity</w:t>
      </w:r>
    </w:p>
    <w:p>
      <w:pPr>
        <w:pStyle w:val="FirstParagraph"/>
      </w:pPr>
      <w:r>
        <w:t xml:space="preserve">Event work combines organization, customer service, communication, administration, problem solving, vendor coordination, scheduling, technology, and teamwork. Many of those abilities transfer from hospitality, office support, customer service, sales, tourism, education, nonprofit work, marketing, project coordination, retail, food service, or volunteer leadership.</w:t>
      </w:r>
    </w:p>
    <w:p>
      <w:pPr>
        <w:pStyle w:val="BodyText"/>
      </w:pPr>
      <w:r>
        <w:t xml:space="preserve">The field can suit people who enjoy:</w:t>
      </w:r>
    </w:p>
    <w:p>
      <w:pPr>
        <w:numPr>
          <w:ilvl w:val="0"/>
          <w:numId w:val="1001"/>
        </w:numPr>
        <w:pStyle w:val="Compact"/>
      </w:pPr>
      <w:r>
        <w:t xml:space="preserve">organizing details into a clear sequence;</w:t>
      </w:r>
    </w:p>
    <w:p>
      <w:pPr>
        <w:numPr>
          <w:ilvl w:val="0"/>
          <w:numId w:val="1001"/>
        </w:numPr>
        <w:pStyle w:val="Compact"/>
      </w:pPr>
      <w:r>
        <w:t xml:space="preserve">helping people feel welcomed and informed;</w:t>
      </w:r>
    </w:p>
    <w:p>
      <w:pPr>
        <w:numPr>
          <w:ilvl w:val="0"/>
          <w:numId w:val="1001"/>
        </w:numPr>
        <w:pStyle w:val="Compact"/>
      </w:pPr>
      <w:r>
        <w:t xml:space="preserve">communicating with different vendors and teams;</w:t>
      </w:r>
    </w:p>
    <w:p>
      <w:pPr>
        <w:numPr>
          <w:ilvl w:val="0"/>
          <w:numId w:val="1001"/>
        </w:numPr>
        <w:pStyle w:val="Compact"/>
      </w:pPr>
      <w:r>
        <w:t xml:space="preserve">solving practical problems under time pressure;</w:t>
      </w:r>
    </w:p>
    <w:p>
      <w:pPr>
        <w:numPr>
          <w:ilvl w:val="0"/>
          <w:numId w:val="1001"/>
        </w:numPr>
        <w:pStyle w:val="Compact"/>
      </w:pPr>
      <w:r>
        <w:t xml:space="preserve">checking work for accuracy;</w:t>
      </w:r>
    </w:p>
    <w:p>
      <w:pPr>
        <w:numPr>
          <w:ilvl w:val="0"/>
          <w:numId w:val="1001"/>
        </w:numPr>
        <w:pStyle w:val="Compact"/>
      </w:pPr>
      <w:r>
        <w:t xml:space="preserve">keeping schedules, lists, budgets, and records current;</w:t>
      </w:r>
    </w:p>
    <w:p>
      <w:pPr>
        <w:numPr>
          <w:ilvl w:val="0"/>
          <w:numId w:val="1001"/>
        </w:numPr>
        <w:pStyle w:val="Compact"/>
      </w:pPr>
      <w:r>
        <w:t xml:space="preserve">supporting accessibility and inclusive participation;</w:t>
      </w:r>
    </w:p>
    <w:p>
      <w:pPr>
        <w:numPr>
          <w:ilvl w:val="0"/>
          <w:numId w:val="1001"/>
        </w:numPr>
        <w:pStyle w:val="Compact"/>
      </w:pPr>
      <w:r>
        <w:t xml:space="preserve">seeing a project move from planning to a visible result.</w:t>
      </w:r>
    </w:p>
    <w:p>
      <w:pPr>
        <w:pStyle w:val="FirstParagraph"/>
      </w:pPr>
      <w:r>
        <w:t xml:space="preserve">The work can also be demanding. Event dates do not move simply because a vendor is late or a problem appears. Some roles involve early mornings, evenings, weekends, travel, standing, lifting within job requirements, rapid changes, crowded environments, and multiple simultaneous requests. A realistic job preview, volunteer assignment, internship, hospitality role, or short supervised event project can help a learner decide whether the pace fits before paying for specialized training.</w:t>
      </w:r>
    </w:p>
    <w:bookmarkEnd w:id="21"/>
    <w:bookmarkStart w:id="25" w:name="X5e7ce9be67996c524642b52d5aa28b1d6dc530a"/>
    <w:p>
      <w:pPr>
        <w:pStyle w:val="Heading2"/>
      </w:pPr>
      <w:r>
        <w:t xml:space="preserve">Assistant, coordinator, planner, and manager are not the same authority level</w:t>
      </w:r>
    </w:p>
    <w:p>
      <w:pPr>
        <w:pStyle w:val="FirstParagraph"/>
      </w:pPr>
      <w:r>
        <w:t xml:space="preserve">Employers use titles differently, so always read the actual job description. A useful working distinction is:</w:t>
      </w:r>
    </w:p>
    <w:bookmarkStart w:id="22" w:name="meeting-or-event-assistant"/>
    <w:p>
      <w:pPr>
        <w:pStyle w:val="Heading3"/>
      </w:pPr>
      <w:r>
        <w:t xml:space="preserve">Meeting or event assistant</w:t>
      </w:r>
    </w:p>
    <w:p>
      <w:pPr>
        <w:pStyle w:val="FirstParagraph"/>
      </w:pPr>
      <w:r>
        <w:t xml:space="preserve">An assistant may:</w:t>
      </w:r>
    </w:p>
    <w:p>
      <w:pPr>
        <w:numPr>
          <w:ilvl w:val="0"/>
          <w:numId w:val="1002"/>
        </w:numPr>
        <w:pStyle w:val="Compact"/>
      </w:pPr>
      <w:r>
        <w:t xml:space="preserve">update attendee lists;</w:t>
      </w:r>
    </w:p>
    <w:p>
      <w:pPr>
        <w:numPr>
          <w:ilvl w:val="0"/>
          <w:numId w:val="1002"/>
        </w:numPr>
        <w:pStyle w:val="Compact"/>
      </w:pPr>
      <w:r>
        <w:t xml:space="preserve">prepare name badges or materials;</w:t>
      </w:r>
    </w:p>
    <w:p>
      <w:pPr>
        <w:numPr>
          <w:ilvl w:val="0"/>
          <w:numId w:val="1002"/>
        </w:numPr>
        <w:pStyle w:val="Compact"/>
      </w:pPr>
      <w:r>
        <w:t xml:space="preserve">send approved reminders;</w:t>
      </w:r>
    </w:p>
    <w:p>
      <w:pPr>
        <w:numPr>
          <w:ilvl w:val="0"/>
          <w:numId w:val="1002"/>
        </w:numPr>
        <w:pStyle w:val="Compact"/>
      </w:pPr>
      <w:r>
        <w:t xml:space="preserve">schedule meetings;</w:t>
      </w:r>
    </w:p>
    <w:p>
      <w:pPr>
        <w:numPr>
          <w:ilvl w:val="0"/>
          <w:numId w:val="1002"/>
        </w:numPr>
        <w:pStyle w:val="Compact"/>
      </w:pPr>
      <w:r>
        <w:t xml:space="preserve">maintain checklists;</w:t>
      </w:r>
    </w:p>
    <w:p>
      <w:pPr>
        <w:numPr>
          <w:ilvl w:val="0"/>
          <w:numId w:val="1002"/>
        </w:numPr>
        <w:pStyle w:val="Compact"/>
      </w:pPr>
      <w:r>
        <w:t xml:space="preserve">collect vendor documents;</w:t>
      </w:r>
    </w:p>
    <w:p>
      <w:pPr>
        <w:numPr>
          <w:ilvl w:val="0"/>
          <w:numId w:val="1002"/>
        </w:numPr>
        <w:pStyle w:val="Compact"/>
      </w:pPr>
      <w:r>
        <w:t xml:space="preserve">support registration;</w:t>
      </w:r>
    </w:p>
    <w:p>
      <w:pPr>
        <w:numPr>
          <w:ilvl w:val="0"/>
          <w:numId w:val="1002"/>
        </w:numPr>
        <w:pStyle w:val="Compact"/>
      </w:pPr>
      <w:r>
        <w:t xml:space="preserve">prepare rooming or seating information;</w:t>
      </w:r>
    </w:p>
    <w:p>
      <w:pPr>
        <w:numPr>
          <w:ilvl w:val="0"/>
          <w:numId w:val="1002"/>
        </w:numPr>
        <w:pStyle w:val="Compact"/>
      </w:pPr>
      <w:r>
        <w:t xml:space="preserve">help with signage or supplies;</w:t>
      </w:r>
    </w:p>
    <w:p>
      <w:pPr>
        <w:numPr>
          <w:ilvl w:val="0"/>
          <w:numId w:val="1002"/>
        </w:numPr>
        <w:pStyle w:val="Compact"/>
      </w:pPr>
      <w:r>
        <w:t xml:space="preserve">record action items;</w:t>
      </w:r>
    </w:p>
    <w:p>
      <w:pPr>
        <w:numPr>
          <w:ilvl w:val="0"/>
          <w:numId w:val="1002"/>
        </w:numPr>
        <w:pStyle w:val="Compact"/>
      </w:pPr>
      <w:r>
        <w:t xml:space="preserve">escalate issues to the assigned coordinator or manager.</w:t>
      </w:r>
    </w:p>
    <w:bookmarkEnd w:id="22"/>
    <w:bookmarkStart w:id="23" w:name="event-coordinator"/>
    <w:p>
      <w:pPr>
        <w:pStyle w:val="Heading3"/>
      </w:pPr>
      <w:r>
        <w:t xml:space="preserve">Event coordinator</w:t>
      </w:r>
    </w:p>
    <w:p>
      <w:pPr>
        <w:pStyle w:val="FirstParagraph"/>
      </w:pPr>
      <w:r>
        <w:t xml:space="preserve">A coordinator may additionally:</w:t>
      </w:r>
    </w:p>
    <w:p>
      <w:pPr>
        <w:numPr>
          <w:ilvl w:val="0"/>
          <w:numId w:val="1003"/>
        </w:numPr>
        <w:pStyle w:val="Compact"/>
      </w:pPr>
      <w:r>
        <w:t xml:space="preserve">coordinate approved vendors and timelines;</w:t>
      </w:r>
    </w:p>
    <w:p>
      <w:pPr>
        <w:numPr>
          <w:ilvl w:val="0"/>
          <w:numId w:val="1003"/>
        </w:numPr>
        <w:pStyle w:val="Compact"/>
      </w:pPr>
      <w:r>
        <w:t xml:space="preserve">confirm venue details;</w:t>
      </w:r>
    </w:p>
    <w:p>
      <w:pPr>
        <w:numPr>
          <w:ilvl w:val="0"/>
          <w:numId w:val="1003"/>
        </w:numPr>
        <w:pStyle w:val="Compact"/>
      </w:pPr>
      <w:r>
        <w:t xml:space="preserve">manage registration workflows;</w:t>
      </w:r>
    </w:p>
    <w:p>
      <w:pPr>
        <w:numPr>
          <w:ilvl w:val="0"/>
          <w:numId w:val="1003"/>
        </w:numPr>
        <w:pStyle w:val="Compact"/>
      </w:pPr>
      <w:r>
        <w:t xml:space="preserve">track budgets against authorized amounts;</w:t>
      </w:r>
    </w:p>
    <w:p>
      <w:pPr>
        <w:numPr>
          <w:ilvl w:val="0"/>
          <w:numId w:val="1003"/>
        </w:numPr>
        <w:pStyle w:val="Compact"/>
      </w:pPr>
      <w:r>
        <w:t xml:space="preserve">coordinate catering, audiovisual, room setup, transportation, staffing, or accessibility arrangements;</w:t>
      </w:r>
    </w:p>
    <w:p>
      <w:pPr>
        <w:numPr>
          <w:ilvl w:val="0"/>
          <w:numId w:val="1003"/>
        </w:numPr>
        <w:pStyle w:val="Compact"/>
      </w:pPr>
      <w:r>
        <w:t xml:space="preserve">maintain the event run-of-show;</w:t>
      </w:r>
    </w:p>
    <w:p>
      <w:pPr>
        <w:numPr>
          <w:ilvl w:val="0"/>
          <w:numId w:val="1003"/>
        </w:numPr>
        <w:pStyle w:val="Compact"/>
      </w:pPr>
      <w:r>
        <w:t xml:space="preserve">lead assigned on-site tasks;</w:t>
      </w:r>
    </w:p>
    <w:p>
      <w:pPr>
        <w:numPr>
          <w:ilvl w:val="0"/>
          <w:numId w:val="1003"/>
        </w:numPr>
        <w:pStyle w:val="Compact"/>
      </w:pPr>
      <w:r>
        <w:t xml:space="preserve">reconcile invoices or event records within delegated authority.</w:t>
      </w:r>
    </w:p>
    <w:bookmarkEnd w:id="23"/>
    <w:bookmarkStart w:id="24" w:name="planner-or-manager"/>
    <w:p>
      <w:pPr>
        <w:pStyle w:val="Heading3"/>
      </w:pPr>
      <w:r>
        <w:t xml:space="preserve">Planner or manager</w:t>
      </w:r>
    </w:p>
    <w:p>
      <w:pPr>
        <w:pStyle w:val="FirstParagraph"/>
      </w:pPr>
      <w:r>
        <w:t xml:space="preserve">A planner or manager may have broader authority for:</w:t>
      </w:r>
    </w:p>
    <w:p>
      <w:pPr>
        <w:numPr>
          <w:ilvl w:val="0"/>
          <w:numId w:val="1004"/>
        </w:numPr>
        <w:pStyle w:val="Compact"/>
      </w:pPr>
      <w:r>
        <w:t xml:space="preserve">client strategy and event objectives;</w:t>
      </w:r>
    </w:p>
    <w:p>
      <w:pPr>
        <w:numPr>
          <w:ilvl w:val="0"/>
          <w:numId w:val="1004"/>
        </w:numPr>
        <w:pStyle w:val="Compact"/>
      </w:pPr>
      <w:r>
        <w:t xml:space="preserve">venue selection;</w:t>
      </w:r>
    </w:p>
    <w:p>
      <w:pPr>
        <w:numPr>
          <w:ilvl w:val="0"/>
          <w:numId w:val="1004"/>
        </w:numPr>
        <w:pStyle w:val="Compact"/>
      </w:pPr>
      <w:r>
        <w:t xml:space="preserve">budget approval;</w:t>
      </w:r>
    </w:p>
    <w:p>
      <w:pPr>
        <w:numPr>
          <w:ilvl w:val="0"/>
          <w:numId w:val="1004"/>
        </w:numPr>
        <w:pStyle w:val="Compact"/>
      </w:pPr>
      <w:r>
        <w:t xml:space="preserve">contracts and procurement;</w:t>
      </w:r>
    </w:p>
    <w:p>
      <w:pPr>
        <w:numPr>
          <w:ilvl w:val="0"/>
          <w:numId w:val="1004"/>
        </w:numPr>
        <w:pStyle w:val="Compact"/>
      </w:pPr>
      <w:r>
        <w:t xml:space="preserve">insurance requirements;</w:t>
      </w:r>
    </w:p>
    <w:p>
      <w:pPr>
        <w:numPr>
          <w:ilvl w:val="0"/>
          <w:numId w:val="1004"/>
        </w:numPr>
        <w:pStyle w:val="Compact"/>
      </w:pPr>
      <w:r>
        <w:t xml:space="preserve">permits or regulatory coordination;</w:t>
      </w:r>
    </w:p>
    <w:p>
      <w:pPr>
        <w:numPr>
          <w:ilvl w:val="0"/>
          <w:numId w:val="1004"/>
        </w:numPr>
        <w:pStyle w:val="Compact"/>
      </w:pPr>
      <w:r>
        <w:t xml:space="preserve">risk and emergency planning;</w:t>
      </w:r>
    </w:p>
    <w:p>
      <w:pPr>
        <w:numPr>
          <w:ilvl w:val="0"/>
          <w:numId w:val="1004"/>
        </w:numPr>
        <w:pStyle w:val="Compact"/>
      </w:pPr>
      <w:r>
        <w:t xml:space="preserve">staffing authority;</w:t>
      </w:r>
    </w:p>
    <w:p>
      <w:pPr>
        <w:numPr>
          <w:ilvl w:val="0"/>
          <w:numId w:val="1004"/>
        </w:numPr>
        <w:pStyle w:val="Compact"/>
      </w:pPr>
      <w:r>
        <w:t xml:space="preserve">sponsorships;</w:t>
      </w:r>
    </w:p>
    <w:p>
      <w:pPr>
        <w:numPr>
          <w:ilvl w:val="0"/>
          <w:numId w:val="1004"/>
        </w:numPr>
        <w:pStyle w:val="Compact"/>
      </w:pPr>
      <w:r>
        <w:t xml:space="preserve">executive or client reporting;</w:t>
      </w:r>
    </w:p>
    <w:p>
      <w:pPr>
        <w:numPr>
          <w:ilvl w:val="0"/>
          <w:numId w:val="1004"/>
        </w:numPr>
        <w:pStyle w:val="Compact"/>
      </w:pPr>
      <w:r>
        <w:t xml:space="preserve">final vendor selection;</w:t>
      </w:r>
    </w:p>
    <w:p>
      <w:pPr>
        <w:numPr>
          <w:ilvl w:val="0"/>
          <w:numId w:val="1004"/>
        </w:numPr>
        <w:pStyle w:val="Compact"/>
      </w:pPr>
      <w:r>
        <w:t xml:space="preserve">financial commitments;</w:t>
      </w:r>
    </w:p>
    <w:p>
      <w:pPr>
        <w:numPr>
          <w:ilvl w:val="0"/>
          <w:numId w:val="1004"/>
        </w:numPr>
        <w:pStyle w:val="Compact"/>
      </w:pPr>
      <w:r>
        <w:t xml:space="preserve">escalation and cancellation decisions.</w:t>
      </w:r>
    </w:p>
    <w:p>
      <w:pPr>
        <w:pStyle w:val="FirstParagraph"/>
      </w:pPr>
      <w:r>
        <w:t xml:space="preserve">These boundaries are examples, not universal rules. The employer’s written authority, contract, procurement process, local law, venue rules, and event type control what an individual worker may actually do.</w:t>
      </w:r>
    </w:p>
    <w:bookmarkEnd w:id="24"/>
    <w:bookmarkEnd w:id="25"/>
    <w:bookmarkStart w:id="26" w:name="typical-responsibilities"/>
    <w:p>
      <w:pPr>
        <w:pStyle w:val="Heading2"/>
      </w:pPr>
      <w:r>
        <w:t xml:space="preserve">Typical responsibilities</w:t>
      </w:r>
    </w:p>
    <w:p>
      <w:pPr>
        <w:pStyle w:val="FirstParagraph"/>
      </w:pPr>
      <w:r>
        <w:t xml:space="preserve">Depending on the employer, an event coordinator or meeting assistant may:</w:t>
      </w:r>
    </w:p>
    <w:p>
      <w:pPr>
        <w:numPr>
          <w:ilvl w:val="0"/>
          <w:numId w:val="1005"/>
        </w:numPr>
        <w:pStyle w:val="Compact"/>
      </w:pPr>
      <w:r>
        <w:t xml:space="preserve">meet with a client, manager, or internal stakeholder to understand the event purpose and audience;</w:t>
      </w:r>
    </w:p>
    <w:p>
      <w:pPr>
        <w:numPr>
          <w:ilvl w:val="0"/>
          <w:numId w:val="1005"/>
        </w:numPr>
        <w:pStyle w:val="Compact"/>
      </w:pPr>
      <w:r>
        <w:t xml:space="preserve">document objectives, dates, attendance assumptions, budget limits, accessibility needs, and decision owners;</w:t>
      </w:r>
    </w:p>
    <w:p>
      <w:pPr>
        <w:numPr>
          <w:ilvl w:val="0"/>
          <w:numId w:val="1005"/>
        </w:numPr>
        <w:pStyle w:val="Compact"/>
      </w:pPr>
      <w:r>
        <w:t xml:space="preserve">compare venue or meeting-space options;</w:t>
      </w:r>
    </w:p>
    <w:p>
      <w:pPr>
        <w:numPr>
          <w:ilvl w:val="0"/>
          <w:numId w:val="1005"/>
        </w:numPr>
        <w:pStyle w:val="Compact"/>
      </w:pPr>
      <w:r>
        <w:t xml:space="preserve">maintain planning calendars and milestone lists;</w:t>
      </w:r>
    </w:p>
    <w:p>
      <w:pPr>
        <w:numPr>
          <w:ilvl w:val="0"/>
          <w:numId w:val="1005"/>
        </w:numPr>
        <w:pStyle w:val="Compact"/>
      </w:pPr>
      <w:r>
        <w:t xml:space="preserve">coordinate invitations, registration, confirmations, reminders, and approved attendee communications;</w:t>
      </w:r>
    </w:p>
    <w:p>
      <w:pPr>
        <w:numPr>
          <w:ilvl w:val="0"/>
          <w:numId w:val="1005"/>
        </w:numPr>
        <w:pStyle w:val="Compact"/>
      </w:pPr>
      <w:r>
        <w:t xml:space="preserve">track headcounts and attendance changes;</w:t>
      </w:r>
    </w:p>
    <w:p>
      <w:pPr>
        <w:numPr>
          <w:ilvl w:val="0"/>
          <w:numId w:val="1005"/>
        </w:numPr>
        <w:pStyle w:val="Compact"/>
      </w:pPr>
      <w:r>
        <w:t xml:space="preserve">support accommodation and transportation arrangements where assigned;</w:t>
      </w:r>
    </w:p>
    <w:p>
      <w:pPr>
        <w:numPr>
          <w:ilvl w:val="0"/>
          <w:numId w:val="1005"/>
        </w:numPr>
        <w:pStyle w:val="Compact"/>
      </w:pPr>
      <w:r>
        <w:t xml:space="preserve">coordinate catering, room setup, tables, seating, signage, displays, audiovisual equipment, printing, or event technology;</w:t>
      </w:r>
    </w:p>
    <w:p>
      <w:pPr>
        <w:numPr>
          <w:ilvl w:val="0"/>
          <w:numId w:val="1005"/>
        </w:numPr>
        <w:pStyle w:val="Compact"/>
      </w:pPr>
      <w:r>
        <w:t xml:space="preserve">confirm vendor arrival times, contacts, deliverables, and escalation paths;</w:t>
      </w:r>
    </w:p>
    <w:p>
      <w:pPr>
        <w:numPr>
          <w:ilvl w:val="0"/>
          <w:numId w:val="1005"/>
        </w:numPr>
        <w:pStyle w:val="Compact"/>
      </w:pPr>
      <w:r>
        <w:t xml:space="preserve">maintain a run-of-show or event-day schedule;</w:t>
      </w:r>
    </w:p>
    <w:p>
      <w:pPr>
        <w:numPr>
          <w:ilvl w:val="0"/>
          <w:numId w:val="1005"/>
        </w:numPr>
        <w:pStyle w:val="Compact"/>
      </w:pPr>
      <w:r>
        <w:t xml:space="preserve">prepare staff or volunteer briefing materials;</w:t>
      </w:r>
    </w:p>
    <w:p>
      <w:pPr>
        <w:numPr>
          <w:ilvl w:val="0"/>
          <w:numId w:val="1005"/>
        </w:numPr>
        <w:pStyle w:val="Compact"/>
      </w:pPr>
      <w:r>
        <w:t xml:space="preserve">help organize speakers, presenters, panels, facilitators, or performers;</w:t>
      </w:r>
    </w:p>
    <w:p>
      <w:pPr>
        <w:numPr>
          <w:ilvl w:val="0"/>
          <w:numId w:val="1005"/>
        </w:numPr>
        <w:pStyle w:val="Compact"/>
      </w:pPr>
      <w:r>
        <w:t xml:space="preserve">collect presentation files through approved systems;</w:t>
      </w:r>
    </w:p>
    <w:p>
      <w:pPr>
        <w:numPr>
          <w:ilvl w:val="0"/>
          <w:numId w:val="1005"/>
        </w:numPr>
        <w:pStyle w:val="Compact"/>
      </w:pPr>
      <w:r>
        <w:t xml:space="preserve">support accessibility accommodations and accessible communication planning;</w:t>
      </w:r>
    </w:p>
    <w:p>
      <w:pPr>
        <w:numPr>
          <w:ilvl w:val="0"/>
          <w:numId w:val="1005"/>
        </w:numPr>
        <w:pStyle w:val="Compact"/>
      </w:pPr>
      <w:r>
        <w:t xml:space="preserve">track purchase orders, approved expenses, deposits, invoices, or reconciliation records;</w:t>
      </w:r>
    </w:p>
    <w:p>
      <w:pPr>
        <w:numPr>
          <w:ilvl w:val="0"/>
          <w:numId w:val="1005"/>
        </w:numPr>
        <w:pStyle w:val="Compact"/>
      </w:pPr>
      <w:r>
        <w:t xml:space="preserve">review event bills for obvious discrepancies and route them to the authorized approver;</w:t>
      </w:r>
    </w:p>
    <w:p>
      <w:pPr>
        <w:numPr>
          <w:ilvl w:val="0"/>
          <w:numId w:val="1005"/>
        </w:numPr>
        <w:pStyle w:val="Compact"/>
      </w:pPr>
      <w:r>
        <w:t xml:space="preserve">maintain event files, contracts, approvals, attendee records, vendor information, and change logs according to policy;</w:t>
      </w:r>
    </w:p>
    <w:p>
      <w:pPr>
        <w:numPr>
          <w:ilvl w:val="0"/>
          <w:numId w:val="1005"/>
        </w:numPr>
        <w:pStyle w:val="Compact"/>
      </w:pPr>
      <w:r>
        <w:t xml:space="preserve">verify that venue emergency information and event escalation contacts are known to the team;</w:t>
      </w:r>
    </w:p>
    <w:p>
      <w:pPr>
        <w:numPr>
          <w:ilvl w:val="0"/>
          <w:numId w:val="1005"/>
        </w:numPr>
        <w:pStyle w:val="Compact"/>
      </w:pPr>
      <w:r>
        <w:t xml:space="preserve">support registration desks, information points, or virtual meeting rooms;</w:t>
      </w:r>
    </w:p>
    <w:p>
      <w:pPr>
        <w:numPr>
          <w:ilvl w:val="0"/>
          <w:numId w:val="1005"/>
        </w:numPr>
        <w:pStyle w:val="Compact"/>
      </w:pPr>
      <w:r>
        <w:t xml:space="preserve">document incidents and escalate them through employer or venue procedures;</w:t>
      </w:r>
    </w:p>
    <w:p>
      <w:pPr>
        <w:numPr>
          <w:ilvl w:val="0"/>
          <w:numId w:val="1005"/>
        </w:numPr>
        <w:pStyle w:val="Compact"/>
      </w:pPr>
      <w:r>
        <w:t xml:space="preserve">collect approved post-event feedback;</w:t>
      </w:r>
    </w:p>
    <w:p>
      <w:pPr>
        <w:numPr>
          <w:ilvl w:val="0"/>
          <w:numId w:val="1005"/>
        </w:numPr>
        <w:pStyle w:val="Compact"/>
      </w:pPr>
      <w:r>
        <w:t xml:space="preserve">reconcile attendance, materials, invoices, open items, and lessons learned;</w:t>
      </w:r>
    </w:p>
    <w:p>
      <w:pPr>
        <w:numPr>
          <w:ilvl w:val="0"/>
          <w:numId w:val="1005"/>
        </w:numPr>
        <w:pStyle w:val="Compact"/>
      </w:pPr>
      <w:r>
        <w:t xml:space="preserve">archive or dispose of records according to organizational policy.</w:t>
      </w:r>
    </w:p>
    <w:bookmarkEnd w:id="26"/>
    <w:bookmarkStart w:id="27" w:name="authority-and-professional-boundaries"/>
    <w:p>
      <w:pPr>
        <w:pStyle w:val="Heading2"/>
      </w:pPr>
      <w:r>
        <w:t xml:space="preserve">Authority and professional boundaries</w:t>
      </w:r>
    </w:p>
    <w:p>
      <w:pPr>
        <w:pStyle w:val="FirstParagraph"/>
      </w:pPr>
      <w:r>
        <w:t xml:space="preserve">An event title does</w:t>
      </w:r>
      <w:r>
        <w:t xml:space="preserve"> </w:t>
      </w:r>
      <w:r>
        <w:rPr>
          <w:bCs/>
          <w:b/>
        </w:rPr>
        <w:t xml:space="preserve">not</w:t>
      </w:r>
      <w:r>
        <w:t xml:space="preserve"> </w:t>
      </w:r>
      <w:r>
        <w:t xml:space="preserve">automatically authorize a worker to:</w:t>
      </w:r>
    </w:p>
    <w:p>
      <w:pPr>
        <w:numPr>
          <w:ilvl w:val="0"/>
          <w:numId w:val="1006"/>
        </w:numPr>
        <w:pStyle w:val="Compact"/>
      </w:pPr>
      <w:r>
        <w:t xml:space="preserve">sign a contract or commit company funds;</w:t>
      </w:r>
    </w:p>
    <w:p>
      <w:pPr>
        <w:numPr>
          <w:ilvl w:val="0"/>
          <w:numId w:val="1006"/>
        </w:numPr>
        <w:pStyle w:val="Compact"/>
      </w:pPr>
      <w:r>
        <w:t xml:space="preserve">change a vendor’s payment instructions without verification and approval;</w:t>
      </w:r>
    </w:p>
    <w:p>
      <w:pPr>
        <w:numPr>
          <w:ilvl w:val="0"/>
          <w:numId w:val="1006"/>
        </w:numPr>
        <w:pStyle w:val="Compact"/>
      </w:pPr>
      <w:r>
        <w:t xml:space="preserve">approve an insurance, legal, tax, alcohol-service, fire-code, occupancy, permit, or licensing determination;</w:t>
      </w:r>
    </w:p>
    <w:p>
      <w:pPr>
        <w:numPr>
          <w:ilvl w:val="0"/>
          <w:numId w:val="1006"/>
        </w:numPr>
        <w:pStyle w:val="Compact"/>
      </w:pPr>
      <w:r>
        <w:t xml:space="preserve">represent themselves as a lawyer, security professional, emergency responder, accessibility certifier, medical professional, immigration adviser, or government official;</w:t>
      </w:r>
    </w:p>
    <w:p>
      <w:pPr>
        <w:numPr>
          <w:ilvl w:val="0"/>
          <w:numId w:val="1006"/>
        </w:numPr>
        <w:pStyle w:val="Compact"/>
      </w:pPr>
      <w:r>
        <w:t xml:space="preserve">promise that an event is legally compliant or completely safe;</w:t>
      </w:r>
    </w:p>
    <w:p>
      <w:pPr>
        <w:numPr>
          <w:ilvl w:val="0"/>
          <w:numId w:val="1006"/>
        </w:numPr>
        <w:pStyle w:val="Compact"/>
      </w:pPr>
      <w:r>
        <w:t xml:space="preserve">override venue emergency procedures or directions from authorized responders;</w:t>
      </w:r>
    </w:p>
    <w:p>
      <w:pPr>
        <w:numPr>
          <w:ilvl w:val="0"/>
          <w:numId w:val="1006"/>
        </w:numPr>
        <w:pStyle w:val="Compact"/>
      </w:pPr>
      <w:r>
        <w:t xml:space="preserve">disclose attendee lists, travel plans, dietary information, disability information, contact data, payment data, identification documents, or private schedules to an unverified person;</w:t>
      </w:r>
    </w:p>
    <w:p>
      <w:pPr>
        <w:numPr>
          <w:ilvl w:val="0"/>
          <w:numId w:val="1006"/>
        </w:numPr>
        <w:pStyle w:val="Compact"/>
      </w:pPr>
      <w:r>
        <w:t xml:space="preserve">upload confidential contracts, attendee information, payment details, credentials, or private business information into an unapproved AI or cloud service;</w:t>
      </w:r>
    </w:p>
    <w:p>
      <w:pPr>
        <w:numPr>
          <w:ilvl w:val="0"/>
          <w:numId w:val="1006"/>
        </w:numPr>
        <w:pStyle w:val="Compact"/>
      </w:pPr>
      <w:r>
        <w:t xml:space="preserve">invent accessibility commitments that have not been confirmed;</w:t>
      </w:r>
    </w:p>
    <w:p>
      <w:pPr>
        <w:numPr>
          <w:ilvl w:val="0"/>
          <w:numId w:val="1006"/>
        </w:numPr>
        <w:pStyle w:val="Compact"/>
      </w:pPr>
      <w:r>
        <w:t xml:space="preserve">guarantee a vendor, venue, speaker, permit, sponsorship, refund, or cancellation outcome;</w:t>
      </w:r>
    </w:p>
    <w:p>
      <w:pPr>
        <w:numPr>
          <w:ilvl w:val="0"/>
          <w:numId w:val="1006"/>
        </w:numPr>
        <w:pStyle w:val="Compact"/>
      </w:pPr>
      <w:r>
        <w:t xml:space="preserve">approve an event beyond delegated budget authority;</w:t>
      </w:r>
    </w:p>
    <w:p>
      <w:pPr>
        <w:numPr>
          <w:ilvl w:val="0"/>
          <w:numId w:val="1006"/>
        </w:numPr>
        <w:pStyle w:val="Compact"/>
      </w:pPr>
      <w:r>
        <w:t xml:space="preserve">create fictitious invoices, receipts, attendance records, certificates, insurance documents, permits, or vendor confirmations;</w:t>
      </w:r>
    </w:p>
    <w:p>
      <w:pPr>
        <w:numPr>
          <w:ilvl w:val="0"/>
          <w:numId w:val="1006"/>
        </w:numPr>
        <w:pStyle w:val="Compact"/>
      </w:pPr>
      <w:r>
        <w:t xml:space="preserve">ignore harassment, threat, medical, crowd, fire, cybersecurity, fraud, or other escalation procedures;</w:t>
      </w:r>
    </w:p>
    <w:p>
      <w:pPr>
        <w:numPr>
          <w:ilvl w:val="0"/>
          <w:numId w:val="1006"/>
        </w:numPr>
        <w:pStyle w:val="Compact"/>
      </w:pPr>
      <w:r>
        <w:t xml:space="preserve">use AI output as the sole authority for contracts, prices, legal duties, emergency instructions, accessibility obligations, vendor terms, travel requirements, or other consequential decisions.</w:t>
      </w:r>
    </w:p>
    <w:p>
      <w:pPr>
        <w:pStyle w:val="FirstParagraph"/>
      </w:pPr>
      <w:r>
        <w:t xml:space="preserve">When authority is unclear, document the issue and escalate it to the appropriate manager, procurement function, legal/compliance contact, finance team, venue representative, accessibility contact, security team, emergency coordinator, insurer, or public authority.</w:t>
      </w:r>
    </w:p>
    <w:bookmarkEnd w:id="27"/>
    <w:bookmarkStart w:id="28" w:name="work-environment"/>
    <w:p>
      <w:pPr>
        <w:pStyle w:val="Heading2"/>
      </w:pPr>
      <w:r>
        <w:t xml:space="preserve">Work environment</w:t>
      </w:r>
    </w:p>
    <w:p>
      <w:pPr>
        <w:pStyle w:val="FirstParagraph"/>
      </w:pPr>
      <w:r>
        <w:t xml:space="preserve">Event work can move between desk-based planning and active event delivery.</w:t>
      </w:r>
    </w:p>
    <w:p>
      <w:pPr>
        <w:pStyle w:val="BodyText"/>
      </w:pPr>
      <w:r>
        <w:t xml:space="preserve">Planning work may involve:</w:t>
      </w:r>
    </w:p>
    <w:p>
      <w:pPr>
        <w:numPr>
          <w:ilvl w:val="0"/>
          <w:numId w:val="1007"/>
        </w:numPr>
        <w:pStyle w:val="Compact"/>
      </w:pPr>
      <w:r>
        <w:t xml:space="preserve">email, telephone, chat, and video meetings;</w:t>
      </w:r>
    </w:p>
    <w:p>
      <w:pPr>
        <w:numPr>
          <w:ilvl w:val="0"/>
          <w:numId w:val="1007"/>
        </w:numPr>
        <w:pStyle w:val="Compact"/>
      </w:pPr>
      <w:r>
        <w:t xml:space="preserve">spreadsheets and registration systems;</w:t>
      </w:r>
    </w:p>
    <w:p>
      <w:pPr>
        <w:numPr>
          <w:ilvl w:val="0"/>
          <w:numId w:val="1007"/>
        </w:numPr>
        <w:pStyle w:val="Compact"/>
      </w:pPr>
      <w:r>
        <w:t xml:space="preserve">budgets and purchase records;</w:t>
      </w:r>
    </w:p>
    <w:p>
      <w:pPr>
        <w:numPr>
          <w:ilvl w:val="0"/>
          <w:numId w:val="1007"/>
        </w:numPr>
        <w:pStyle w:val="Compact"/>
      </w:pPr>
      <w:r>
        <w:t xml:space="preserve">vendor proposals and contracts;</w:t>
      </w:r>
    </w:p>
    <w:p>
      <w:pPr>
        <w:numPr>
          <w:ilvl w:val="0"/>
          <w:numId w:val="1007"/>
        </w:numPr>
        <w:pStyle w:val="Compact"/>
      </w:pPr>
      <w:r>
        <w:t xml:space="preserve">calendars and project plans;</w:t>
      </w:r>
    </w:p>
    <w:p>
      <w:pPr>
        <w:numPr>
          <w:ilvl w:val="0"/>
          <w:numId w:val="1007"/>
        </w:numPr>
        <w:pStyle w:val="Compact"/>
      </w:pPr>
      <w:r>
        <w:t xml:space="preserve">virtual-event platforms;</w:t>
      </w:r>
    </w:p>
    <w:p>
      <w:pPr>
        <w:numPr>
          <w:ilvl w:val="0"/>
          <w:numId w:val="1007"/>
        </w:numPr>
        <w:pStyle w:val="Compact"/>
      </w:pPr>
      <w:r>
        <w:t xml:space="preserve">presentations and event documents;</w:t>
      </w:r>
    </w:p>
    <w:p>
      <w:pPr>
        <w:numPr>
          <w:ilvl w:val="0"/>
          <w:numId w:val="1007"/>
        </w:numPr>
        <w:pStyle w:val="Compact"/>
      </w:pPr>
      <w:r>
        <w:t xml:space="preserve">attendee and speaker communication.</w:t>
      </w:r>
    </w:p>
    <w:p>
      <w:pPr>
        <w:pStyle w:val="FirstParagraph"/>
      </w:pPr>
      <w:r>
        <w:t xml:space="preserve">Event-day work may involve:</w:t>
      </w:r>
    </w:p>
    <w:p>
      <w:pPr>
        <w:numPr>
          <w:ilvl w:val="0"/>
          <w:numId w:val="1008"/>
        </w:numPr>
        <w:pStyle w:val="Compact"/>
      </w:pPr>
      <w:r>
        <w:t xml:space="preserve">long periods standing or walking;</w:t>
      </w:r>
    </w:p>
    <w:p>
      <w:pPr>
        <w:numPr>
          <w:ilvl w:val="0"/>
          <w:numId w:val="1008"/>
        </w:numPr>
        <w:pStyle w:val="Compact"/>
      </w:pPr>
      <w:r>
        <w:t xml:space="preserve">early setup or late teardown;</w:t>
      </w:r>
    </w:p>
    <w:p>
      <w:pPr>
        <w:numPr>
          <w:ilvl w:val="0"/>
          <w:numId w:val="1008"/>
        </w:numPr>
        <w:pStyle w:val="Compact"/>
      </w:pPr>
      <w:r>
        <w:t xml:space="preserve">crowded spaces;</w:t>
      </w:r>
    </w:p>
    <w:p>
      <w:pPr>
        <w:numPr>
          <w:ilvl w:val="0"/>
          <w:numId w:val="1008"/>
        </w:numPr>
        <w:pStyle w:val="Compact"/>
      </w:pPr>
      <w:r>
        <w:t xml:space="preserve">repeated questions from attendees;</w:t>
      </w:r>
    </w:p>
    <w:p>
      <w:pPr>
        <w:numPr>
          <w:ilvl w:val="0"/>
          <w:numId w:val="1008"/>
        </w:numPr>
        <w:pStyle w:val="Compact"/>
      </w:pPr>
      <w:r>
        <w:t xml:space="preserve">coordination with venue, catering, audiovisual, security, transportation, and cleaning teams;</w:t>
      </w:r>
    </w:p>
    <w:p>
      <w:pPr>
        <w:numPr>
          <w:ilvl w:val="0"/>
          <w:numId w:val="1008"/>
        </w:numPr>
        <w:pStyle w:val="Compact"/>
      </w:pPr>
      <w:r>
        <w:t xml:space="preserve">rapid schedule changes;</w:t>
      </w:r>
    </w:p>
    <w:p>
      <w:pPr>
        <w:numPr>
          <w:ilvl w:val="0"/>
          <w:numId w:val="1008"/>
        </w:numPr>
        <w:pStyle w:val="Compact"/>
      </w:pPr>
      <w:r>
        <w:t xml:space="preserve">noise, weather, travel, or physical-access constraints depending on the venue;</w:t>
      </w:r>
    </w:p>
    <w:p>
      <w:pPr>
        <w:numPr>
          <w:ilvl w:val="0"/>
          <w:numId w:val="1008"/>
        </w:numPr>
        <w:pStyle w:val="Compact"/>
      </w:pPr>
      <w:r>
        <w:t xml:space="preserve">pressure to resolve issues without exceeding authority.</w:t>
      </w:r>
    </w:p>
    <w:p>
      <w:pPr>
        <w:pStyle w:val="FirstParagraph"/>
      </w:pPr>
      <w:r>
        <w:t xml:space="preserve">Some roles are remote or hybrid during planning and on-site for delivery. Fully virtual event roles still require reliable connectivity, secure accounts, careful access control, accessible digital materials, clear moderator roles, and backup procedures.</w:t>
      </w:r>
    </w:p>
    <w:p>
      <w:pPr>
        <w:pStyle w:val="BodyText"/>
      </w:pPr>
      <w:r>
        <w:t xml:space="preserve">If a job includes lifting, driving, prolonged standing, food handling, alcohol service, travel, or other specific physical or regulated duties, those requirements should be confirmed from the actual job posting and employer rather than assumed from the title.</w:t>
      </w:r>
    </w:p>
    <w:bookmarkEnd w:id="28"/>
    <w:bookmarkStart w:id="34" w:name="skills-employers-value"/>
    <w:p>
      <w:pPr>
        <w:pStyle w:val="Heading2"/>
      </w:pPr>
      <w:r>
        <w:t xml:space="preserve">Skills employers value</w:t>
      </w:r>
    </w:p>
    <w:bookmarkStart w:id="29" w:name="organization-and-coordination"/>
    <w:p>
      <w:pPr>
        <w:pStyle w:val="Heading3"/>
      </w:pPr>
      <w:r>
        <w:t xml:space="preserve">Organization and coordination</w:t>
      </w:r>
    </w:p>
    <w:p>
      <w:pPr>
        <w:numPr>
          <w:ilvl w:val="0"/>
          <w:numId w:val="1009"/>
        </w:numPr>
        <w:pStyle w:val="Compact"/>
      </w:pPr>
      <w:r>
        <w:t xml:space="preserve">calendar management;</w:t>
      </w:r>
    </w:p>
    <w:p>
      <w:pPr>
        <w:numPr>
          <w:ilvl w:val="0"/>
          <w:numId w:val="1009"/>
        </w:numPr>
        <w:pStyle w:val="Compact"/>
      </w:pPr>
      <w:r>
        <w:t xml:space="preserve">task sequencing;</w:t>
      </w:r>
    </w:p>
    <w:p>
      <w:pPr>
        <w:numPr>
          <w:ilvl w:val="0"/>
          <w:numId w:val="1009"/>
        </w:numPr>
        <w:pStyle w:val="Compact"/>
      </w:pPr>
      <w:r>
        <w:t xml:space="preserve">deadline tracking;</w:t>
      </w:r>
    </w:p>
    <w:p>
      <w:pPr>
        <w:numPr>
          <w:ilvl w:val="0"/>
          <w:numId w:val="1009"/>
        </w:numPr>
        <w:pStyle w:val="Compact"/>
      </w:pPr>
      <w:r>
        <w:t xml:space="preserve">attention to detail;</w:t>
      </w:r>
    </w:p>
    <w:p>
      <w:pPr>
        <w:numPr>
          <w:ilvl w:val="0"/>
          <w:numId w:val="1009"/>
        </w:numPr>
        <w:pStyle w:val="Compact"/>
      </w:pPr>
      <w:r>
        <w:t xml:space="preserve">change control;</w:t>
      </w:r>
    </w:p>
    <w:p>
      <w:pPr>
        <w:numPr>
          <w:ilvl w:val="0"/>
          <w:numId w:val="1009"/>
        </w:numPr>
        <w:pStyle w:val="Compact"/>
      </w:pPr>
      <w:r>
        <w:t xml:space="preserve">follow-up;</w:t>
      </w:r>
    </w:p>
    <w:p>
      <w:pPr>
        <w:numPr>
          <w:ilvl w:val="0"/>
          <w:numId w:val="1009"/>
        </w:numPr>
        <w:pStyle w:val="Compact"/>
      </w:pPr>
      <w:r>
        <w:t xml:space="preserve">document organization;</w:t>
      </w:r>
    </w:p>
    <w:p>
      <w:pPr>
        <w:numPr>
          <w:ilvl w:val="0"/>
          <w:numId w:val="1009"/>
        </w:numPr>
        <w:pStyle w:val="Compact"/>
      </w:pPr>
      <w:r>
        <w:t xml:space="preserve">accurate recordkeeping;</w:t>
      </w:r>
    </w:p>
    <w:p>
      <w:pPr>
        <w:numPr>
          <w:ilvl w:val="0"/>
          <w:numId w:val="1009"/>
        </w:numPr>
        <w:pStyle w:val="Compact"/>
      </w:pPr>
      <w:r>
        <w:t xml:space="preserve">prioritization;</w:t>
      </w:r>
    </w:p>
    <w:p>
      <w:pPr>
        <w:numPr>
          <w:ilvl w:val="0"/>
          <w:numId w:val="1009"/>
        </w:numPr>
        <w:pStyle w:val="Compact"/>
      </w:pPr>
      <w:r>
        <w:t xml:space="preserve">handoff discipline.</w:t>
      </w:r>
    </w:p>
    <w:bookmarkEnd w:id="29"/>
    <w:bookmarkStart w:id="30" w:name="communication-and-service"/>
    <w:p>
      <w:pPr>
        <w:pStyle w:val="Heading3"/>
      </w:pPr>
      <w:r>
        <w:t xml:space="preserve">Communication and service</w:t>
      </w:r>
    </w:p>
    <w:p>
      <w:pPr>
        <w:numPr>
          <w:ilvl w:val="0"/>
          <w:numId w:val="1010"/>
        </w:numPr>
        <w:pStyle w:val="Compact"/>
      </w:pPr>
      <w:r>
        <w:t xml:space="preserve">active listening;</w:t>
      </w:r>
    </w:p>
    <w:p>
      <w:pPr>
        <w:numPr>
          <w:ilvl w:val="0"/>
          <w:numId w:val="1010"/>
        </w:numPr>
        <w:pStyle w:val="Compact"/>
      </w:pPr>
      <w:r>
        <w:t xml:space="preserve">clear email and messaging;</w:t>
      </w:r>
    </w:p>
    <w:p>
      <w:pPr>
        <w:numPr>
          <w:ilvl w:val="0"/>
          <w:numId w:val="1010"/>
        </w:numPr>
        <w:pStyle w:val="Compact"/>
      </w:pPr>
      <w:r>
        <w:t xml:space="preserve">professional telephone communication;</w:t>
      </w:r>
    </w:p>
    <w:p>
      <w:pPr>
        <w:numPr>
          <w:ilvl w:val="0"/>
          <w:numId w:val="1010"/>
        </w:numPr>
        <w:pStyle w:val="Compact"/>
      </w:pPr>
      <w:r>
        <w:t xml:space="preserve">customer service;</w:t>
      </w:r>
    </w:p>
    <w:p>
      <w:pPr>
        <w:numPr>
          <w:ilvl w:val="0"/>
          <w:numId w:val="1010"/>
        </w:numPr>
        <w:pStyle w:val="Compact"/>
      </w:pPr>
      <w:r>
        <w:t xml:space="preserve">expectation setting;</w:t>
      </w:r>
    </w:p>
    <w:p>
      <w:pPr>
        <w:numPr>
          <w:ilvl w:val="0"/>
          <w:numId w:val="1010"/>
        </w:numPr>
        <w:pStyle w:val="Compact"/>
      </w:pPr>
      <w:r>
        <w:t xml:space="preserve">conflict de-escalation;</w:t>
      </w:r>
    </w:p>
    <w:p>
      <w:pPr>
        <w:numPr>
          <w:ilvl w:val="0"/>
          <w:numId w:val="1010"/>
        </w:numPr>
        <w:pStyle w:val="Compact"/>
      </w:pPr>
      <w:r>
        <w:t xml:space="preserve">concise status reporting;</w:t>
      </w:r>
    </w:p>
    <w:p>
      <w:pPr>
        <w:numPr>
          <w:ilvl w:val="0"/>
          <w:numId w:val="1010"/>
        </w:numPr>
        <w:pStyle w:val="Compact"/>
      </w:pPr>
      <w:r>
        <w:t xml:space="preserve">vendor communication;</w:t>
      </w:r>
    </w:p>
    <w:p>
      <w:pPr>
        <w:numPr>
          <w:ilvl w:val="0"/>
          <w:numId w:val="1010"/>
        </w:numPr>
        <w:pStyle w:val="Compact"/>
      </w:pPr>
      <w:r>
        <w:t xml:space="preserve">speaker and attendee support;</w:t>
      </w:r>
    </w:p>
    <w:p>
      <w:pPr>
        <w:numPr>
          <w:ilvl w:val="0"/>
          <w:numId w:val="1010"/>
        </w:numPr>
        <w:pStyle w:val="Compact"/>
      </w:pPr>
      <w:r>
        <w:t xml:space="preserve">respectful cross-cultural communication.</w:t>
      </w:r>
    </w:p>
    <w:bookmarkEnd w:id="30"/>
    <w:bookmarkStart w:id="31" w:name="budget-and-administrative-skills"/>
    <w:p>
      <w:pPr>
        <w:pStyle w:val="Heading3"/>
      </w:pPr>
      <w:r>
        <w:t xml:space="preserve">Budget and administrative skills</w:t>
      </w:r>
    </w:p>
    <w:p>
      <w:pPr>
        <w:numPr>
          <w:ilvl w:val="0"/>
          <w:numId w:val="1011"/>
        </w:numPr>
        <w:pStyle w:val="Compact"/>
      </w:pPr>
      <w:r>
        <w:t xml:space="preserve">basic spreadsheet use;</w:t>
      </w:r>
    </w:p>
    <w:p>
      <w:pPr>
        <w:numPr>
          <w:ilvl w:val="0"/>
          <w:numId w:val="1011"/>
        </w:numPr>
        <w:pStyle w:val="Compact"/>
      </w:pPr>
      <w:r>
        <w:t xml:space="preserve">invoice review;</w:t>
      </w:r>
    </w:p>
    <w:p>
      <w:pPr>
        <w:numPr>
          <w:ilvl w:val="0"/>
          <w:numId w:val="1011"/>
        </w:numPr>
        <w:pStyle w:val="Compact"/>
      </w:pPr>
      <w:r>
        <w:t xml:space="preserve">expense tracking;</w:t>
      </w:r>
    </w:p>
    <w:p>
      <w:pPr>
        <w:numPr>
          <w:ilvl w:val="0"/>
          <w:numId w:val="1011"/>
        </w:numPr>
        <w:pStyle w:val="Compact"/>
      </w:pPr>
      <w:r>
        <w:t xml:space="preserve">purchase-order awareness;</w:t>
      </w:r>
    </w:p>
    <w:p>
      <w:pPr>
        <w:numPr>
          <w:ilvl w:val="0"/>
          <w:numId w:val="1011"/>
        </w:numPr>
        <w:pStyle w:val="Compact"/>
      </w:pPr>
      <w:r>
        <w:t xml:space="preserve">comparing quotes;</w:t>
      </w:r>
    </w:p>
    <w:p>
      <w:pPr>
        <w:numPr>
          <w:ilvl w:val="0"/>
          <w:numId w:val="1011"/>
        </w:numPr>
        <w:pStyle w:val="Compact"/>
      </w:pPr>
      <w:r>
        <w:t xml:space="preserve">documenting approvals;</w:t>
      </w:r>
    </w:p>
    <w:p>
      <w:pPr>
        <w:numPr>
          <w:ilvl w:val="0"/>
          <w:numId w:val="1011"/>
        </w:numPr>
        <w:pStyle w:val="Compact"/>
      </w:pPr>
      <w:r>
        <w:t xml:space="preserve">maintaining audit trails;</w:t>
      </w:r>
    </w:p>
    <w:p>
      <w:pPr>
        <w:numPr>
          <w:ilvl w:val="0"/>
          <w:numId w:val="1011"/>
        </w:numPr>
        <w:pStyle w:val="Compact"/>
      </w:pPr>
      <w:r>
        <w:t xml:space="preserve">reconciling quantities and charges;</w:t>
      </w:r>
    </w:p>
    <w:p>
      <w:pPr>
        <w:numPr>
          <w:ilvl w:val="0"/>
          <w:numId w:val="1011"/>
        </w:numPr>
        <w:pStyle w:val="Compact"/>
      </w:pPr>
      <w:r>
        <w:t xml:space="preserve">understanding the difference between an estimate, approved budget, committed cost, and final invoice.</w:t>
      </w:r>
    </w:p>
    <w:bookmarkEnd w:id="31"/>
    <w:bookmarkStart w:id="32" w:name="event-operations"/>
    <w:p>
      <w:pPr>
        <w:pStyle w:val="Heading3"/>
      </w:pPr>
      <w:r>
        <w:t xml:space="preserve">Event operations</w:t>
      </w:r>
    </w:p>
    <w:p>
      <w:pPr>
        <w:numPr>
          <w:ilvl w:val="0"/>
          <w:numId w:val="1012"/>
        </w:numPr>
        <w:pStyle w:val="Compact"/>
      </w:pPr>
      <w:r>
        <w:t xml:space="preserve">registration workflows;</w:t>
      </w:r>
    </w:p>
    <w:p>
      <w:pPr>
        <w:numPr>
          <w:ilvl w:val="0"/>
          <w:numId w:val="1012"/>
        </w:numPr>
        <w:pStyle w:val="Compact"/>
      </w:pPr>
      <w:r>
        <w:t xml:space="preserve">room setup and seating plans;</w:t>
      </w:r>
    </w:p>
    <w:p>
      <w:pPr>
        <w:numPr>
          <w:ilvl w:val="0"/>
          <w:numId w:val="1012"/>
        </w:numPr>
        <w:pStyle w:val="Compact"/>
      </w:pPr>
      <w:r>
        <w:t xml:space="preserve">catering coordination;</w:t>
      </w:r>
    </w:p>
    <w:p>
      <w:pPr>
        <w:numPr>
          <w:ilvl w:val="0"/>
          <w:numId w:val="1012"/>
        </w:numPr>
        <w:pStyle w:val="Compact"/>
      </w:pPr>
      <w:r>
        <w:t xml:space="preserve">audiovisual coordination;</w:t>
      </w:r>
    </w:p>
    <w:p>
      <w:pPr>
        <w:numPr>
          <w:ilvl w:val="0"/>
          <w:numId w:val="1012"/>
        </w:numPr>
        <w:pStyle w:val="Compact"/>
      </w:pPr>
      <w:r>
        <w:t xml:space="preserve">signage and wayfinding;</w:t>
      </w:r>
    </w:p>
    <w:p>
      <w:pPr>
        <w:numPr>
          <w:ilvl w:val="0"/>
          <w:numId w:val="1012"/>
        </w:numPr>
        <w:pStyle w:val="Compact"/>
      </w:pPr>
      <w:r>
        <w:t xml:space="preserve">speaker support;</w:t>
      </w:r>
    </w:p>
    <w:p>
      <w:pPr>
        <w:numPr>
          <w:ilvl w:val="0"/>
          <w:numId w:val="1012"/>
        </w:numPr>
        <w:pStyle w:val="Compact"/>
      </w:pPr>
      <w:r>
        <w:t xml:space="preserve">transportation coordination;</w:t>
      </w:r>
    </w:p>
    <w:p>
      <w:pPr>
        <w:numPr>
          <w:ilvl w:val="0"/>
          <w:numId w:val="1012"/>
        </w:numPr>
        <w:pStyle w:val="Compact"/>
      </w:pPr>
      <w:r>
        <w:t xml:space="preserve">accommodation coordination;</w:t>
      </w:r>
    </w:p>
    <w:p>
      <w:pPr>
        <w:numPr>
          <w:ilvl w:val="0"/>
          <w:numId w:val="1012"/>
        </w:numPr>
        <w:pStyle w:val="Compact"/>
      </w:pPr>
      <w:r>
        <w:t xml:space="preserve">staffing schedules;</w:t>
      </w:r>
    </w:p>
    <w:p>
      <w:pPr>
        <w:numPr>
          <w:ilvl w:val="0"/>
          <w:numId w:val="1012"/>
        </w:numPr>
        <w:pStyle w:val="Compact"/>
      </w:pPr>
      <w:r>
        <w:t xml:space="preserve">run-of-show management;</w:t>
      </w:r>
    </w:p>
    <w:p>
      <w:pPr>
        <w:numPr>
          <w:ilvl w:val="0"/>
          <w:numId w:val="1012"/>
        </w:numPr>
        <w:pStyle w:val="Compact"/>
      </w:pPr>
      <w:r>
        <w:t xml:space="preserve">contingency planning;</w:t>
      </w:r>
    </w:p>
    <w:p>
      <w:pPr>
        <w:numPr>
          <w:ilvl w:val="0"/>
          <w:numId w:val="1012"/>
        </w:numPr>
        <w:pStyle w:val="Compact"/>
      </w:pPr>
      <w:r>
        <w:t xml:space="preserve">post-event closeout.</w:t>
      </w:r>
    </w:p>
    <w:bookmarkEnd w:id="32"/>
    <w:bookmarkStart w:id="33" w:name="technology"/>
    <w:p>
      <w:pPr>
        <w:pStyle w:val="Heading3"/>
      </w:pPr>
      <w:r>
        <w:t xml:space="preserve">Technology</w:t>
      </w:r>
    </w:p>
    <w:p>
      <w:pPr>
        <w:pStyle w:val="FirstParagraph"/>
      </w:pPr>
      <w:r>
        <w:t xml:space="preserve">Specific systems vary. Employers may use:</w:t>
      </w:r>
    </w:p>
    <w:p>
      <w:pPr>
        <w:numPr>
          <w:ilvl w:val="0"/>
          <w:numId w:val="1013"/>
        </w:numPr>
        <w:pStyle w:val="Compact"/>
      </w:pPr>
      <w:r>
        <w:t xml:space="preserve">Microsoft Excel, Word, PowerPoint, Outlook, Teams, or equivalent office tools;</w:t>
      </w:r>
    </w:p>
    <w:p>
      <w:pPr>
        <w:numPr>
          <w:ilvl w:val="0"/>
          <w:numId w:val="1013"/>
        </w:numPr>
        <w:pStyle w:val="Compact"/>
      </w:pPr>
      <w:r>
        <w:t xml:space="preserve">Google Workspace;</w:t>
      </w:r>
    </w:p>
    <w:p>
      <w:pPr>
        <w:numPr>
          <w:ilvl w:val="0"/>
          <w:numId w:val="1013"/>
        </w:numPr>
        <w:pStyle w:val="Compact"/>
      </w:pPr>
      <w:r>
        <w:t xml:space="preserve">project or task-management tools;</w:t>
      </w:r>
    </w:p>
    <w:p>
      <w:pPr>
        <w:numPr>
          <w:ilvl w:val="0"/>
          <w:numId w:val="1013"/>
        </w:numPr>
        <w:pStyle w:val="Compact"/>
      </w:pPr>
      <w:r>
        <w:t xml:space="preserve">customer relationship management systems;</w:t>
      </w:r>
    </w:p>
    <w:p>
      <w:pPr>
        <w:numPr>
          <w:ilvl w:val="0"/>
          <w:numId w:val="1013"/>
        </w:numPr>
        <w:pStyle w:val="Compact"/>
      </w:pPr>
      <w:r>
        <w:t xml:space="preserve">event-registration platforms;</w:t>
      </w:r>
    </w:p>
    <w:p>
      <w:pPr>
        <w:numPr>
          <w:ilvl w:val="0"/>
          <w:numId w:val="1013"/>
        </w:numPr>
        <w:pStyle w:val="Compact"/>
      </w:pPr>
      <w:r>
        <w:t xml:space="preserve">virtual-meeting and webinar platforms;</w:t>
      </w:r>
    </w:p>
    <w:p>
      <w:pPr>
        <w:numPr>
          <w:ilvl w:val="0"/>
          <w:numId w:val="1013"/>
        </w:numPr>
        <w:pStyle w:val="Compact"/>
      </w:pPr>
      <w:r>
        <w:t xml:space="preserve">hotel or venue systems;</w:t>
      </w:r>
    </w:p>
    <w:p>
      <w:pPr>
        <w:numPr>
          <w:ilvl w:val="0"/>
          <w:numId w:val="1013"/>
        </w:numPr>
        <w:pStyle w:val="Compact"/>
      </w:pPr>
      <w:r>
        <w:t xml:space="preserve">expense and procurement systems;</w:t>
      </w:r>
    </w:p>
    <w:p>
      <w:pPr>
        <w:numPr>
          <w:ilvl w:val="0"/>
          <w:numId w:val="1013"/>
        </w:numPr>
        <w:pStyle w:val="Compact"/>
      </w:pPr>
      <w:r>
        <w:t xml:space="preserve">survey tools;</w:t>
      </w:r>
    </w:p>
    <w:p>
      <w:pPr>
        <w:numPr>
          <w:ilvl w:val="0"/>
          <w:numId w:val="1013"/>
        </w:numPr>
        <w:pStyle w:val="Compact"/>
      </w:pPr>
      <w:r>
        <w:t xml:space="preserve">digital-signage or badge systems;</w:t>
      </w:r>
    </w:p>
    <w:p>
      <w:pPr>
        <w:numPr>
          <w:ilvl w:val="0"/>
          <w:numId w:val="1013"/>
        </w:numPr>
        <w:pStyle w:val="Compact"/>
      </w:pPr>
      <w:r>
        <w:t xml:space="preserve">approved AI assistants;</w:t>
      </w:r>
    </w:p>
    <w:p>
      <w:pPr>
        <w:numPr>
          <w:ilvl w:val="0"/>
          <w:numId w:val="1013"/>
        </w:numPr>
        <w:pStyle w:val="Compact"/>
      </w:pPr>
      <w:r>
        <w:t xml:space="preserve">employer-specific event or hospitality platforms.</w:t>
      </w:r>
    </w:p>
    <w:p>
      <w:pPr>
        <w:pStyle w:val="FirstParagraph"/>
      </w:pPr>
      <w:r>
        <w:t xml:space="preserve">A product name in a job posting is an employer preference, not a universal legal credential. Learn transferable concepts—registration, permissions, reporting, schedules, budgets, templates, exports, and data protection—so you can adapt to different platforms.</w:t>
      </w:r>
    </w:p>
    <w:bookmarkEnd w:id="33"/>
    <w:bookmarkEnd w:id="34"/>
    <w:bookmarkStart w:id="40" w:name="the-event-lifecycle"/>
    <w:p>
      <w:pPr>
        <w:pStyle w:val="Heading2"/>
      </w:pPr>
      <w:r>
        <w:t xml:space="preserve">The event lifecycle</w:t>
      </w:r>
    </w:p>
    <w:p>
      <w:pPr>
        <w:pStyle w:val="FirstParagraph"/>
      </w:pPr>
      <w:r>
        <w:t xml:space="preserve">A simple lifecycle helps keep the work understandable.</w:t>
      </w:r>
    </w:p>
    <w:bookmarkStart w:id="35" w:name="X37af165636a64baf5d7b3781b8283c6434691de"/>
    <w:p>
      <w:pPr>
        <w:pStyle w:val="Heading3"/>
      </w:pPr>
      <w:r>
        <w:t xml:space="preserve">1. Define</w:t>
      </w:r>
    </w:p>
    <w:p>
      <w:pPr>
        <w:pStyle w:val="FirstParagraph"/>
      </w:pPr>
      <w:r>
        <w:t xml:space="preserve">Clarify:</w:t>
      </w:r>
    </w:p>
    <w:p>
      <w:pPr>
        <w:numPr>
          <w:ilvl w:val="0"/>
          <w:numId w:val="1014"/>
        </w:numPr>
        <w:pStyle w:val="Compact"/>
      </w:pPr>
      <w:r>
        <w:t xml:space="preserve">purpose;</w:t>
      </w:r>
    </w:p>
    <w:p>
      <w:pPr>
        <w:numPr>
          <w:ilvl w:val="0"/>
          <w:numId w:val="1014"/>
        </w:numPr>
        <w:pStyle w:val="Compact"/>
      </w:pPr>
      <w:r>
        <w:t xml:space="preserve">audience;</w:t>
      </w:r>
    </w:p>
    <w:p>
      <w:pPr>
        <w:numPr>
          <w:ilvl w:val="0"/>
          <w:numId w:val="1014"/>
        </w:numPr>
        <w:pStyle w:val="Compact"/>
      </w:pPr>
      <w:r>
        <w:t xml:space="preserve">event owner;</w:t>
      </w:r>
    </w:p>
    <w:p>
      <w:pPr>
        <w:numPr>
          <w:ilvl w:val="0"/>
          <w:numId w:val="1014"/>
        </w:numPr>
        <w:pStyle w:val="Compact"/>
      </w:pPr>
      <w:r>
        <w:t xml:space="preserve">decision makers;</w:t>
      </w:r>
    </w:p>
    <w:p>
      <w:pPr>
        <w:numPr>
          <w:ilvl w:val="0"/>
          <w:numId w:val="1014"/>
        </w:numPr>
        <w:pStyle w:val="Compact"/>
      </w:pPr>
      <w:r>
        <w:t xml:space="preserve">date and timing;</w:t>
      </w:r>
    </w:p>
    <w:p>
      <w:pPr>
        <w:numPr>
          <w:ilvl w:val="0"/>
          <w:numId w:val="1014"/>
        </w:numPr>
        <w:pStyle w:val="Compact"/>
      </w:pPr>
      <w:r>
        <w:t xml:space="preserve">location or virtual format;</w:t>
      </w:r>
    </w:p>
    <w:p>
      <w:pPr>
        <w:numPr>
          <w:ilvl w:val="0"/>
          <w:numId w:val="1014"/>
        </w:numPr>
        <w:pStyle w:val="Compact"/>
      </w:pPr>
      <w:r>
        <w:t xml:space="preserve">attendance estimate;</w:t>
      </w:r>
    </w:p>
    <w:p>
      <w:pPr>
        <w:numPr>
          <w:ilvl w:val="0"/>
          <w:numId w:val="1014"/>
        </w:numPr>
        <w:pStyle w:val="Compact"/>
      </w:pPr>
      <w:r>
        <w:t xml:space="preserve">budget range;</w:t>
      </w:r>
    </w:p>
    <w:p>
      <w:pPr>
        <w:numPr>
          <w:ilvl w:val="0"/>
          <w:numId w:val="1014"/>
        </w:numPr>
        <w:pStyle w:val="Compact"/>
      </w:pPr>
      <w:r>
        <w:t xml:space="preserve">accessibility requirements;</w:t>
      </w:r>
    </w:p>
    <w:p>
      <w:pPr>
        <w:numPr>
          <w:ilvl w:val="0"/>
          <w:numId w:val="1014"/>
        </w:numPr>
        <w:pStyle w:val="Compact"/>
      </w:pPr>
      <w:r>
        <w:t xml:space="preserve">success measures;</w:t>
      </w:r>
    </w:p>
    <w:p>
      <w:pPr>
        <w:numPr>
          <w:ilvl w:val="0"/>
          <w:numId w:val="1014"/>
        </w:numPr>
        <w:pStyle w:val="Compact"/>
      </w:pPr>
      <w:r>
        <w:t xml:space="preserve">major constraints.</w:t>
      </w:r>
    </w:p>
    <w:p>
      <w:pPr>
        <w:pStyle w:val="FirstParagraph"/>
      </w:pPr>
      <w:r>
        <w:t xml:space="preserve">Do not start spending or promising deliverables before authority is clear.</w:t>
      </w:r>
    </w:p>
    <w:bookmarkEnd w:id="35"/>
    <w:bookmarkStart w:id="36" w:name="Xbc4f55b37d65e639afe148dd8ff01d1bf49ee76"/>
    <w:p>
      <w:pPr>
        <w:pStyle w:val="Heading3"/>
      </w:pPr>
      <w:r>
        <w:t xml:space="preserve">2. Plan</w:t>
      </w:r>
    </w:p>
    <w:p>
      <w:pPr>
        <w:pStyle w:val="FirstParagraph"/>
      </w:pPr>
      <w:r>
        <w:t xml:space="preserve">Build:</w:t>
      </w:r>
    </w:p>
    <w:p>
      <w:pPr>
        <w:numPr>
          <w:ilvl w:val="0"/>
          <w:numId w:val="1015"/>
        </w:numPr>
        <w:pStyle w:val="Compact"/>
      </w:pPr>
      <w:r>
        <w:t xml:space="preserve">milestones;</w:t>
      </w:r>
    </w:p>
    <w:p>
      <w:pPr>
        <w:numPr>
          <w:ilvl w:val="0"/>
          <w:numId w:val="1015"/>
        </w:numPr>
        <w:pStyle w:val="Compact"/>
      </w:pPr>
      <w:r>
        <w:t xml:space="preserve">task owners;</w:t>
      </w:r>
    </w:p>
    <w:p>
      <w:pPr>
        <w:numPr>
          <w:ilvl w:val="0"/>
          <w:numId w:val="1015"/>
        </w:numPr>
        <w:pStyle w:val="Compact"/>
      </w:pPr>
      <w:r>
        <w:t xml:space="preserve">vendor requirements;</w:t>
      </w:r>
    </w:p>
    <w:p>
      <w:pPr>
        <w:numPr>
          <w:ilvl w:val="0"/>
          <w:numId w:val="1015"/>
        </w:numPr>
        <w:pStyle w:val="Compact"/>
      </w:pPr>
      <w:r>
        <w:t xml:space="preserve">registration process;</w:t>
      </w:r>
    </w:p>
    <w:p>
      <w:pPr>
        <w:numPr>
          <w:ilvl w:val="0"/>
          <w:numId w:val="1015"/>
        </w:numPr>
        <w:pStyle w:val="Compact"/>
      </w:pPr>
      <w:r>
        <w:t xml:space="preserve">communications schedule;</w:t>
      </w:r>
    </w:p>
    <w:p>
      <w:pPr>
        <w:numPr>
          <w:ilvl w:val="0"/>
          <w:numId w:val="1015"/>
        </w:numPr>
        <w:pStyle w:val="Compact"/>
      </w:pPr>
      <w:r>
        <w:t xml:space="preserve">room or platform plan;</w:t>
      </w:r>
    </w:p>
    <w:p>
      <w:pPr>
        <w:numPr>
          <w:ilvl w:val="0"/>
          <w:numId w:val="1015"/>
        </w:numPr>
        <w:pStyle w:val="Compact"/>
      </w:pPr>
      <w:r>
        <w:t xml:space="preserve">catering and audiovisual requirements;</w:t>
      </w:r>
    </w:p>
    <w:p>
      <w:pPr>
        <w:numPr>
          <w:ilvl w:val="0"/>
          <w:numId w:val="1015"/>
        </w:numPr>
        <w:pStyle w:val="Compact"/>
      </w:pPr>
      <w:r>
        <w:t xml:space="preserve">transportation/accommodation needs where applicable;</w:t>
      </w:r>
    </w:p>
    <w:p>
      <w:pPr>
        <w:numPr>
          <w:ilvl w:val="0"/>
          <w:numId w:val="1015"/>
        </w:numPr>
        <w:pStyle w:val="Compact"/>
      </w:pPr>
      <w:r>
        <w:t xml:space="preserve">staffing plan;</w:t>
      </w:r>
    </w:p>
    <w:p>
      <w:pPr>
        <w:numPr>
          <w:ilvl w:val="0"/>
          <w:numId w:val="1015"/>
        </w:numPr>
        <w:pStyle w:val="Compact"/>
      </w:pPr>
      <w:r>
        <w:t xml:space="preserve">accessibility plan;</w:t>
      </w:r>
    </w:p>
    <w:p>
      <w:pPr>
        <w:numPr>
          <w:ilvl w:val="0"/>
          <w:numId w:val="1015"/>
        </w:numPr>
        <w:pStyle w:val="Compact"/>
      </w:pPr>
      <w:r>
        <w:t xml:space="preserve">emergency and escalation contacts;</w:t>
      </w:r>
    </w:p>
    <w:p>
      <w:pPr>
        <w:numPr>
          <w:ilvl w:val="0"/>
          <w:numId w:val="1015"/>
        </w:numPr>
        <w:pStyle w:val="Compact"/>
      </w:pPr>
      <w:r>
        <w:t xml:space="preserve">backup options;</w:t>
      </w:r>
    </w:p>
    <w:p>
      <w:pPr>
        <w:numPr>
          <w:ilvl w:val="0"/>
          <w:numId w:val="1015"/>
        </w:numPr>
        <w:pStyle w:val="Compact"/>
      </w:pPr>
      <w:r>
        <w:t xml:space="preserve">budget tracker.</w:t>
      </w:r>
    </w:p>
    <w:bookmarkEnd w:id="36"/>
    <w:bookmarkStart w:id="37" w:name="X5c7bc43cbd9c8525f405625bcee990362ffba93"/>
    <w:p>
      <w:pPr>
        <w:pStyle w:val="Heading3"/>
      </w:pPr>
      <w:r>
        <w:t xml:space="preserve">3. Confirm</w:t>
      </w:r>
    </w:p>
    <w:p>
      <w:pPr>
        <w:pStyle w:val="FirstParagraph"/>
      </w:pPr>
      <w:r>
        <w:t xml:space="preserve">Before the event, confirm:</w:t>
      </w:r>
    </w:p>
    <w:p>
      <w:pPr>
        <w:numPr>
          <w:ilvl w:val="0"/>
          <w:numId w:val="1016"/>
        </w:numPr>
        <w:pStyle w:val="Compact"/>
      </w:pPr>
      <w:r>
        <w:t xml:space="preserve">approved venue and vendor details;</w:t>
      </w:r>
    </w:p>
    <w:p>
      <w:pPr>
        <w:numPr>
          <w:ilvl w:val="0"/>
          <w:numId w:val="1016"/>
        </w:numPr>
        <w:pStyle w:val="Compact"/>
      </w:pPr>
      <w:r>
        <w:t xml:space="preserve">timing and access windows;</w:t>
      </w:r>
    </w:p>
    <w:p>
      <w:pPr>
        <w:numPr>
          <w:ilvl w:val="0"/>
          <w:numId w:val="1016"/>
        </w:numPr>
        <w:pStyle w:val="Compact"/>
      </w:pPr>
      <w:r>
        <w:t xml:space="preserve">attendee count;</w:t>
      </w:r>
    </w:p>
    <w:p>
      <w:pPr>
        <w:numPr>
          <w:ilvl w:val="0"/>
          <w:numId w:val="1016"/>
        </w:numPr>
        <w:pStyle w:val="Compact"/>
      </w:pPr>
      <w:r>
        <w:t xml:space="preserve">catering quantities;</w:t>
      </w:r>
    </w:p>
    <w:p>
      <w:pPr>
        <w:numPr>
          <w:ilvl w:val="0"/>
          <w:numId w:val="1016"/>
        </w:numPr>
        <w:pStyle w:val="Compact"/>
      </w:pPr>
      <w:r>
        <w:t xml:space="preserve">room setup;</w:t>
      </w:r>
    </w:p>
    <w:p>
      <w:pPr>
        <w:numPr>
          <w:ilvl w:val="0"/>
          <w:numId w:val="1016"/>
        </w:numPr>
        <w:pStyle w:val="Compact"/>
      </w:pPr>
      <w:r>
        <w:t xml:space="preserve">audiovisual requirements;</w:t>
      </w:r>
    </w:p>
    <w:p>
      <w:pPr>
        <w:numPr>
          <w:ilvl w:val="0"/>
          <w:numId w:val="1016"/>
        </w:numPr>
        <w:pStyle w:val="Compact"/>
      </w:pPr>
      <w:r>
        <w:t xml:space="preserve">speaker arrival and materials;</w:t>
      </w:r>
    </w:p>
    <w:p>
      <w:pPr>
        <w:numPr>
          <w:ilvl w:val="0"/>
          <w:numId w:val="1016"/>
        </w:numPr>
        <w:pStyle w:val="Compact"/>
      </w:pPr>
      <w:r>
        <w:t xml:space="preserve">accessibility accommodations;</w:t>
      </w:r>
    </w:p>
    <w:p>
      <w:pPr>
        <w:numPr>
          <w:ilvl w:val="0"/>
          <w:numId w:val="1016"/>
        </w:numPr>
        <w:pStyle w:val="Compact"/>
      </w:pPr>
      <w:r>
        <w:t xml:space="preserve">staff/volunteer assignments;</w:t>
      </w:r>
    </w:p>
    <w:p>
      <w:pPr>
        <w:numPr>
          <w:ilvl w:val="0"/>
          <w:numId w:val="1016"/>
        </w:numPr>
        <w:pStyle w:val="Compact"/>
      </w:pPr>
      <w:r>
        <w:t xml:space="preserve">signage;</w:t>
      </w:r>
    </w:p>
    <w:p>
      <w:pPr>
        <w:numPr>
          <w:ilvl w:val="0"/>
          <w:numId w:val="1016"/>
        </w:numPr>
        <w:pStyle w:val="Compact"/>
      </w:pPr>
      <w:r>
        <w:t xml:space="preserve">transportation or accommodation details;</w:t>
      </w:r>
    </w:p>
    <w:p>
      <w:pPr>
        <w:numPr>
          <w:ilvl w:val="0"/>
          <w:numId w:val="1016"/>
        </w:numPr>
        <w:pStyle w:val="Compact"/>
      </w:pPr>
      <w:r>
        <w:t xml:space="preserve">emergency contacts and venue procedures;</w:t>
      </w:r>
    </w:p>
    <w:p>
      <w:pPr>
        <w:numPr>
          <w:ilvl w:val="0"/>
          <w:numId w:val="1016"/>
        </w:numPr>
        <w:pStyle w:val="Compact"/>
      </w:pPr>
      <w:r>
        <w:t xml:space="preserve">payment or invoice status through approved channels.</w:t>
      </w:r>
    </w:p>
    <w:p>
      <w:pPr>
        <w:pStyle w:val="FirstParagraph"/>
      </w:pPr>
      <w:r>
        <w:t xml:space="preserve">A confirmation should be documented. Memory is not a control.</w:t>
      </w:r>
    </w:p>
    <w:bookmarkEnd w:id="37"/>
    <w:bookmarkStart w:id="38" w:name="X110ae7a7c42d536c67a8b2c45a851c83ab3de8a"/>
    <w:p>
      <w:pPr>
        <w:pStyle w:val="Heading3"/>
      </w:pPr>
      <w:r>
        <w:t xml:space="preserve">4. Deliver</w:t>
      </w:r>
    </w:p>
    <w:p>
      <w:pPr>
        <w:pStyle w:val="FirstParagraph"/>
      </w:pPr>
      <w:r>
        <w:t xml:space="preserve">During the event:</w:t>
      </w:r>
    </w:p>
    <w:p>
      <w:pPr>
        <w:numPr>
          <w:ilvl w:val="0"/>
          <w:numId w:val="1017"/>
        </w:numPr>
        <w:pStyle w:val="Compact"/>
      </w:pPr>
      <w:r>
        <w:t xml:space="preserve">follow the run-of-show;</w:t>
      </w:r>
    </w:p>
    <w:p>
      <w:pPr>
        <w:numPr>
          <w:ilvl w:val="0"/>
          <w:numId w:val="1017"/>
        </w:numPr>
        <w:pStyle w:val="Compact"/>
      </w:pPr>
      <w:r>
        <w:t xml:space="preserve">keep authorized contacts reachable;</w:t>
      </w:r>
    </w:p>
    <w:p>
      <w:pPr>
        <w:numPr>
          <w:ilvl w:val="0"/>
          <w:numId w:val="1017"/>
        </w:numPr>
        <w:pStyle w:val="Compact"/>
      </w:pPr>
      <w:r>
        <w:t xml:space="preserve">monitor registration and room readiness;</w:t>
      </w:r>
    </w:p>
    <w:p>
      <w:pPr>
        <w:numPr>
          <w:ilvl w:val="0"/>
          <w:numId w:val="1017"/>
        </w:numPr>
        <w:pStyle w:val="Compact"/>
      </w:pPr>
      <w:r>
        <w:t xml:space="preserve">track changes;</w:t>
      </w:r>
    </w:p>
    <w:p>
      <w:pPr>
        <w:numPr>
          <w:ilvl w:val="0"/>
          <w:numId w:val="1017"/>
        </w:numPr>
        <w:pStyle w:val="Compact"/>
      </w:pPr>
      <w:r>
        <w:t xml:space="preserve">communicate clearly;</w:t>
      </w:r>
    </w:p>
    <w:p>
      <w:pPr>
        <w:numPr>
          <w:ilvl w:val="0"/>
          <w:numId w:val="1017"/>
        </w:numPr>
        <w:pStyle w:val="Compact"/>
      </w:pPr>
      <w:r>
        <w:t xml:space="preserve">protect attendee information;</w:t>
      </w:r>
    </w:p>
    <w:p>
      <w:pPr>
        <w:numPr>
          <w:ilvl w:val="0"/>
          <w:numId w:val="1017"/>
        </w:numPr>
        <w:pStyle w:val="Compact"/>
      </w:pPr>
      <w:r>
        <w:t xml:space="preserve">use the venue’s safety and emergency procedures;</w:t>
      </w:r>
    </w:p>
    <w:p>
      <w:pPr>
        <w:numPr>
          <w:ilvl w:val="0"/>
          <w:numId w:val="1017"/>
        </w:numPr>
        <w:pStyle w:val="Compact"/>
      </w:pPr>
      <w:r>
        <w:t xml:space="preserve">escalate issues rather than improvising outside authority;</w:t>
      </w:r>
    </w:p>
    <w:p>
      <w:pPr>
        <w:numPr>
          <w:ilvl w:val="0"/>
          <w:numId w:val="1017"/>
        </w:numPr>
        <w:pStyle w:val="Compact"/>
      </w:pPr>
      <w:r>
        <w:t xml:space="preserve">record significant incidents or decisions according to policy.</w:t>
      </w:r>
    </w:p>
    <w:bookmarkEnd w:id="38"/>
    <w:bookmarkStart w:id="39" w:name="Xa5fe4464bb5eb3deba2d2502a72777f535bf020"/>
    <w:p>
      <w:pPr>
        <w:pStyle w:val="Heading3"/>
      </w:pPr>
      <w:r>
        <w:t xml:space="preserve">5. Close</w:t>
      </w:r>
    </w:p>
    <w:p>
      <w:pPr>
        <w:pStyle w:val="FirstParagraph"/>
      </w:pPr>
      <w:r>
        <w:t xml:space="preserve">After the event:</w:t>
      </w:r>
    </w:p>
    <w:p>
      <w:pPr>
        <w:numPr>
          <w:ilvl w:val="0"/>
          <w:numId w:val="1018"/>
        </w:numPr>
        <w:pStyle w:val="Compact"/>
      </w:pPr>
      <w:r>
        <w:t xml:space="preserve">reconcile attendance;</w:t>
      </w:r>
    </w:p>
    <w:p>
      <w:pPr>
        <w:numPr>
          <w:ilvl w:val="0"/>
          <w:numId w:val="1018"/>
        </w:numPr>
        <w:pStyle w:val="Compact"/>
      </w:pPr>
      <w:r>
        <w:t xml:space="preserve">collect approved feedback;</w:t>
      </w:r>
    </w:p>
    <w:p>
      <w:pPr>
        <w:numPr>
          <w:ilvl w:val="0"/>
          <w:numId w:val="1018"/>
        </w:numPr>
        <w:pStyle w:val="Compact"/>
      </w:pPr>
      <w:r>
        <w:t xml:space="preserve">confirm vendor completion;</w:t>
      </w:r>
    </w:p>
    <w:p>
      <w:pPr>
        <w:numPr>
          <w:ilvl w:val="0"/>
          <w:numId w:val="1018"/>
        </w:numPr>
        <w:pStyle w:val="Compact"/>
      </w:pPr>
      <w:r>
        <w:t xml:space="preserve">route invoices for review/approval;</w:t>
      </w:r>
    </w:p>
    <w:p>
      <w:pPr>
        <w:numPr>
          <w:ilvl w:val="0"/>
          <w:numId w:val="1018"/>
        </w:numPr>
        <w:pStyle w:val="Compact"/>
      </w:pPr>
      <w:r>
        <w:t xml:space="preserve">document open issues;</w:t>
      </w:r>
    </w:p>
    <w:p>
      <w:pPr>
        <w:numPr>
          <w:ilvl w:val="0"/>
          <w:numId w:val="1018"/>
        </w:numPr>
        <w:pStyle w:val="Compact"/>
      </w:pPr>
      <w:r>
        <w:t xml:space="preserve">return or inventory equipment/materials;</w:t>
      </w:r>
    </w:p>
    <w:p>
      <w:pPr>
        <w:numPr>
          <w:ilvl w:val="0"/>
          <w:numId w:val="1018"/>
        </w:numPr>
        <w:pStyle w:val="Compact"/>
      </w:pPr>
      <w:r>
        <w:t xml:space="preserve">close access permissions when appropriate;</w:t>
      </w:r>
    </w:p>
    <w:p>
      <w:pPr>
        <w:numPr>
          <w:ilvl w:val="0"/>
          <w:numId w:val="1018"/>
        </w:numPr>
        <w:pStyle w:val="Compact"/>
      </w:pPr>
      <w:r>
        <w:t xml:space="preserve">archive records under policy;</w:t>
      </w:r>
    </w:p>
    <w:p>
      <w:pPr>
        <w:numPr>
          <w:ilvl w:val="0"/>
          <w:numId w:val="1018"/>
        </w:numPr>
        <w:pStyle w:val="Compact"/>
      </w:pPr>
      <w:r>
        <w:t xml:space="preserve">document lessons learned.</w:t>
      </w:r>
    </w:p>
    <w:bookmarkEnd w:id="39"/>
    <w:bookmarkEnd w:id="40"/>
    <w:bookmarkStart w:id="41" w:name="Xa5ba563deeed6ee9c37d4c9405d19ef9f64d9e3"/>
    <w:p>
      <w:pPr>
        <w:pStyle w:val="Heading2"/>
      </w:pPr>
      <w:r>
        <w:t xml:space="preserve">Accessibility and inclusive event planning</w:t>
      </w:r>
    </w:p>
    <w:p>
      <w:pPr>
        <w:pStyle w:val="FirstParagraph"/>
      </w:pPr>
      <w:r>
        <w:t xml:space="preserve">Accessibility should be considered from the beginning, not added at the last moment.</w:t>
      </w:r>
    </w:p>
    <w:p>
      <w:pPr>
        <w:pStyle w:val="BodyText"/>
      </w:pPr>
      <w:r>
        <w:t xml:space="preserve">In the United States, the Department of Justice identifies convention centers, auditoriums, lecture halls, hotels, restaurants, theaters, and other public-facing venues among settings that may fall under ADA public-accommodation requirements. Applicable legal duties depend on the entity, event, location, and circumstances.</w:t>
      </w:r>
    </w:p>
    <w:p>
      <w:pPr>
        <w:pStyle w:val="BodyText"/>
      </w:pPr>
      <w:r>
        <w:t xml:space="preserve">A coordinator can support accessibility by asking the authorized event owner or venue about:</w:t>
      </w:r>
    </w:p>
    <w:p>
      <w:pPr>
        <w:numPr>
          <w:ilvl w:val="0"/>
          <w:numId w:val="1019"/>
        </w:numPr>
        <w:pStyle w:val="Compact"/>
      </w:pPr>
      <w:r>
        <w:t xml:space="preserve">step-free routes and accessible entrances;</w:t>
      </w:r>
    </w:p>
    <w:p>
      <w:pPr>
        <w:numPr>
          <w:ilvl w:val="0"/>
          <w:numId w:val="1019"/>
        </w:numPr>
        <w:pStyle w:val="Compact"/>
      </w:pPr>
      <w:r>
        <w:t xml:space="preserve">accessible seating and companion seating where applicable;</w:t>
      </w:r>
    </w:p>
    <w:p>
      <w:pPr>
        <w:numPr>
          <w:ilvl w:val="0"/>
          <w:numId w:val="1019"/>
        </w:numPr>
        <w:pStyle w:val="Compact"/>
      </w:pPr>
      <w:r>
        <w:t xml:space="preserve">accessible restrooms;</w:t>
      </w:r>
    </w:p>
    <w:p>
      <w:pPr>
        <w:numPr>
          <w:ilvl w:val="0"/>
          <w:numId w:val="1019"/>
        </w:numPr>
        <w:pStyle w:val="Compact"/>
      </w:pPr>
      <w:r>
        <w:t xml:space="preserve">stage or presentation access;</w:t>
      </w:r>
    </w:p>
    <w:p>
      <w:pPr>
        <w:numPr>
          <w:ilvl w:val="0"/>
          <w:numId w:val="1019"/>
        </w:numPr>
        <w:pStyle w:val="Compact"/>
      </w:pPr>
      <w:r>
        <w:t xml:space="preserve">assistive-listening options;</w:t>
      </w:r>
    </w:p>
    <w:p>
      <w:pPr>
        <w:numPr>
          <w:ilvl w:val="0"/>
          <w:numId w:val="1019"/>
        </w:numPr>
        <w:pStyle w:val="Compact"/>
      </w:pPr>
      <w:r>
        <w:t xml:space="preserve">captioning or interpreting arrangements;</w:t>
      </w:r>
    </w:p>
    <w:p>
      <w:pPr>
        <w:numPr>
          <w:ilvl w:val="0"/>
          <w:numId w:val="1019"/>
        </w:numPr>
        <w:pStyle w:val="Compact"/>
      </w:pPr>
      <w:r>
        <w:t xml:space="preserve">accessible digital registration;</w:t>
      </w:r>
    </w:p>
    <w:p>
      <w:pPr>
        <w:numPr>
          <w:ilvl w:val="0"/>
          <w:numId w:val="1019"/>
        </w:numPr>
        <w:pStyle w:val="Compact"/>
      </w:pPr>
      <w:r>
        <w:t xml:space="preserve">readable fonts and clear contrast in materials;</w:t>
      </w:r>
    </w:p>
    <w:p>
      <w:pPr>
        <w:numPr>
          <w:ilvl w:val="0"/>
          <w:numId w:val="1019"/>
        </w:numPr>
        <w:pStyle w:val="Compact"/>
      </w:pPr>
      <w:r>
        <w:t xml:space="preserve">alternative formats where needed;</w:t>
      </w:r>
    </w:p>
    <w:p>
      <w:pPr>
        <w:numPr>
          <w:ilvl w:val="0"/>
          <w:numId w:val="1019"/>
        </w:numPr>
        <w:pStyle w:val="Compact"/>
      </w:pPr>
      <w:r>
        <w:t xml:space="preserve">dietary and allergy communication processes;</w:t>
      </w:r>
    </w:p>
    <w:p>
      <w:pPr>
        <w:numPr>
          <w:ilvl w:val="0"/>
          <w:numId w:val="1019"/>
        </w:numPr>
        <w:pStyle w:val="Compact"/>
      </w:pPr>
      <w:r>
        <w:t xml:space="preserve">service-animal procedures;</w:t>
      </w:r>
    </w:p>
    <w:p>
      <w:pPr>
        <w:numPr>
          <w:ilvl w:val="0"/>
          <w:numId w:val="1019"/>
        </w:numPr>
        <w:pStyle w:val="Compact"/>
      </w:pPr>
      <w:r>
        <w:t xml:space="preserve">quiet or lower-stimulation spaces where feasible;</w:t>
      </w:r>
    </w:p>
    <w:p>
      <w:pPr>
        <w:numPr>
          <w:ilvl w:val="0"/>
          <w:numId w:val="1019"/>
        </w:numPr>
        <w:pStyle w:val="Compact"/>
      </w:pPr>
      <w:r>
        <w:t xml:space="preserve">accessible transportation or drop-off information;</w:t>
      </w:r>
    </w:p>
    <w:p>
      <w:pPr>
        <w:numPr>
          <w:ilvl w:val="0"/>
          <w:numId w:val="1019"/>
        </w:numPr>
        <w:pStyle w:val="Compact"/>
      </w:pPr>
      <w:r>
        <w:t xml:space="preserve">evacuation assistance procedures;</w:t>
      </w:r>
    </w:p>
    <w:p>
      <w:pPr>
        <w:numPr>
          <w:ilvl w:val="0"/>
          <w:numId w:val="1019"/>
        </w:numPr>
        <w:pStyle w:val="Compact"/>
      </w:pPr>
      <w:r>
        <w:t xml:space="preserve">how participants request accommodations privately.</w:t>
      </w:r>
    </w:p>
    <w:p>
      <w:pPr>
        <w:pStyle w:val="FirstParagraph"/>
      </w:pPr>
      <w:r>
        <w:t xml:space="preserve">Do not ask for unnecessary medical details. Collect only the information needed to arrange the authorized accommodation, use approved systems, restrict access appropriately, and follow organizational retention rules.</w:t>
      </w:r>
    </w:p>
    <w:p>
      <w:pPr>
        <w:pStyle w:val="BodyText"/>
      </w:pPr>
      <w:r>
        <w:t xml:space="preserve">Accessibility laws and standards vary by country and jurisdiction. This guide is educational and does not certify an event, venue, website, or organization as legally accessible.</w:t>
      </w:r>
    </w:p>
    <w:bookmarkEnd w:id="41"/>
    <w:bookmarkStart w:id="42" w:name="event-safety-and-emergency-readiness"/>
    <w:p>
      <w:pPr>
        <w:pStyle w:val="Heading2"/>
      </w:pPr>
      <w:r>
        <w:t xml:space="preserve">Event safety and emergency readiness</w:t>
      </w:r>
    </w:p>
    <w:p>
      <w:pPr>
        <w:pStyle w:val="FirstParagraph"/>
      </w:pPr>
      <w:r>
        <w:t xml:space="preserve">Safety planning belongs to the responsible employer, venue, event owner, and qualified professionals—not to an entry-level assistant acting alone.</w:t>
      </w:r>
    </w:p>
    <w:p>
      <w:pPr>
        <w:pStyle w:val="BodyText"/>
      </w:pPr>
      <w:r>
        <w:t xml:space="preserve">OSHA guidance explains that emergency action plans can include emergency reporting, evacuation procedures, accountability, emergency roles, and training where applicable standards require an EAP. For event work, a coordinator should at minimum know the venue’s established procedures and the limits of their role.</w:t>
      </w:r>
    </w:p>
    <w:p>
      <w:pPr>
        <w:pStyle w:val="BodyText"/>
      </w:pPr>
      <w:r>
        <w:t xml:space="preserve">Before an event, confirm through the authorized venue or event lead:</w:t>
      </w:r>
    </w:p>
    <w:p>
      <w:pPr>
        <w:numPr>
          <w:ilvl w:val="0"/>
          <w:numId w:val="1020"/>
        </w:numPr>
        <w:pStyle w:val="Compact"/>
      </w:pPr>
      <w:r>
        <w:t xml:space="preserve">emergency contact numbers;</w:t>
      </w:r>
    </w:p>
    <w:p>
      <w:pPr>
        <w:numPr>
          <w:ilvl w:val="0"/>
          <w:numId w:val="1020"/>
        </w:numPr>
        <w:pStyle w:val="Compact"/>
      </w:pPr>
      <w:r>
        <w:t xml:space="preserve">who has authority to stop or alter the event;</w:t>
      </w:r>
    </w:p>
    <w:p>
      <w:pPr>
        <w:numPr>
          <w:ilvl w:val="0"/>
          <w:numId w:val="1020"/>
        </w:numPr>
        <w:pStyle w:val="Compact"/>
      </w:pPr>
      <w:r>
        <w:t xml:space="preserve">evacuation routes and exits;</w:t>
      </w:r>
    </w:p>
    <w:p>
      <w:pPr>
        <w:numPr>
          <w:ilvl w:val="0"/>
          <w:numId w:val="1020"/>
        </w:numPr>
        <w:pStyle w:val="Compact"/>
      </w:pPr>
      <w:r>
        <w:t xml:space="preserve">assembly or accountability procedures where used;</w:t>
      </w:r>
    </w:p>
    <w:p>
      <w:pPr>
        <w:numPr>
          <w:ilvl w:val="0"/>
          <w:numId w:val="1020"/>
        </w:numPr>
        <w:pStyle w:val="Compact"/>
      </w:pPr>
      <w:r>
        <w:t xml:space="preserve">medical-response process;</w:t>
      </w:r>
    </w:p>
    <w:p>
      <w:pPr>
        <w:numPr>
          <w:ilvl w:val="0"/>
          <w:numId w:val="1020"/>
        </w:numPr>
        <w:pStyle w:val="Compact"/>
      </w:pPr>
      <w:r>
        <w:t xml:space="preserve">fire or life-safety contacts;</w:t>
      </w:r>
    </w:p>
    <w:p>
      <w:pPr>
        <w:numPr>
          <w:ilvl w:val="0"/>
          <w:numId w:val="1020"/>
        </w:numPr>
        <w:pStyle w:val="Compact"/>
      </w:pPr>
      <w:r>
        <w:t xml:space="preserve">severe-weather procedures where relevant;</w:t>
      </w:r>
    </w:p>
    <w:p>
      <w:pPr>
        <w:numPr>
          <w:ilvl w:val="0"/>
          <w:numId w:val="1020"/>
        </w:numPr>
        <w:pStyle w:val="Compact"/>
      </w:pPr>
      <w:r>
        <w:t xml:space="preserve">accessibility assistance procedures;</w:t>
      </w:r>
    </w:p>
    <w:p>
      <w:pPr>
        <w:numPr>
          <w:ilvl w:val="0"/>
          <w:numId w:val="1020"/>
        </w:numPr>
        <w:pStyle w:val="Compact"/>
      </w:pPr>
      <w:r>
        <w:t xml:space="preserve">lost-child or vulnerable-person procedure if applicable;</w:t>
      </w:r>
    </w:p>
    <w:p>
      <w:pPr>
        <w:numPr>
          <w:ilvl w:val="0"/>
          <w:numId w:val="1020"/>
        </w:numPr>
        <w:pStyle w:val="Compact"/>
      </w:pPr>
      <w:r>
        <w:t xml:space="preserve">incident-reporting method;</w:t>
      </w:r>
    </w:p>
    <w:p>
      <w:pPr>
        <w:numPr>
          <w:ilvl w:val="0"/>
          <w:numId w:val="1020"/>
        </w:numPr>
        <w:pStyle w:val="Compact"/>
      </w:pPr>
      <w:r>
        <w:t xml:space="preserve">who communicates with public emergency services;</w:t>
      </w:r>
    </w:p>
    <w:p>
      <w:pPr>
        <w:numPr>
          <w:ilvl w:val="0"/>
          <w:numId w:val="1020"/>
        </w:numPr>
        <w:pStyle w:val="Compact"/>
      </w:pPr>
      <w:r>
        <w:t xml:space="preserve">backup communication method if normal systems fail.</w:t>
      </w:r>
    </w:p>
    <w:p>
      <w:pPr>
        <w:pStyle w:val="FirstParagraph"/>
      </w:pPr>
      <w:r>
        <w:t xml:space="preserve">Do not obstruct exits, exceed assigned occupancy limits, disable safety systems, direct people into restricted areas, or override instructions from authorized emergency responders.</w:t>
      </w:r>
    </w:p>
    <w:p>
      <w:pPr>
        <w:pStyle w:val="BodyText"/>
      </w:pPr>
      <w:r>
        <w:t xml:space="preserve">For large, high-risk, outdoor, political, entertainment, alcohol-serving, pyrotechnic, temporary-structure, or crowd-intensive events, specialized planning and local permits may be required. The worker should identify the responsible professionals and authorities rather than attempting to self-certify compliance.</w:t>
      </w:r>
    </w:p>
    <w:bookmarkEnd w:id="42"/>
    <w:bookmarkStart w:id="43" w:name="privacy-and-cybersecurity"/>
    <w:p>
      <w:pPr>
        <w:pStyle w:val="Heading2"/>
      </w:pPr>
      <w:r>
        <w:t xml:space="preserve">Privacy and cybersecurity</w:t>
      </w:r>
    </w:p>
    <w:p>
      <w:pPr>
        <w:pStyle w:val="FirstParagraph"/>
      </w:pPr>
      <w:r>
        <w:t xml:space="preserve">Event operations can involve valuable personal and business information:</w:t>
      </w:r>
    </w:p>
    <w:p>
      <w:pPr>
        <w:numPr>
          <w:ilvl w:val="0"/>
          <w:numId w:val="1021"/>
        </w:numPr>
        <w:pStyle w:val="Compact"/>
      </w:pPr>
      <w:r>
        <w:t xml:space="preserve">attendee names and contact details;</w:t>
      </w:r>
    </w:p>
    <w:p>
      <w:pPr>
        <w:numPr>
          <w:ilvl w:val="0"/>
          <w:numId w:val="1021"/>
        </w:numPr>
        <w:pStyle w:val="Compact"/>
      </w:pPr>
      <w:r>
        <w:t xml:space="preserve">employer or organization affiliation;</w:t>
      </w:r>
    </w:p>
    <w:p>
      <w:pPr>
        <w:numPr>
          <w:ilvl w:val="0"/>
          <w:numId w:val="1021"/>
        </w:numPr>
        <w:pStyle w:val="Compact"/>
      </w:pPr>
      <w:r>
        <w:t xml:space="preserve">travel and hotel information;</w:t>
      </w:r>
    </w:p>
    <w:p>
      <w:pPr>
        <w:numPr>
          <w:ilvl w:val="0"/>
          <w:numId w:val="1021"/>
        </w:numPr>
        <w:pStyle w:val="Compact"/>
      </w:pPr>
      <w:r>
        <w:t xml:space="preserve">dietary information;</w:t>
      </w:r>
    </w:p>
    <w:p>
      <w:pPr>
        <w:numPr>
          <w:ilvl w:val="0"/>
          <w:numId w:val="1021"/>
        </w:numPr>
        <w:pStyle w:val="Compact"/>
      </w:pPr>
      <w:r>
        <w:t xml:space="preserve">accessibility requests;</w:t>
      </w:r>
    </w:p>
    <w:p>
      <w:pPr>
        <w:numPr>
          <w:ilvl w:val="0"/>
          <w:numId w:val="1021"/>
        </w:numPr>
        <w:pStyle w:val="Compact"/>
      </w:pPr>
      <w:r>
        <w:t xml:space="preserve">speaker schedules;</w:t>
      </w:r>
    </w:p>
    <w:p>
      <w:pPr>
        <w:numPr>
          <w:ilvl w:val="0"/>
          <w:numId w:val="1021"/>
        </w:numPr>
        <w:pStyle w:val="Compact"/>
      </w:pPr>
      <w:r>
        <w:t xml:space="preserve">VIP or executive itineraries;</w:t>
      </w:r>
    </w:p>
    <w:p>
      <w:pPr>
        <w:numPr>
          <w:ilvl w:val="0"/>
          <w:numId w:val="1021"/>
        </w:numPr>
        <w:pStyle w:val="Compact"/>
      </w:pPr>
      <w:r>
        <w:t xml:space="preserve">payment information;</w:t>
      </w:r>
    </w:p>
    <w:p>
      <w:pPr>
        <w:numPr>
          <w:ilvl w:val="0"/>
          <w:numId w:val="1021"/>
        </w:numPr>
        <w:pStyle w:val="Compact"/>
      </w:pPr>
      <w:r>
        <w:t xml:space="preserve">vendor banking details;</w:t>
      </w:r>
    </w:p>
    <w:p>
      <w:pPr>
        <w:numPr>
          <w:ilvl w:val="0"/>
          <w:numId w:val="1021"/>
        </w:numPr>
        <w:pStyle w:val="Compact"/>
      </w:pPr>
      <w:r>
        <w:t xml:space="preserve">contracts and pricing;</w:t>
      </w:r>
    </w:p>
    <w:p>
      <w:pPr>
        <w:numPr>
          <w:ilvl w:val="0"/>
          <w:numId w:val="1021"/>
        </w:numPr>
        <w:pStyle w:val="Compact"/>
      </w:pPr>
      <w:r>
        <w:t xml:space="preserve">badges or QR codes;</w:t>
      </w:r>
    </w:p>
    <w:p>
      <w:pPr>
        <w:numPr>
          <w:ilvl w:val="0"/>
          <w:numId w:val="1021"/>
        </w:numPr>
        <w:pStyle w:val="Compact"/>
      </w:pPr>
      <w:r>
        <w:t xml:space="preserve">virtual-meeting links and credentials;</w:t>
      </w:r>
    </w:p>
    <w:p>
      <w:pPr>
        <w:numPr>
          <w:ilvl w:val="0"/>
          <w:numId w:val="1021"/>
        </w:numPr>
        <w:pStyle w:val="Compact"/>
      </w:pPr>
      <w:r>
        <w:t xml:space="preserve">photographs or recordings;</w:t>
      </w:r>
    </w:p>
    <w:p>
      <w:pPr>
        <w:numPr>
          <w:ilvl w:val="0"/>
          <w:numId w:val="1021"/>
        </w:numPr>
        <w:pStyle w:val="Compact"/>
      </w:pPr>
      <w:r>
        <w:t xml:space="preserve">internal agendas or confidential presentations.</w:t>
      </w:r>
    </w:p>
    <w:p>
      <w:pPr>
        <w:pStyle w:val="FirstParagraph"/>
      </w:pPr>
      <w:r>
        <w:t xml:space="preserve">CISA’s Secure Our World guidance emphasizes phishing awareness, strong passwords, multifactor authentication, and software updates. Apply those principles through employer-approved systems and procedures.</w:t>
      </w:r>
    </w:p>
    <w:p>
      <w:pPr>
        <w:pStyle w:val="BodyText"/>
      </w:pPr>
      <w:r>
        <w:t xml:space="preserve">Practical habits include:</w:t>
      </w:r>
    </w:p>
    <w:p>
      <w:pPr>
        <w:numPr>
          <w:ilvl w:val="0"/>
          <w:numId w:val="1022"/>
        </w:numPr>
        <w:pStyle w:val="Compact"/>
      </w:pPr>
      <w:r>
        <w:t xml:space="preserve">enable MFA when the organization supports it;</w:t>
      </w:r>
    </w:p>
    <w:p>
      <w:pPr>
        <w:numPr>
          <w:ilvl w:val="0"/>
          <w:numId w:val="1022"/>
        </w:numPr>
        <w:pStyle w:val="Compact"/>
      </w:pPr>
      <w:r>
        <w:t xml:space="preserve">use unique credentials and an approved password manager where provided;</w:t>
      </w:r>
    </w:p>
    <w:p>
      <w:pPr>
        <w:numPr>
          <w:ilvl w:val="0"/>
          <w:numId w:val="1022"/>
        </w:numPr>
        <w:pStyle w:val="Compact"/>
      </w:pPr>
      <w:r>
        <w:t xml:space="preserve">verify unexpected requests to change vendor bank or payment instructions using an independent approved contact method;</w:t>
      </w:r>
    </w:p>
    <w:p>
      <w:pPr>
        <w:numPr>
          <w:ilvl w:val="0"/>
          <w:numId w:val="1022"/>
        </w:numPr>
        <w:pStyle w:val="Compact"/>
      </w:pPr>
      <w:r>
        <w:t xml:space="preserve">do not send attendee spreadsheets to personal email;</w:t>
      </w:r>
    </w:p>
    <w:p>
      <w:pPr>
        <w:numPr>
          <w:ilvl w:val="0"/>
          <w:numId w:val="1022"/>
        </w:numPr>
        <w:pStyle w:val="Compact"/>
      </w:pPr>
      <w:r>
        <w:t xml:space="preserve">avoid public links that expose private registration or meeting data;</w:t>
      </w:r>
    </w:p>
    <w:p>
      <w:pPr>
        <w:numPr>
          <w:ilvl w:val="0"/>
          <w:numId w:val="1022"/>
        </w:numPr>
        <w:pStyle w:val="Compact"/>
      </w:pPr>
      <w:r>
        <w:t xml:space="preserve">give access only to people who need it;</w:t>
      </w:r>
    </w:p>
    <w:p>
      <w:pPr>
        <w:numPr>
          <w:ilvl w:val="0"/>
          <w:numId w:val="1022"/>
        </w:numPr>
        <w:pStyle w:val="Compact"/>
      </w:pPr>
      <w:r>
        <w:t xml:space="preserve">remove access when the project ends if that is your responsibility;</w:t>
      </w:r>
    </w:p>
    <w:p>
      <w:pPr>
        <w:numPr>
          <w:ilvl w:val="0"/>
          <w:numId w:val="1022"/>
        </w:numPr>
        <w:pStyle w:val="Compact"/>
      </w:pPr>
      <w:r>
        <w:t xml:space="preserve">do not reuse old public meeting links for confidential sessions;</w:t>
      </w:r>
    </w:p>
    <w:p>
      <w:pPr>
        <w:numPr>
          <w:ilvl w:val="0"/>
          <w:numId w:val="1022"/>
        </w:numPr>
        <w:pStyle w:val="Compact"/>
      </w:pPr>
      <w:r>
        <w:t xml:space="preserve">verify the recipient before sending attendee or contract information;</w:t>
      </w:r>
    </w:p>
    <w:p>
      <w:pPr>
        <w:numPr>
          <w:ilvl w:val="0"/>
          <w:numId w:val="1022"/>
        </w:numPr>
        <w:pStyle w:val="Compact"/>
      </w:pPr>
      <w:r>
        <w:t xml:space="preserve">report suspected phishing, fraud, account compromise, or data exposure promptly;</w:t>
      </w:r>
    </w:p>
    <w:p>
      <w:pPr>
        <w:numPr>
          <w:ilvl w:val="0"/>
          <w:numId w:val="1022"/>
        </w:numPr>
        <w:pStyle w:val="Compact"/>
      </w:pPr>
      <w:r>
        <w:t xml:space="preserve">follow the employer’s retention and deletion rules;</w:t>
      </w:r>
    </w:p>
    <w:p>
      <w:pPr>
        <w:numPr>
          <w:ilvl w:val="0"/>
          <w:numId w:val="1022"/>
        </w:numPr>
        <w:pStyle w:val="Compact"/>
      </w:pPr>
      <w:r>
        <w:t xml:space="preserve">never collect more sensitive information “just in case.”</w:t>
      </w:r>
    </w:p>
    <w:p>
      <w:pPr>
        <w:pStyle w:val="FirstParagraph"/>
      </w:pPr>
      <w:r>
        <w:t xml:space="preserve">A coordinator should not invent cybersecurity policy. Follow the organization’s approved tools, security controls, and escalation process.</w:t>
      </w:r>
    </w:p>
    <w:bookmarkEnd w:id="43"/>
    <w:bookmarkStart w:id="44" w:name="responsible-ai-in-event-work"/>
    <w:p>
      <w:pPr>
        <w:pStyle w:val="Heading2"/>
      </w:pPr>
      <w:r>
        <w:t xml:space="preserve">Responsible AI in event work</w:t>
      </w:r>
    </w:p>
    <w:p>
      <w:pPr>
        <w:pStyle w:val="FirstParagraph"/>
      </w:pPr>
      <w:r>
        <w:t xml:space="preserve">AI can be useful for low-risk assistance when the organization allows it.</w:t>
      </w:r>
    </w:p>
    <w:p>
      <w:pPr>
        <w:pStyle w:val="BodyText"/>
      </w:pPr>
      <w:r>
        <w:t xml:space="preserve">Reasonable uses can include:</w:t>
      </w:r>
    </w:p>
    <w:p>
      <w:pPr>
        <w:numPr>
          <w:ilvl w:val="0"/>
          <w:numId w:val="1023"/>
        </w:numPr>
        <w:pStyle w:val="Compact"/>
      </w:pPr>
      <w:r>
        <w:t xml:space="preserve">brainstorming themes or agenda structures;</w:t>
      </w:r>
    </w:p>
    <w:p>
      <w:pPr>
        <w:numPr>
          <w:ilvl w:val="0"/>
          <w:numId w:val="1023"/>
        </w:numPr>
        <w:pStyle w:val="Compact"/>
      </w:pPr>
      <w:r>
        <w:t xml:space="preserve">creating a first-pass checklist;</w:t>
      </w:r>
    </w:p>
    <w:p>
      <w:pPr>
        <w:numPr>
          <w:ilvl w:val="0"/>
          <w:numId w:val="1023"/>
        </w:numPr>
        <w:pStyle w:val="Compact"/>
      </w:pPr>
      <w:r>
        <w:t xml:space="preserve">drafting routine invitation language;</w:t>
      </w:r>
    </w:p>
    <w:p>
      <w:pPr>
        <w:numPr>
          <w:ilvl w:val="0"/>
          <w:numId w:val="1023"/>
        </w:numPr>
        <w:pStyle w:val="Compact"/>
      </w:pPr>
      <w:r>
        <w:t xml:space="preserve">converting notes into an action-item list;</w:t>
      </w:r>
    </w:p>
    <w:p>
      <w:pPr>
        <w:numPr>
          <w:ilvl w:val="0"/>
          <w:numId w:val="1023"/>
        </w:numPr>
        <w:pStyle w:val="Compact"/>
      </w:pPr>
      <w:r>
        <w:t xml:space="preserve">proofreading non-sensitive communications;</w:t>
      </w:r>
    </w:p>
    <w:p>
      <w:pPr>
        <w:numPr>
          <w:ilvl w:val="0"/>
          <w:numId w:val="1023"/>
        </w:numPr>
        <w:pStyle w:val="Compact"/>
      </w:pPr>
      <w:r>
        <w:t xml:space="preserve">suggesting categories for a risk or logistics review;</w:t>
      </w:r>
    </w:p>
    <w:p>
      <w:pPr>
        <w:numPr>
          <w:ilvl w:val="0"/>
          <w:numId w:val="1023"/>
        </w:numPr>
        <w:pStyle w:val="Compact"/>
      </w:pPr>
      <w:r>
        <w:t xml:space="preserve">generating fictional practice scenarios;</w:t>
      </w:r>
    </w:p>
    <w:p>
      <w:pPr>
        <w:numPr>
          <w:ilvl w:val="0"/>
          <w:numId w:val="1023"/>
        </w:numPr>
        <w:pStyle w:val="Compact"/>
      </w:pPr>
      <w:r>
        <w:t xml:space="preserve">summarizing non-sensitive public information;</w:t>
      </w:r>
    </w:p>
    <w:p>
      <w:pPr>
        <w:numPr>
          <w:ilvl w:val="0"/>
          <w:numId w:val="1023"/>
        </w:numPr>
        <w:pStyle w:val="Compact"/>
      </w:pPr>
      <w:r>
        <w:t xml:space="preserve">creating a first draft of a post-event survey.</w:t>
      </w:r>
    </w:p>
    <w:p>
      <w:pPr>
        <w:pStyle w:val="FirstParagraph"/>
      </w:pPr>
      <w:r>
        <w:t xml:space="preserve">Human verification is still required.</w:t>
      </w:r>
    </w:p>
    <w:p>
      <w:pPr>
        <w:pStyle w:val="BodyText"/>
      </w:pPr>
      <w:r>
        <w:t xml:space="preserve">Do</w:t>
      </w:r>
      <w:r>
        <w:t xml:space="preserve"> </w:t>
      </w:r>
      <w:r>
        <w:rPr>
          <w:bCs/>
          <w:b/>
        </w:rPr>
        <w:t xml:space="preserve">not</w:t>
      </w:r>
      <w:r>
        <w:t xml:space="preserve"> </w:t>
      </w:r>
      <w:r>
        <w:t xml:space="preserve">rely on AI alone for:</w:t>
      </w:r>
    </w:p>
    <w:p>
      <w:pPr>
        <w:numPr>
          <w:ilvl w:val="0"/>
          <w:numId w:val="1024"/>
        </w:numPr>
        <w:pStyle w:val="Compact"/>
      </w:pPr>
      <w:r>
        <w:t xml:space="preserve">contract interpretation;</w:t>
      </w:r>
    </w:p>
    <w:p>
      <w:pPr>
        <w:numPr>
          <w:ilvl w:val="0"/>
          <w:numId w:val="1024"/>
        </w:numPr>
        <w:pStyle w:val="Compact"/>
      </w:pPr>
      <w:r>
        <w:t xml:space="preserve">prices or live availability;</w:t>
      </w:r>
    </w:p>
    <w:p>
      <w:pPr>
        <w:numPr>
          <w:ilvl w:val="0"/>
          <w:numId w:val="1024"/>
        </w:numPr>
        <w:pStyle w:val="Compact"/>
      </w:pPr>
      <w:r>
        <w:t xml:space="preserve">legal requirements;</w:t>
      </w:r>
    </w:p>
    <w:p>
      <w:pPr>
        <w:numPr>
          <w:ilvl w:val="0"/>
          <w:numId w:val="1024"/>
        </w:numPr>
        <w:pStyle w:val="Compact"/>
      </w:pPr>
      <w:r>
        <w:t xml:space="preserve">permits;</w:t>
      </w:r>
    </w:p>
    <w:p>
      <w:pPr>
        <w:numPr>
          <w:ilvl w:val="0"/>
          <w:numId w:val="1024"/>
        </w:numPr>
        <w:pStyle w:val="Compact"/>
      </w:pPr>
      <w:r>
        <w:t xml:space="preserve">insurance coverage;</w:t>
      </w:r>
    </w:p>
    <w:p>
      <w:pPr>
        <w:numPr>
          <w:ilvl w:val="0"/>
          <w:numId w:val="1024"/>
        </w:numPr>
        <w:pStyle w:val="Compact"/>
      </w:pPr>
      <w:r>
        <w:t xml:space="preserve">emergency instructions;</w:t>
      </w:r>
    </w:p>
    <w:p>
      <w:pPr>
        <w:numPr>
          <w:ilvl w:val="0"/>
          <w:numId w:val="1024"/>
        </w:numPr>
        <w:pStyle w:val="Compact"/>
      </w:pPr>
      <w:r>
        <w:t xml:space="preserve">venue occupancy or safety requirements;</w:t>
      </w:r>
    </w:p>
    <w:p>
      <w:pPr>
        <w:numPr>
          <w:ilvl w:val="0"/>
          <w:numId w:val="1024"/>
        </w:numPr>
        <w:pStyle w:val="Compact"/>
      </w:pPr>
      <w:r>
        <w:t xml:space="preserve">accessibility commitments;</w:t>
      </w:r>
    </w:p>
    <w:p>
      <w:pPr>
        <w:numPr>
          <w:ilvl w:val="0"/>
          <w:numId w:val="1024"/>
        </w:numPr>
        <w:pStyle w:val="Compact"/>
      </w:pPr>
      <w:r>
        <w:t xml:space="preserve">vendor payment changes;</w:t>
      </w:r>
    </w:p>
    <w:p>
      <w:pPr>
        <w:numPr>
          <w:ilvl w:val="0"/>
          <w:numId w:val="1024"/>
        </w:numPr>
        <w:pStyle w:val="Compact"/>
      </w:pPr>
      <w:r>
        <w:t xml:space="preserve">visa or travel requirements;</w:t>
      </w:r>
    </w:p>
    <w:p>
      <w:pPr>
        <w:numPr>
          <w:ilvl w:val="0"/>
          <w:numId w:val="1024"/>
        </w:numPr>
        <w:pStyle w:val="Compact"/>
      </w:pPr>
      <w:r>
        <w:t xml:space="preserve">tax decisions;</w:t>
      </w:r>
    </w:p>
    <w:p>
      <w:pPr>
        <w:numPr>
          <w:ilvl w:val="0"/>
          <w:numId w:val="1024"/>
        </w:numPr>
        <w:pStyle w:val="Compact"/>
      </w:pPr>
      <w:r>
        <w:t xml:space="preserve">alcohol-service requirements;</w:t>
      </w:r>
    </w:p>
    <w:p>
      <w:pPr>
        <w:numPr>
          <w:ilvl w:val="0"/>
          <w:numId w:val="1024"/>
        </w:numPr>
        <w:pStyle w:val="Compact"/>
      </w:pPr>
      <w:r>
        <w:t xml:space="preserve">medical guidance;</w:t>
      </w:r>
    </w:p>
    <w:p>
      <w:pPr>
        <w:numPr>
          <w:ilvl w:val="0"/>
          <w:numId w:val="1024"/>
        </w:numPr>
        <w:pStyle w:val="Compact"/>
      </w:pPr>
      <w:r>
        <w:t xml:space="preserve">security decisions;</w:t>
      </w:r>
    </w:p>
    <w:p>
      <w:pPr>
        <w:numPr>
          <w:ilvl w:val="0"/>
          <w:numId w:val="1024"/>
        </w:numPr>
        <w:pStyle w:val="Compact"/>
      </w:pPr>
      <w:r>
        <w:t xml:space="preserve">final attendee lists;</w:t>
      </w:r>
    </w:p>
    <w:p>
      <w:pPr>
        <w:numPr>
          <w:ilvl w:val="0"/>
          <w:numId w:val="1024"/>
        </w:numPr>
        <w:pStyle w:val="Compact"/>
      </w:pPr>
      <w:r>
        <w:t xml:space="preserve">confidential executive schedules.</w:t>
      </w:r>
    </w:p>
    <w:p>
      <w:pPr>
        <w:pStyle w:val="FirstParagraph"/>
      </w:pPr>
      <w:r>
        <w:t xml:space="preserve">Do not enter private attendee data, disability information, payment-card data, banking details, passwords, access tokens, unpublished contracts, confidential presentations, or other protected information into an AI tool unless the organization has explicitly approved that tool and use case.</w:t>
      </w:r>
    </w:p>
    <w:p>
      <w:pPr>
        <w:pStyle w:val="BodyText"/>
      </w:pPr>
      <w:r>
        <w:t xml:space="preserve">NIST’s AI Risk Management Framework provides a voluntary structure for managing AI risks. A practical event-work rule is:</w:t>
      </w:r>
      <w:r>
        <w:t xml:space="preserve"> </w:t>
      </w:r>
      <w:r>
        <w:rPr>
          <w:bCs/>
          <w:b/>
        </w:rPr>
        <w:t xml:space="preserve">AI may help draft or organize; an authorized human must verify consequential facts and decisions against current source systems.</w:t>
      </w:r>
    </w:p>
    <w:bookmarkEnd w:id="44"/>
    <w:bookmarkStart w:id="45" w:name="X2ab2b846627d466a0bfe53fbe676e36527ed6a2"/>
    <w:p>
      <w:pPr>
        <w:pStyle w:val="Heading2"/>
      </w:pPr>
      <w:r>
        <w:t xml:space="preserve">Education and entry pathways — United States</w:t>
      </w:r>
    </w:p>
    <w:p>
      <w:pPr>
        <w:pStyle w:val="FirstParagraph"/>
      </w:pPr>
      <w:r>
        <w:t xml:space="preserve">BLS reports that meeting, convention, and event planners typically need a</w:t>
      </w:r>
      <w:r>
        <w:t xml:space="preserve"> </w:t>
      </w:r>
      <w:r>
        <w:rPr>
          <w:bCs/>
          <w:b/>
        </w:rPr>
        <w:t xml:space="preserve">bachelor’s degree</w:t>
      </w:r>
      <w:r>
        <w:t xml:space="preserve">, although related experience can be helpful. O*NET classifies the occupation in a higher preparation zone, which is consistent with many full planner roles.</w:t>
      </w:r>
    </w:p>
    <w:p>
      <w:pPr>
        <w:pStyle w:val="BodyText"/>
      </w:pPr>
      <w:r>
        <w:t xml:space="preserve">That does not mean every event-assistant or event-coordinator job requires the same degree. Employers may hire candidates with:</w:t>
      </w:r>
    </w:p>
    <w:p>
      <w:pPr>
        <w:numPr>
          <w:ilvl w:val="0"/>
          <w:numId w:val="1025"/>
        </w:numPr>
        <w:pStyle w:val="Compact"/>
      </w:pPr>
      <w:r>
        <w:t xml:space="preserve">hospitality experience;</w:t>
      </w:r>
    </w:p>
    <w:p>
      <w:pPr>
        <w:numPr>
          <w:ilvl w:val="0"/>
          <w:numId w:val="1025"/>
        </w:numPr>
        <w:pStyle w:val="Compact"/>
      </w:pPr>
      <w:r>
        <w:t xml:space="preserve">administrative support experience;</w:t>
      </w:r>
    </w:p>
    <w:p>
      <w:pPr>
        <w:numPr>
          <w:ilvl w:val="0"/>
          <w:numId w:val="1025"/>
        </w:numPr>
        <w:pStyle w:val="Compact"/>
      </w:pPr>
      <w:r>
        <w:t xml:space="preserve">customer-service experience;</w:t>
      </w:r>
    </w:p>
    <w:p>
      <w:pPr>
        <w:numPr>
          <w:ilvl w:val="0"/>
          <w:numId w:val="1025"/>
        </w:numPr>
        <w:pStyle w:val="Compact"/>
      </w:pPr>
      <w:r>
        <w:t xml:space="preserve">hotel or banquet experience;</w:t>
      </w:r>
    </w:p>
    <w:p>
      <w:pPr>
        <w:numPr>
          <w:ilvl w:val="0"/>
          <w:numId w:val="1025"/>
        </w:numPr>
        <w:pStyle w:val="Compact"/>
      </w:pPr>
      <w:r>
        <w:t xml:space="preserve">marketing or communications experience;</w:t>
      </w:r>
    </w:p>
    <w:p>
      <w:pPr>
        <w:numPr>
          <w:ilvl w:val="0"/>
          <w:numId w:val="1025"/>
        </w:numPr>
        <w:pStyle w:val="Compact"/>
      </w:pPr>
      <w:r>
        <w:t xml:space="preserve">nonprofit or community-event experience;</w:t>
      </w:r>
    </w:p>
    <w:p>
      <w:pPr>
        <w:numPr>
          <w:ilvl w:val="0"/>
          <w:numId w:val="1025"/>
        </w:numPr>
        <w:pStyle w:val="Compact"/>
      </w:pPr>
      <w:r>
        <w:t xml:space="preserve">a certificate or associate-level program;</w:t>
      </w:r>
    </w:p>
    <w:p>
      <w:pPr>
        <w:numPr>
          <w:ilvl w:val="0"/>
          <w:numId w:val="1025"/>
        </w:numPr>
        <w:pStyle w:val="Compact"/>
      </w:pPr>
      <w:r>
        <w:t xml:space="preserve">internship experience;</w:t>
      </w:r>
    </w:p>
    <w:p>
      <w:pPr>
        <w:numPr>
          <w:ilvl w:val="0"/>
          <w:numId w:val="1025"/>
        </w:numPr>
        <w:pStyle w:val="Compact"/>
      </w:pPr>
      <w:r>
        <w:t xml:space="preserve">a strong portfolio plus relevant work history.</w:t>
      </w:r>
    </w:p>
    <w:p>
      <w:pPr>
        <w:pStyle w:val="FirstParagraph"/>
      </w:pPr>
      <w:r>
        <w:t xml:space="preserve">A low-cost entry sequence can be:</w:t>
      </w:r>
    </w:p>
    <w:p>
      <w:pPr>
        <w:numPr>
          <w:ilvl w:val="0"/>
          <w:numId w:val="1026"/>
        </w:numPr>
        <w:pStyle w:val="Compact"/>
      </w:pPr>
      <w:r>
        <w:t xml:space="preserve">strengthen email, calendar, spreadsheet, document, and customer-service skills;</w:t>
      </w:r>
    </w:p>
    <w:p>
      <w:pPr>
        <w:numPr>
          <w:ilvl w:val="0"/>
          <w:numId w:val="1026"/>
        </w:numPr>
        <w:pStyle w:val="Compact"/>
      </w:pPr>
      <w:r>
        <w:t xml:space="preserve">learn basic event vocabulary and the event lifecycle;</w:t>
      </w:r>
    </w:p>
    <w:p>
      <w:pPr>
        <w:numPr>
          <w:ilvl w:val="0"/>
          <w:numId w:val="1026"/>
        </w:numPr>
        <w:pStyle w:val="Compact"/>
      </w:pPr>
      <w:r>
        <w:t xml:space="preserve">practice a fictional event plan using no real personal data;</w:t>
      </w:r>
    </w:p>
    <w:p>
      <w:pPr>
        <w:numPr>
          <w:ilvl w:val="0"/>
          <w:numId w:val="1026"/>
        </w:numPr>
        <w:pStyle w:val="Compact"/>
      </w:pPr>
      <w:r>
        <w:t xml:space="preserve">volunteer or work in a supervised event setting where appropriate;</w:t>
      </w:r>
    </w:p>
    <w:p>
      <w:pPr>
        <w:numPr>
          <w:ilvl w:val="0"/>
          <w:numId w:val="1026"/>
        </w:numPr>
        <w:pStyle w:val="Compact"/>
      </w:pPr>
      <w:r>
        <w:t xml:space="preserve">build a simple portfolio of planning artifacts;</w:t>
      </w:r>
    </w:p>
    <w:p>
      <w:pPr>
        <w:numPr>
          <w:ilvl w:val="0"/>
          <w:numId w:val="1026"/>
        </w:numPr>
        <w:pStyle w:val="Compact"/>
      </w:pPr>
      <w:r>
        <w:t xml:space="preserve">apply for event assistant, meeting assistant, conference assistant, registration assistant, banquet coordinator, program assistant, administrative coordinator, or junior event coordinator roles;</w:t>
      </w:r>
    </w:p>
    <w:p>
      <w:pPr>
        <w:numPr>
          <w:ilvl w:val="0"/>
          <w:numId w:val="1026"/>
        </w:numPr>
        <w:pStyle w:val="Compact"/>
      </w:pPr>
      <w:r>
        <w:t xml:space="preserve">learn the employer’s approved systems, safety procedures, vendor process, and budget controls;</w:t>
      </w:r>
    </w:p>
    <w:p>
      <w:pPr>
        <w:numPr>
          <w:ilvl w:val="0"/>
          <w:numId w:val="1026"/>
        </w:numPr>
        <w:pStyle w:val="Compact"/>
      </w:pPr>
      <w:r>
        <w:t xml:space="preserve">move into broader coordinator or planner responsibility after demonstrating reliable delivery.</w:t>
      </w:r>
    </w:p>
    <w:bookmarkEnd w:id="45"/>
    <w:bookmarkStart w:id="49" w:name="Xc05c6de9b65d846e732243b7496f01d69dba611"/>
    <w:p>
      <w:pPr>
        <w:pStyle w:val="Heading2"/>
      </w:pPr>
      <w:r>
        <w:t xml:space="preserve">Funding, free/low-cost training, and work-based learning — United States</w:t>
      </w:r>
    </w:p>
    <w:bookmarkStart w:id="47" w:name="careeronestop-and-american-job-centers"/>
    <w:p>
      <w:pPr>
        <w:pStyle w:val="Heading3"/>
      </w:pPr>
      <w:r>
        <w:t xml:space="preserve">CareerOneStop and American Job Centers</w:t>
      </w:r>
    </w:p>
    <w:p>
      <w:pPr>
        <w:pStyle w:val="FirstParagraph"/>
      </w:pPr>
      <w:r>
        <w:t xml:space="preserve">CareerOneStop’s WIOA-Eligible Training Program Finder helps users identify state directories of programs that may qualify for Workforce Innovation and Opportunity Act support:</w:t>
      </w:r>
    </w:p>
    <w:p>
      <w:pPr>
        <w:pStyle w:val="BodyText"/>
      </w:pPr>
      <w:hyperlink r:id="rId46">
        <w:hyperlink r:id="rId46">
          <w:r>
            <w:rPr>
              <w:rStyle w:val="Hyperlink"/>
            </w:rPr>
            <w:t xml:space="preserve">Source link</w:t>
          </w:r>
        </w:hyperlink>
      </w:hyperlink>
    </w:p>
    <w:p>
      <w:pPr>
        <w:pStyle w:val="BodyText"/>
      </w:pPr>
      <w:r>
        <w:t xml:space="preserve">WIOA eligibility, funding, supportive services, and approved providers vary. Funding is not automatic. An American Job Center can explain local eligibility and services.</w:t>
      </w:r>
    </w:p>
    <w:p>
      <w:pPr>
        <w:pStyle w:val="BodyText"/>
      </w:pPr>
      <w:r>
        <w:t xml:space="preserve">Search related training categories as well as the exact event title. Useful categories may include:</w:t>
      </w:r>
    </w:p>
    <w:p>
      <w:pPr>
        <w:numPr>
          <w:ilvl w:val="0"/>
          <w:numId w:val="1027"/>
        </w:numPr>
        <w:pStyle w:val="Compact"/>
      </w:pPr>
      <w:r>
        <w:t xml:space="preserve">hospitality;</w:t>
      </w:r>
    </w:p>
    <w:p>
      <w:pPr>
        <w:numPr>
          <w:ilvl w:val="0"/>
          <w:numId w:val="1027"/>
        </w:numPr>
        <w:pStyle w:val="Compact"/>
      </w:pPr>
      <w:r>
        <w:t xml:space="preserve">tourism;</w:t>
      </w:r>
    </w:p>
    <w:p>
      <w:pPr>
        <w:numPr>
          <w:ilvl w:val="0"/>
          <w:numId w:val="1027"/>
        </w:numPr>
        <w:pStyle w:val="Compact"/>
      </w:pPr>
      <w:r>
        <w:t xml:space="preserve">business administration;</w:t>
      </w:r>
    </w:p>
    <w:p>
      <w:pPr>
        <w:numPr>
          <w:ilvl w:val="0"/>
          <w:numId w:val="1027"/>
        </w:numPr>
        <w:pStyle w:val="Compact"/>
      </w:pPr>
      <w:r>
        <w:t xml:space="preserve">project coordination;</w:t>
      </w:r>
    </w:p>
    <w:p>
      <w:pPr>
        <w:numPr>
          <w:ilvl w:val="0"/>
          <w:numId w:val="1027"/>
        </w:numPr>
        <w:pStyle w:val="Compact"/>
      </w:pPr>
      <w:r>
        <w:t xml:space="preserve">marketing;</w:t>
      </w:r>
    </w:p>
    <w:p>
      <w:pPr>
        <w:numPr>
          <w:ilvl w:val="0"/>
          <w:numId w:val="1027"/>
        </w:numPr>
        <w:pStyle w:val="Compact"/>
      </w:pPr>
      <w:r>
        <w:t xml:space="preserve">communications;</w:t>
      </w:r>
    </w:p>
    <w:p>
      <w:pPr>
        <w:numPr>
          <w:ilvl w:val="0"/>
          <w:numId w:val="1027"/>
        </w:numPr>
        <w:pStyle w:val="Compact"/>
      </w:pPr>
      <w:r>
        <w:t xml:space="preserve">office administration;</w:t>
      </w:r>
    </w:p>
    <w:p>
      <w:pPr>
        <w:numPr>
          <w:ilvl w:val="0"/>
          <w:numId w:val="1027"/>
        </w:numPr>
        <w:pStyle w:val="Compact"/>
      </w:pPr>
      <w:r>
        <w:t xml:space="preserve">customer service;</w:t>
      </w:r>
    </w:p>
    <w:p>
      <w:pPr>
        <w:numPr>
          <w:ilvl w:val="0"/>
          <w:numId w:val="1027"/>
        </w:numPr>
        <w:pStyle w:val="Compact"/>
      </w:pPr>
      <w:r>
        <w:t xml:space="preserve">digital productivity tools.</w:t>
      </w:r>
    </w:p>
    <w:bookmarkEnd w:id="47"/>
    <w:bookmarkStart w:id="48" w:name="work-based-learning"/>
    <w:p>
      <w:pPr>
        <w:pStyle w:val="Heading3"/>
      </w:pPr>
      <w:r>
        <w:t xml:space="preserve">Work-based learning</w:t>
      </w:r>
    </w:p>
    <w:p>
      <w:pPr>
        <w:pStyle w:val="FirstParagraph"/>
      </w:pPr>
      <w:r>
        <w:t xml:space="preserve">O*NET links the occupation to Apprenticeship.gov as a discovery resource, but a formal Registered Apprenticeship should not be assumed to exist in every location.</w:t>
      </w:r>
    </w:p>
    <w:p>
      <w:pPr>
        <w:pStyle w:val="BodyText"/>
      </w:pPr>
      <w:r>
        <w:t xml:space="preserve">Practical work-based learning may include:</w:t>
      </w:r>
    </w:p>
    <w:p>
      <w:pPr>
        <w:numPr>
          <w:ilvl w:val="0"/>
          <w:numId w:val="1028"/>
        </w:numPr>
        <w:pStyle w:val="Compact"/>
      </w:pPr>
      <w:r>
        <w:t xml:space="preserve">paid event assistant roles;</w:t>
      </w:r>
    </w:p>
    <w:p>
      <w:pPr>
        <w:numPr>
          <w:ilvl w:val="0"/>
          <w:numId w:val="1028"/>
        </w:numPr>
        <w:pStyle w:val="Compact"/>
      </w:pPr>
      <w:r>
        <w:t xml:space="preserve">hotel banquet or conference-services jobs;</w:t>
      </w:r>
    </w:p>
    <w:p>
      <w:pPr>
        <w:numPr>
          <w:ilvl w:val="0"/>
          <w:numId w:val="1028"/>
        </w:numPr>
        <w:pStyle w:val="Compact"/>
      </w:pPr>
      <w:r>
        <w:t xml:space="preserve">university event support;</w:t>
      </w:r>
    </w:p>
    <w:p>
      <w:pPr>
        <w:numPr>
          <w:ilvl w:val="0"/>
          <w:numId w:val="1028"/>
        </w:numPr>
        <w:pStyle w:val="Compact"/>
      </w:pPr>
      <w:r>
        <w:t xml:space="preserve">nonprofit event work;</w:t>
      </w:r>
    </w:p>
    <w:p>
      <w:pPr>
        <w:numPr>
          <w:ilvl w:val="0"/>
          <w:numId w:val="1028"/>
        </w:numPr>
        <w:pStyle w:val="Compact"/>
      </w:pPr>
      <w:r>
        <w:t xml:space="preserve">convention-center support;</w:t>
      </w:r>
    </w:p>
    <w:p>
      <w:pPr>
        <w:numPr>
          <w:ilvl w:val="0"/>
          <w:numId w:val="1028"/>
        </w:numPr>
        <w:pStyle w:val="Compact"/>
      </w:pPr>
      <w:r>
        <w:t xml:space="preserve">internships;</w:t>
      </w:r>
    </w:p>
    <w:p>
      <w:pPr>
        <w:numPr>
          <w:ilvl w:val="0"/>
          <w:numId w:val="1028"/>
        </w:numPr>
        <w:pStyle w:val="Compact"/>
      </w:pPr>
      <w:r>
        <w:t xml:space="preserve">venue operations roles;</w:t>
      </w:r>
    </w:p>
    <w:p>
      <w:pPr>
        <w:numPr>
          <w:ilvl w:val="0"/>
          <w:numId w:val="1028"/>
        </w:numPr>
        <w:pStyle w:val="Compact"/>
      </w:pPr>
      <w:r>
        <w:t xml:space="preserve">employer mentoring;</w:t>
      </w:r>
    </w:p>
    <w:p>
      <w:pPr>
        <w:numPr>
          <w:ilvl w:val="0"/>
          <w:numId w:val="1028"/>
        </w:numPr>
        <w:pStyle w:val="Compact"/>
      </w:pPr>
      <w:r>
        <w:t xml:space="preserve">supervised vendor coordination;</w:t>
      </w:r>
    </w:p>
    <w:p>
      <w:pPr>
        <w:numPr>
          <w:ilvl w:val="0"/>
          <w:numId w:val="1028"/>
        </w:numPr>
        <w:pStyle w:val="Compact"/>
      </w:pPr>
      <w:r>
        <w:t xml:space="preserve">cross-training from administrative or hospitality positions.</w:t>
      </w:r>
    </w:p>
    <w:p>
      <w:pPr>
        <w:pStyle w:val="FirstParagraph"/>
      </w:pPr>
      <w:r>
        <w:t xml:space="preserve">Never describe an opportunity as a Registered Apprenticeship unless the sponsor and registration can be verified.</w:t>
      </w:r>
    </w:p>
    <w:bookmarkEnd w:id="48"/>
    <w:bookmarkEnd w:id="49"/>
    <w:bookmarkStart w:id="56" w:name="united-states-pay-and-outlook"/>
    <w:p>
      <w:pPr>
        <w:pStyle w:val="Heading2"/>
      </w:pPr>
      <w:r>
        <w:t xml:space="preserve">United States pay and outlook</w:t>
      </w:r>
    </w:p>
    <w:bookmarkStart w:id="53" w:name="official-benchmark"/>
    <w:p>
      <w:pPr>
        <w:pStyle w:val="Heading3"/>
      </w:pPr>
      <w:r>
        <w:t xml:space="preserve">Official benchmark</w:t>
      </w:r>
    </w:p>
    <w:p>
      <w:pPr>
        <w:pStyle w:val="FirstParagraph"/>
      </w:pPr>
      <w:r>
        <w:t xml:space="preserve">O*NET’s current occupation page reports BLS</w:t>
      </w:r>
      <w:r>
        <w:t xml:space="preserve"> </w:t>
      </w:r>
      <w:r>
        <w:rPr>
          <w:bCs/>
          <w:b/>
        </w:rPr>
        <w:t xml:space="preserve">2025 wage data</w:t>
      </w:r>
      <w:r>
        <w:t xml:space="preserve"> </w:t>
      </w:r>
      <w:r>
        <w:t xml:space="preserve">for Meeting, Convention, and Event Planners:</w:t>
      </w:r>
    </w:p>
    <w:p>
      <w:pPr>
        <w:numPr>
          <w:ilvl w:val="0"/>
          <w:numId w:val="1029"/>
        </w:numPr>
        <w:pStyle w:val="Compact"/>
      </w:pPr>
      <w:r>
        <w:rPr>
          <w:bCs/>
          <w:b/>
        </w:rPr>
        <w:t xml:space="preserve">Median hourly wage:</w:t>
      </w:r>
      <w:r>
        <w:t xml:space="preserve"> </w:t>
      </w:r>
      <w:r>
        <w:rPr>
          <w:bCs/>
          <w:b/>
        </w:rPr>
        <w:t xml:space="preserve">$29.41</w:t>
      </w:r>
      <w:r>
        <w:t xml:space="preserve">;</w:t>
      </w:r>
    </w:p>
    <w:p>
      <w:pPr>
        <w:numPr>
          <w:ilvl w:val="0"/>
          <w:numId w:val="1029"/>
        </w:numPr>
        <w:pStyle w:val="Compact"/>
      </w:pPr>
      <w:r>
        <w:rPr>
          <w:bCs/>
          <w:b/>
        </w:rPr>
        <w:t xml:space="preserve">Median annual wage:</w:t>
      </w:r>
      <w:r>
        <w:t xml:space="preserve"> </w:t>
      </w:r>
      <w:r>
        <w:rPr>
          <w:bCs/>
          <w:b/>
        </w:rPr>
        <w:t xml:space="preserve">$61,160</w:t>
      </w:r>
      <w:r>
        <w:t xml:space="preserve">;</w:t>
      </w:r>
    </w:p>
    <w:p>
      <w:pPr>
        <w:numPr>
          <w:ilvl w:val="0"/>
          <w:numId w:val="1029"/>
        </w:numPr>
        <w:pStyle w:val="Compact"/>
      </w:pPr>
      <w:r>
        <w:rPr>
          <w:bCs/>
          <w:b/>
        </w:rPr>
        <w:t xml:space="preserve">10th percentile annual wage:</w:t>
      </w:r>
      <w:r>
        <w:t xml:space="preserve"> </w:t>
      </w:r>
      <w:r>
        <w:rPr>
          <w:bCs/>
          <w:b/>
        </w:rPr>
        <w:t xml:space="preserve">$36,830</w:t>
      </w:r>
      <w:r>
        <w:t xml:space="preserve">;</w:t>
      </w:r>
    </w:p>
    <w:p>
      <w:pPr>
        <w:numPr>
          <w:ilvl w:val="0"/>
          <w:numId w:val="1029"/>
        </w:numPr>
        <w:pStyle w:val="Compact"/>
      </w:pPr>
      <w:r>
        <w:rPr>
          <w:bCs/>
          <w:b/>
        </w:rPr>
        <w:t xml:space="preserve">90th percentile annual wage:</w:t>
      </w:r>
      <w:r>
        <w:t xml:space="preserve"> </w:t>
      </w:r>
      <w:r>
        <w:rPr>
          <w:bCs/>
          <w:b/>
        </w:rPr>
        <w:t xml:space="preserve">$101,700</w:t>
      </w:r>
      <w:r>
        <w:t xml:space="preserve">.</w:t>
      </w:r>
    </w:p>
    <w:p>
      <w:pPr>
        <w:pStyle w:val="FirstParagraph"/>
      </w:pPr>
      <w:r>
        <w:t xml:space="preserve">O*NET also reports:</w:t>
      </w:r>
    </w:p>
    <w:p>
      <w:pPr>
        <w:numPr>
          <w:ilvl w:val="0"/>
          <w:numId w:val="1030"/>
        </w:numPr>
        <w:pStyle w:val="Compact"/>
      </w:pPr>
      <w:r>
        <w:t xml:space="preserve">about</w:t>
      </w:r>
      <w:r>
        <w:t xml:space="preserve"> </w:t>
      </w:r>
      <w:r>
        <w:rPr>
          <w:bCs/>
          <w:b/>
        </w:rPr>
        <w:t xml:space="preserve">155,800 workers in 2024</w:t>
      </w:r>
      <w:r>
        <w:t xml:space="preserve">;</w:t>
      </w:r>
    </w:p>
    <w:p>
      <w:pPr>
        <w:numPr>
          <w:ilvl w:val="0"/>
          <w:numId w:val="1030"/>
        </w:numPr>
        <w:pStyle w:val="Compact"/>
      </w:pPr>
      <w:r>
        <w:t xml:space="preserve">projected growth of</w:t>
      </w:r>
      <w:r>
        <w:t xml:space="preserve"> </w:t>
      </w:r>
      <w:r>
        <w:rPr>
          <w:bCs/>
          <w:b/>
        </w:rPr>
        <w:t xml:space="preserve">5% to 6% from 2024 to 2034</w:t>
      </w:r>
      <w:r>
        <w:t xml:space="preserve">;</w:t>
      </w:r>
    </w:p>
    <w:p>
      <w:pPr>
        <w:numPr>
          <w:ilvl w:val="0"/>
          <w:numId w:val="1030"/>
        </w:numPr>
        <w:pStyle w:val="Compact"/>
      </w:pPr>
      <w:r>
        <w:t xml:space="preserve">about</w:t>
      </w:r>
      <w:r>
        <w:t xml:space="preserve"> </w:t>
      </w:r>
      <w:r>
        <w:rPr>
          <w:bCs/>
          <w:b/>
        </w:rPr>
        <w:t xml:space="preserve">15,500 projected openings per year</w:t>
      </w:r>
      <w:r>
        <w:t xml:space="preserve"> </w:t>
      </w:r>
      <w:r>
        <w:t xml:space="preserve">over the projection period.</w:t>
      </w:r>
    </w:p>
    <w:p>
      <w:pPr>
        <w:pStyle w:val="FirstParagraph"/>
      </w:pPr>
      <w:r>
        <w:t xml:space="preserve">The BLS Occupational Outlook Handbook uses an earlier</w:t>
      </w:r>
      <w:r>
        <w:t xml:space="preserve"> </w:t>
      </w:r>
      <w:r>
        <w:rPr>
          <w:bCs/>
          <w:b/>
        </w:rPr>
        <w:t xml:space="preserve">May 2024 median annual wage of $59,440</w:t>
      </w:r>
      <w:r>
        <w:t xml:space="preserve"> </w:t>
      </w:r>
      <w:r>
        <w:t xml:space="preserve">and projects</w:t>
      </w:r>
      <w:r>
        <w:t xml:space="preserve"> </w:t>
      </w:r>
      <w:r>
        <w:rPr>
          <w:bCs/>
          <w:b/>
        </w:rPr>
        <w:t xml:space="preserve">5% growth from 2024 to 2034</w:t>
      </w:r>
      <w:r>
        <w:t xml:space="preserve">. The difference in wage figures reflects the wage reference year. Use the newer 2025 wage data for the principal current benchmark and keep the projection period clearly labelled.</w:t>
      </w:r>
    </w:p>
    <w:p>
      <w:pPr>
        <w:pStyle w:val="BodyText"/>
      </w:pPr>
      <w:r>
        <w:t xml:space="preserve">Sources:</w:t>
      </w:r>
      <w:r>
        <w:t xml:space="preserve"> </w:t>
      </w:r>
      <w:hyperlink r:id="rId50">
        <w:hyperlink r:id="rId50">
          <w:r>
            <w:rPr>
              <w:rStyle w:val="Hyperlink"/>
            </w:rPr>
            <w:t xml:space="preserve">Source link</w:t>
          </w:r>
        </w:hyperlink>
      </w:hyperlink>
      <w:r>
        <w:br/>
      </w:r>
      <w:hyperlink r:id="rId51">
        <w:hyperlink r:id="rId51">
          <w:r>
            <w:rPr>
              <w:rStyle w:val="Hyperlink"/>
            </w:rPr>
            <w:t xml:space="preserve">Source link</w:t>
          </w:r>
        </w:hyperlink>
      </w:hyperlink>
      <w:r>
        <w:br/>
      </w:r>
      <w:hyperlink r:id="rId52">
        <w:hyperlink r:id="rId52">
          <w:r>
            <w:rPr>
              <w:rStyle w:val="Hyperlink"/>
            </w:rPr>
            <w:t xml:space="preserve">Source link</w:t>
          </w:r>
        </w:hyperlink>
      </w:hyperlink>
    </w:p>
    <w:bookmarkEnd w:id="53"/>
    <w:bookmarkStart w:id="55" w:name="current-non-government-estimate--indeed"/>
    <w:p>
      <w:pPr>
        <w:pStyle w:val="Heading3"/>
      </w:pPr>
      <w:r>
        <w:t xml:space="preserve">Current non-government estimate — Indeed</w:t>
      </w:r>
    </w:p>
    <w:p>
      <w:pPr>
        <w:pStyle w:val="FirstParagraph"/>
      </w:pPr>
      <w:r>
        <w:t xml:space="preserve">Indeed reported an average U.S.</w:t>
      </w:r>
      <w:r>
        <w:t xml:space="preserve"> </w:t>
      </w:r>
      <w:r>
        <w:rPr>
          <w:bCs/>
          <w:b/>
        </w:rPr>
        <w:t xml:space="preserve">Event Coordinator</w:t>
      </w:r>
      <w:r>
        <w:t xml:space="preserve"> </w:t>
      </w:r>
      <w:r>
        <w:t xml:space="preserve">base salary of approximately</w:t>
      </w:r>
      <w:r>
        <w:t xml:space="preserve"> </w:t>
      </w:r>
      <w:r>
        <w:rPr>
          <w:bCs/>
          <w:b/>
        </w:rPr>
        <w:t xml:space="preserve">$22.75/hour</w:t>
      </w:r>
      <w:r>
        <w:t xml:space="preserve">, with a displayed range of about</w:t>
      </w:r>
      <w:r>
        <w:t xml:space="preserve"> </w:t>
      </w:r>
      <w:r>
        <w:rPr>
          <w:bCs/>
          <w:b/>
        </w:rPr>
        <w:t xml:space="preserve">$14.88 to $34.79/hour</w:t>
      </w:r>
      <w:r>
        <w:t xml:space="preserve">, based on roughly</w:t>
      </w:r>
      <w:r>
        <w:t xml:space="preserve"> </w:t>
      </w:r>
      <w:r>
        <w:rPr>
          <w:bCs/>
          <w:b/>
        </w:rPr>
        <w:t xml:space="preserve">5.1 thousand salaries from job postings over the prior 36 months</w:t>
      </w:r>
      <w:r>
        <w:t xml:space="preserve">, updated</w:t>
      </w:r>
      <w:r>
        <w:t xml:space="preserve"> </w:t>
      </w:r>
      <w:r>
        <w:rPr>
          <w:bCs/>
          <w:b/>
        </w:rPr>
        <w:t xml:space="preserve">August 3, 2026</w:t>
      </w:r>
      <w:r>
        <w:t xml:space="preserve">.</w:t>
      </w:r>
    </w:p>
    <w:p>
      <w:pPr>
        <w:pStyle w:val="BodyText"/>
      </w:pPr>
      <w:r>
        <w:t xml:space="preserve">Source:</w:t>
      </w:r>
      <w:r>
        <w:t xml:space="preserve"> </w:t>
      </w:r>
      <w:hyperlink r:id="rId54">
        <w:hyperlink r:id="rId54">
          <w:r>
            <w:rPr>
              <w:rStyle w:val="Hyperlink"/>
            </w:rPr>
            <w:t xml:space="preserve">Source link</w:t>
          </w:r>
        </w:hyperlink>
      </w:hyperlink>
    </w:p>
    <w:p>
      <w:pPr>
        <w:pStyle w:val="BodyText"/>
      </w:pPr>
      <w:r>
        <w:t xml:space="preserve">This is a</w:t>
      </w:r>
      <w:r>
        <w:t xml:space="preserve"> </w:t>
      </w:r>
      <w:r>
        <w:rPr>
          <w:bCs/>
          <w:b/>
        </w:rPr>
        <w:t xml:space="preserve">non-government market estimate</w:t>
      </w:r>
      <w:r>
        <w:t xml:space="preserve"> </w:t>
      </w:r>
      <w:r>
        <w:t xml:space="preserve">for a job title that may be narrower than the O*NET planner occupation. It is not a guaranteed offer and should be compared with actual current postings in the learner’s location.</w:t>
      </w:r>
    </w:p>
    <w:bookmarkEnd w:id="55"/>
    <w:bookmarkEnd w:id="56"/>
    <w:bookmarkStart w:id="66" w:name="canada-pathway"/>
    <w:p>
      <w:pPr>
        <w:pStyle w:val="Heading2"/>
      </w:pPr>
      <w:r>
        <w:t xml:space="preserve">Canada pathway</w:t>
      </w:r>
    </w:p>
    <w:p>
      <w:pPr>
        <w:pStyle w:val="FirstParagraph"/>
      </w:pPr>
      <w:r>
        <w:t xml:space="preserve">Canada classifies</w:t>
      </w:r>
      <w:r>
        <w:t xml:space="preserve"> </w:t>
      </w:r>
      <w:r>
        <w:rPr>
          <w:bCs/>
          <w:b/>
        </w:rPr>
        <w:t xml:space="preserve">Conference and event planners</w:t>
      </w:r>
      <w:r>
        <w:t xml:space="preserve"> </w:t>
      </w:r>
      <w:r>
        <w:t xml:space="preserve">under</w:t>
      </w:r>
      <w:r>
        <w:t xml:space="preserve"> </w:t>
      </w:r>
      <w:r>
        <w:rPr>
          <w:bCs/>
          <w:b/>
        </w:rPr>
        <w:t xml:space="preserve">NOC 12103</w:t>
      </w:r>
      <w:r>
        <w:t xml:space="preserve">.</w:t>
      </w:r>
    </w:p>
    <w:p>
      <w:pPr>
        <w:pStyle w:val="BodyText"/>
      </w:pPr>
      <w:r>
        <w:t xml:space="preserve">Job Bank describes the work as planning, organizing, and coordinating conferences, conventions, meetings, seminars, exhibitions, trade shows, festivals, and other events. Employers include tourism associations, trade and professional associations, convention and conference centres, governments, and event-planning companies; some workers are self-employed.</w:t>
      </w:r>
    </w:p>
    <w:bookmarkStart w:id="57" w:name="typical-requirements"/>
    <w:p>
      <w:pPr>
        <w:pStyle w:val="Heading3"/>
      </w:pPr>
      <w:r>
        <w:t xml:space="preserve">Typical requirements</w:t>
      </w:r>
    </w:p>
    <w:p>
      <w:pPr>
        <w:pStyle w:val="FirstParagraph"/>
      </w:pPr>
      <w:r>
        <w:t xml:space="preserve">Job Bank’s detailed requirements state that employers usually look for:</w:t>
      </w:r>
    </w:p>
    <w:p>
      <w:pPr>
        <w:numPr>
          <w:ilvl w:val="0"/>
          <w:numId w:val="1031"/>
        </w:numPr>
        <w:pStyle w:val="Compact"/>
      </w:pPr>
      <w:r>
        <w:t xml:space="preserve">a university degree or college diploma in business, tourism, or hospitality administration; or</w:t>
      </w:r>
    </w:p>
    <w:p>
      <w:pPr>
        <w:numPr>
          <w:ilvl w:val="0"/>
          <w:numId w:val="1031"/>
        </w:numPr>
        <w:pStyle w:val="Compact"/>
      </w:pPr>
      <w:r>
        <w:t xml:space="preserve">several years of relevant hospitality, tourism-administration, or public-relations experience that may substitute for formal education.</w:t>
      </w:r>
    </w:p>
    <w:p>
      <w:pPr>
        <w:pStyle w:val="FirstParagraph"/>
      </w:pPr>
      <w:r>
        <w:t xml:space="preserve">Certification related to special events, meetings, or conference management</w:t>
      </w:r>
      <w:r>
        <w:t xml:space="preserve"> </w:t>
      </w:r>
      <w:r>
        <w:rPr>
          <w:bCs/>
          <w:b/>
        </w:rPr>
        <w:t xml:space="preserve">may</w:t>
      </w:r>
      <w:r>
        <w:t xml:space="preserve"> </w:t>
      </w:r>
      <w:r>
        <w:t xml:space="preserve">be required by some employers. “May” matters: a credential is not automatically a universal legal requirement.</w:t>
      </w:r>
    </w:p>
    <w:bookmarkEnd w:id="57"/>
    <w:bookmarkStart w:id="61" w:name="canada-wages"/>
    <w:p>
      <w:pPr>
        <w:pStyle w:val="Heading3"/>
      </w:pPr>
      <w:r>
        <w:t xml:space="preserve">Canada wages</w:t>
      </w:r>
    </w:p>
    <w:p>
      <w:pPr>
        <w:pStyle w:val="FirstParagraph"/>
      </w:pPr>
      <w:r>
        <w:t xml:space="preserve">Job Bank’s national wage data, updated November 19, 2025, reports:</w:t>
      </w:r>
    </w:p>
    <w:p>
      <w:pPr>
        <w:numPr>
          <w:ilvl w:val="0"/>
          <w:numId w:val="1032"/>
        </w:numPr>
        <w:pStyle w:val="Compact"/>
      </w:pPr>
      <w:r>
        <w:rPr>
          <w:bCs/>
          <w:b/>
        </w:rPr>
        <w:t xml:space="preserve">Low:</w:t>
      </w:r>
      <w:r>
        <w:t xml:space="preserve"> </w:t>
      </w:r>
      <w:r>
        <w:t xml:space="preserve">C$17.65/hour;</w:t>
      </w:r>
    </w:p>
    <w:p>
      <w:pPr>
        <w:numPr>
          <w:ilvl w:val="0"/>
          <w:numId w:val="1032"/>
        </w:numPr>
        <w:pStyle w:val="Compact"/>
      </w:pPr>
      <w:r>
        <w:rPr>
          <w:bCs/>
          <w:b/>
        </w:rPr>
        <w:t xml:space="preserve">Median:</w:t>
      </w:r>
      <w:r>
        <w:t xml:space="preserve"> </w:t>
      </w:r>
      <w:r>
        <w:t xml:space="preserve">C$28.37/hour;</w:t>
      </w:r>
    </w:p>
    <w:p>
      <w:pPr>
        <w:numPr>
          <w:ilvl w:val="0"/>
          <w:numId w:val="1032"/>
        </w:numPr>
        <w:pStyle w:val="Compact"/>
      </w:pPr>
      <w:r>
        <w:rPr>
          <w:bCs/>
          <w:b/>
        </w:rPr>
        <w:t xml:space="preserve">High:</w:t>
      </w:r>
      <w:r>
        <w:t xml:space="preserve"> </w:t>
      </w:r>
      <w:r>
        <w:t xml:space="preserve">C$47.53/hour.</w:t>
      </w:r>
    </w:p>
    <w:p>
      <w:pPr>
        <w:pStyle w:val="FirstParagraph"/>
      </w:pPr>
      <w:r>
        <w:t xml:space="preserve">The national reference period is 2023-2024 and the source is the Statistics Canada Labour Force Survey. Provincial and territorial outlooks and wages vary.</w:t>
      </w:r>
    </w:p>
    <w:p>
      <w:pPr>
        <w:pStyle w:val="BodyText"/>
      </w:pPr>
      <w:r>
        <w:t xml:space="preserve">Sources:</w:t>
      </w:r>
      <w:r>
        <w:t xml:space="preserve"> </w:t>
      </w:r>
      <w:hyperlink r:id="rId58">
        <w:hyperlink r:id="rId58">
          <w:r>
            <w:rPr>
              <w:rStyle w:val="Hyperlink"/>
            </w:rPr>
            <w:t xml:space="preserve">Source link</w:t>
          </w:r>
        </w:hyperlink>
      </w:hyperlink>
      <w:r>
        <w:br/>
      </w:r>
      <w:hyperlink r:id="rId59">
        <w:hyperlink r:id="rId59">
          <w:r>
            <w:rPr>
              <w:rStyle w:val="Hyperlink"/>
            </w:rPr>
            <w:t xml:space="preserve">Source link</w:t>
          </w:r>
        </w:hyperlink>
      </w:hyperlink>
      <w:r>
        <w:br/>
      </w:r>
      <w:hyperlink r:id="rId60">
        <w:hyperlink r:id="rId60">
          <w:r>
            <w:rPr>
              <w:rStyle w:val="Hyperlink"/>
            </w:rPr>
            <w:t xml:space="preserve">Source link</w:t>
          </w:r>
        </w:hyperlink>
      </w:hyperlink>
    </w:p>
    <w:bookmarkEnd w:id="61"/>
    <w:bookmarkStart w:id="65" w:name="canada-training-and-financial-support"/>
    <w:p>
      <w:pPr>
        <w:pStyle w:val="Heading3"/>
      </w:pPr>
      <w:r>
        <w:t xml:space="preserve">Canada training and financial support</w:t>
      </w:r>
    </w:p>
    <w:p>
      <w:pPr>
        <w:pStyle w:val="FirstParagraph"/>
      </w:pPr>
      <w:r>
        <w:t xml:space="preserve">Start with the Government of Canada training gateway:</w:t>
      </w:r>
    </w:p>
    <w:p>
      <w:pPr>
        <w:pStyle w:val="BodyText"/>
      </w:pPr>
      <w:hyperlink r:id="rId62">
        <w:hyperlink r:id="rId62">
          <w:r>
            <w:rPr>
              <w:rStyle w:val="Hyperlink"/>
            </w:rPr>
            <w:t xml:space="preserve">Source link</w:t>
          </w:r>
        </w:hyperlink>
      </w:hyperlink>
    </w:p>
    <w:p>
      <w:pPr>
        <w:pStyle w:val="BodyText"/>
      </w:pPr>
      <w:r>
        <w:t xml:space="preserve">It links to short-term paid or free courses, student aid, EI-and-training information, career exploration, skills resources, and other public supports.</w:t>
      </w:r>
    </w:p>
    <w:p>
      <w:pPr>
        <w:pStyle w:val="BodyText"/>
      </w:pPr>
      <w:r>
        <w:t xml:space="preserve">Canada also provides labour-market funding to provinces and territories through Labour Market Development Agreements and Workforce Development Agreements. Current federal material describes approximately</w:t>
      </w:r>
      <w:r>
        <w:t xml:space="preserve"> </w:t>
      </w:r>
      <w:r>
        <w:rPr>
          <w:bCs/>
          <w:b/>
        </w:rPr>
        <w:t xml:space="preserve">C$3 billion annually</w:t>
      </w:r>
      <w:r>
        <w:t xml:space="preserve"> </w:t>
      </w:r>
      <w:r>
        <w:t xml:space="preserve">through these agreements for training, upskilling, employment supports, career counselling, and job-search assistance.</w:t>
      </w:r>
    </w:p>
    <w:p>
      <w:pPr>
        <w:pStyle w:val="BodyText"/>
      </w:pPr>
      <w:r>
        <w:t xml:space="preserve">Sources:</w:t>
      </w:r>
      <w:r>
        <w:t xml:space="preserve"> </w:t>
      </w:r>
      <w:hyperlink r:id="rId63">
        <w:hyperlink r:id="rId63">
          <w:r>
            <w:rPr>
              <w:rStyle w:val="Hyperlink"/>
            </w:rPr>
            <w:t xml:space="preserve">Source link</w:t>
          </w:r>
        </w:hyperlink>
      </w:hyperlink>
      <w:r>
        <w:br/>
      </w:r>
      <w:hyperlink r:id="rId64">
        <w:hyperlink r:id="rId64">
          <w:r>
            <w:rPr>
              <w:rStyle w:val="Hyperlink"/>
            </w:rPr>
            <w:t xml:space="preserve">Source link</w:t>
          </w:r>
        </w:hyperlink>
      </w:hyperlink>
    </w:p>
    <w:p>
      <w:pPr>
        <w:pStyle w:val="BodyText"/>
      </w:pPr>
      <w:r>
        <w:t xml:space="preserve">Eligibility and program design vary by province/territory and personal circumstances. Verify locally before relying on funding.</w:t>
      </w:r>
    </w:p>
    <w:bookmarkEnd w:id="65"/>
    <w:bookmarkEnd w:id="66"/>
    <w:bookmarkStart w:id="71" w:name="colombia-pathway"/>
    <w:p>
      <w:pPr>
        <w:pStyle w:val="Heading2"/>
      </w:pPr>
      <w:r>
        <w:t xml:space="preserve">Colombia pathway</w:t>
      </w:r>
    </w:p>
    <w:p>
      <w:pPr>
        <w:pStyle w:val="FirstParagraph"/>
      </w:pPr>
      <w:r>
        <w:t xml:space="preserve">Colombia’s Ministry of Labour OCUPACOL catalogue maps this work to</w:t>
      </w:r>
      <w:r>
        <w:t xml:space="preserve"> </w:t>
      </w:r>
      <w:r>
        <w:rPr>
          <w:bCs/>
          <w:b/>
        </w:rPr>
        <w:t xml:space="preserve">CUOC 33320 — Coordinadores y productores de conferencias, eventos y espectáculos</w:t>
      </w:r>
      <w:r>
        <w:t xml:space="preserve">.</w:t>
      </w:r>
    </w:p>
    <w:p>
      <w:pPr>
        <w:pStyle w:val="BodyText"/>
      </w:pPr>
      <w:r>
        <w:t xml:space="preserve">The occupational profile explicitly includes titles such as:</w:t>
      </w:r>
    </w:p>
    <w:p>
      <w:pPr>
        <w:numPr>
          <w:ilvl w:val="0"/>
          <w:numId w:val="1033"/>
        </w:numPr>
        <w:pStyle w:val="Compact"/>
      </w:pPr>
      <w:r>
        <w:t xml:space="preserve">Coordinador de eventos;</w:t>
      </w:r>
    </w:p>
    <w:p>
      <w:pPr>
        <w:numPr>
          <w:ilvl w:val="0"/>
          <w:numId w:val="1033"/>
        </w:numPr>
        <w:pStyle w:val="Compact"/>
      </w:pPr>
      <w:r>
        <w:t xml:space="preserve">Coordinador de conferencia;</w:t>
      </w:r>
    </w:p>
    <w:p>
      <w:pPr>
        <w:numPr>
          <w:ilvl w:val="0"/>
          <w:numId w:val="1033"/>
        </w:numPr>
        <w:pStyle w:val="Compact"/>
      </w:pPr>
      <w:r>
        <w:t xml:space="preserve">Administrador de eventos;</w:t>
      </w:r>
    </w:p>
    <w:p>
      <w:pPr>
        <w:numPr>
          <w:ilvl w:val="0"/>
          <w:numId w:val="1033"/>
        </w:numPr>
        <w:pStyle w:val="Compact"/>
      </w:pPr>
      <w:r>
        <w:t xml:space="preserve">Gestor de eventos;</w:t>
      </w:r>
    </w:p>
    <w:p>
      <w:pPr>
        <w:numPr>
          <w:ilvl w:val="0"/>
          <w:numId w:val="1033"/>
        </w:numPr>
        <w:pStyle w:val="Compact"/>
      </w:pPr>
      <w:r>
        <w:t xml:space="preserve">Organizador de conferencias y eventos;</w:t>
      </w:r>
    </w:p>
    <w:p>
      <w:pPr>
        <w:numPr>
          <w:ilvl w:val="0"/>
          <w:numId w:val="1033"/>
        </w:numPr>
        <w:pStyle w:val="Compact"/>
      </w:pPr>
      <w:r>
        <w:t xml:space="preserve">Planeador de eventos;</w:t>
      </w:r>
    </w:p>
    <w:p>
      <w:pPr>
        <w:numPr>
          <w:ilvl w:val="0"/>
          <w:numId w:val="1033"/>
        </w:numPr>
        <w:pStyle w:val="Compact"/>
      </w:pPr>
      <w:r>
        <w:t xml:space="preserve">Productor de eventos;</w:t>
      </w:r>
    </w:p>
    <w:p>
      <w:pPr>
        <w:numPr>
          <w:ilvl w:val="0"/>
          <w:numId w:val="1033"/>
        </w:numPr>
        <w:pStyle w:val="Compact"/>
      </w:pPr>
      <w:r>
        <w:t xml:space="preserve">and other related event-production titles.</w:t>
      </w:r>
    </w:p>
    <w:p>
      <w:pPr>
        <w:pStyle w:val="FirstParagraph"/>
      </w:pPr>
      <w:r>
        <w:t xml:space="preserve">Its functions include client-needs analysis, event service coordination, budget follow-up, participant registration, program and promotional materials, support-staff coordination, technical/regulatory requirements, and financial records.</w:t>
      </w:r>
    </w:p>
    <w:p>
      <w:pPr>
        <w:pStyle w:val="BodyText"/>
      </w:pPr>
      <w:r>
        <w:t xml:space="preserve">Source:</w:t>
      </w:r>
      <w:r>
        <w:t xml:space="preserve"> </w:t>
      </w:r>
      <w:hyperlink r:id="rId67">
        <w:hyperlink r:id="rId67">
          <w:r>
            <w:rPr>
              <w:rStyle w:val="Hyperlink"/>
            </w:rPr>
            <w:t xml:space="preserve">Source link</w:t>
          </w:r>
        </w:hyperlink>
      </w:hyperlink>
    </w:p>
    <w:p>
      <w:pPr>
        <w:pStyle w:val="BodyText"/>
      </w:pPr>
      <w:r>
        <w:t xml:space="preserve">OCUPACOL also displays labour-market indicators, but its page cautions that the occupation-level data shown do</w:t>
      </w:r>
      <w:r>
        <w:t xml:space="preserve"> </w:t>
      </w:r>
      <w:r>
        <w:rPr>
          <w:bCs/>
          <w:b/>
        </w:rPr>
        <w:t xml:space="preserve">not</w:t>
      </w:r>
      <w:r>
        <w:t xml:space="preserve"> </w:t>
      </w:r>
      <w:r>
        <w:t xml:space="preserve">have statistical representativeness under the applied methodology. For that reason, this guide does not use the displayed OCUPACOL salary range as a representative wage benchmark.</w:t>
      </w:r>
    </w:p>
    <w:bookmarkStart w:id="70" w:name="sena-learning-options"/>
    <w:p>
      <w:pPr>
        <w:pStyle w:val="Heading3"/>
      </w:pPr>
      <w:r>
        <w:t xml:space="preserve">SENA learning options</w:t>
      </w:r>
    </w:p>
    <w:p>
      <w:pPr>
        <w:pStyle w:val="FirstParagraph"/>
      </w:pPr>
      <w:r>
        <w:t xml:space="preserve">SENA Betowa lists</w:t>
      </w:r>
      <w:r>
        <w:t xml:space="preserve"> </w:t>
      </w:r>
      <w:r>
        <w:rPr>
          <w:bCs/>
          <w:b/>
        </w:rPr>
        <w:t xml:space="preserve">Estrategias aplicadas a la organización de eventos</w:t>
      </w:r>
      <w:r>
        <w:t xml:space="preserve"> </w:t>
      </w:r>
      <w:r>
        <w:t xml:space="preserve">as a</w:t>
      </w:r>
      <w:r>
        <w:t xml:space="preserve"> </w:t>
      </w:r>
      <w:r>
        <w:rPr>
          <w:bCs/>
          <w:b/>
        </w:rPr>
        <w:t xml:space="preserve">40-hour</w:t>
      </w:r>
      <w:r>
        <w:t xml:space="preserve"> </w:t>
      </w:r>
      <w:r>
        <w:t xml:space="preserve">complementary special course. Its stated competency is organizing events according to the service portfolio and market study.</w:t>
      </w:r>
    </w:p>
    <w:p>
      <w:pPr>
        <w:pStyle w:val="BodyText"/>
      </w:pPr>
      <w:r>
        <w:t xml:space="preserve">Source:</w:t>
      </w:r>
      <w:r>
        <w:t xml:space="preserve"> </w:t>
      </w:r>
      <w:hyperlink r:id="rId68">
        <w:hyperlink r:id="rId68">
          <w:r>
            <w:rPr>
              <w:rStyle w:val="Hyperlink"/>
            </w:rPr>
            <w:t xml:space="preserve">Source link</w:t>
          </w:r>
        </w:hyperlink>
      </w:hyperlink>
    </w:p>
    <w:p>
      <w:pPr>
        <w:pStyle w:val="BodyText"/>
      </w:pPr>
      <w:r>
        <w:t xml:space="preserve">SENA also lists</w:t>
      </w:r>
      <w:r>
        <w:t xml:space="preserve"> </w:t>
      </w:r>
      <w:r>
        <w:rPr>
          <w:bCs/>
          <w:b/>
        </w:rPr>
        <w:t xml:space="preserve">Gestión Administrativa</w:t>
      </w:r>
      <w:r>
        <w:t xml:space="preserve"> </w:t>
      </w:r>
      <w:r>
        <w:t xml:space="preserve">as a</w:t>
      </w:r>
      <w:r>
        <w:t xml:space="preserve"> </w:t>
      </w:r>
      <w:r>
        <w:rPr>
          <w:bCs/>
          <w:b/>
        </w:rPr>
        <w:t xml:space="preserve">24-month Tecnólogo</w:t>
      </w:r>
      <w:r>
        <w:t xml:space="preserve"> </w:t>
      </w:r>
      <w:r>
        <w:t xml:space="preserve">program. Its competencies include organizing events that support business relationships along with ICT, documentation, customer service, information processing, and administrative work.</w:t>
      </w:r>
    </w:p>
    <w:p>
      <w:pPr>
        <w:pStyle w:val="BodyText"/>
      </w:pPr>
      <w:r>
        <w:t xml:space="preserve">Source:</w:t>
      </w:r>
      <w:r>
        <w:t xml:space="preserve"> </w:t>
      </w:r>
      <w:hyperlink r:id="rId69">
        <w:hyperlink r:id="rId69">
          <w:r>
            <w:rPr>
              <w:rStyle w:val="Hyperlink"/>
            </w:rPr>
            <w:t xml:space="preserve">Source link</w:t>
          </w:r>
        </w:hyperlink>
      </w:hyperlink>
    </w:p>
    <w:p>
      <w:pPr>
        <w:pStyle w:val="BodyText"/>
      </w:pPr>
      <w:r>
        <w:t xml:space="preserve">Cohorts, cities, dates, modality, seats, and admission requirements change. A learner should verify live Betowa availability before planning around a specific offering.</w:t>
      </w:r>
    </w:p>
    <w:bookmarkEnd w:id="70"/>
    <w:bookmarkEnd w:id="71"/>
    <w:bookmarkStart w:id="74" w:name="X9efa36486ebe43919b54cddec8bcaa52040731c"/>
    <w:p>
      <w:pPr>
        <w:pStyle w:val="Heading2"/>
      </w:pPr>
      <w:r>
        <w:t xml:space="preserve">Colombia market-pay context — clearly labelled</w:t>
      </w:r>
    </w:p>
    <w:p>
      <w:pPr>
        <w:pStyle w:val="FirstParagraph"/>
      </w:pPr>
      <w:r>
        <w:t xml:space="preserve">Indeed reported an average base salary for</w:t>
      </w:r>
      <w:r>
        <w:t xml:space="preserve"> </w:t>
      </w:r>
      <w:r>
        <w:rPr>
          <w:bCs/>
          <w:b/>
        </w:rPr>
        <w:t xml:space="preserve">Coordinador/a de eventos</w:t>
      </w:r>
      <w:r>
        <w:t xml:space="preserve"> </w:t>
      </w:r>
      <w:r>
        <w:t xml:space="preserve">in Colombia of approximately</w:t>
      </w:r>
      <w:r>
        <w:t xml:space="preserve"> </w:t>
      </w:r>
      <w:r>
        <w:rPr>
          <w:bCs/>
          <w:b/>
        </w:rPr>
        <w:t xml:space="preserve">COP 2,216,074 per month</w:t>
      </w:r>
      <w:r>
        <w:t xml:space="preserve">, based on</w:t>
      </w:r>
      <w:r>
        <w:t xml:space="preserve"> </w:t>
      </w:r>
      <w:r>
        <w:rPr>
          <w:bCs/>
          <w:b/>
        </w:rPr>
        <w:t xml:space="preserve">20 reported salaries</w:t>
      </w:r>
      <w:r>
        <w:t xml:space="preserve">, updated</w:t>
      </w:r>
      <w:r>
        <w:t xml:space="preserve"> </w:t>
      </w:r>
      <w:r>
        <w:rPr>
          <w:bCs/>
          <w:b/>
        </w:rPr>
        <w:t xml:space="preserve">July 9, 2026</w:t>
      </w:r>
      <w:r>
        <w:t xml:space="preserve">.</w:t>
      </w:r>
    </w:p>
    <w:p>
      <w:pPr>
        <w:pStyle w:val="BodyText"/>
      </w:pPr>
      <w:r>
        <w:t xml:space="preserve">For Bogotá, Indeed reported approximately</w:t>
      </w:r>
      <w:r>
        <w:t xml:space="preserve"> </w:t>
      </w:r>
      <w:r>
        <w:rPr>
          <w:bCs/>
          <w:b/>
        </w:rPr>
        <w:t xml:space="preserve">COP 2,100,876 per month</w:t>
      </w:r>
      <w:r>
        <w:t xml:space="preserve">, based on</w:t>
      </w:r>
      <w:r>
        <w:t xml:space="preserve"> </w:t>
      </w:r>
      <w:r>
        <w:rPr>
          <w:bCs/>
          <w:b/>
        </w:rPr>
        <w:t xml:space="preserve">12 reported salaries</w:t>
      </w:r>
      <w:r>
        <w:t xml:space="preserve">, also updated July 9, 2026.</w:t>
      </w:r>
    </w:p>
    <w:p>
      <w:pPr>
        <w:pStyle w:val="BodyText"/>
      </w:pPr>
      <w:r>
        <w:t xml:space="preserve">Sources:</w:t>
      </w:r>
      <w:r>
        <w:t xml:space="preserve"> </w:t>
      </w:r>
      <w:hyperlink r:id="rId72">
        <w:hyperlink r:id="rId72">
          <w:r>
            <w:rPr>
              <w:rStyle w:val="Hyperlink"/>
            </w:rPr>
            <w:t xml:space="preserve">Source link</w:t>
          </w:r>
        </w:hyperlink>
      </w:hyperlink>
      <w:r>
        <w:br/>
      </w:r>
      <w:hyperlink r:id="rId73">
        <w:hyperlink r:id="rId73">
          <w:r>
            <w:rPr>
              <w:rStyle w:val="Hyperlink"/>
            </w:rPr>
            <w:t xml:space="preserve">Source link</w:t>
          </w:r>
        </w:hyperlink>
      </w:hyperlink>
    </w:p>
    <w:p>
      <w:pPr>
        <w:pStyle w:val="BodyText"/>
      </w:pPr>
      <w:r>
        <w:t xml:space="preserve">These are</w:t>
      </w:r>
      <w:r>
        <w:t xml:space="preserve"> </w:t>
      </w:r>
      <w:r>
        <w:rPr>
          <w:bCs/>
          <w:b/>
        </w:rPr>
        <w:t xml:space="preserve">non-government market estimates with small samples</w:t>
      </w:r>
      <w:r>
        <w:t xml:space="preserve">, not official wage statistics or guaranteed compensation. Hospitality versus corporate events, sales incentives, language skills, city, schedule, event complexity, employer, and seniority can materially change pay.</w:t>
      </w:r>
    </w:p>
    <w:bookmarkEnd w:id="74"/>
    <w:bookmarkStart w:id="77" w:name="latin-america-and-caribbean-pathway"/>
    <w:p>
      <w:pPr>
        <w:pStyle w:val="Heading2"/>
      </w:pPr>
      <w:r>
        <w:t xml:space="preserve">Latin America and Caribbean pathway</w:t>
      </w:r>
    </w:p>
    <w:p>
      <w:pPr>
        <w:pStyle w:val="FirstParagraph"/>
      </w:pPr>
      <w:r>
        <w:t xml:space="preserve">Training systems vary across the region. OIT/Cinterfor, the ILO’s specialized centre for vocational training, coordinates a network of vocational-training institutions across Latin America and the Caribbean and provides country/institution resources.</w:t>
      </w:r>
    </w:p>
    <w:p>
      <w:pPr>
        <w:pStyle w:val="BodyText"/>
      </w:pPr>
      <w:r>
        <w:t xml:space="preserve">Start here:</w:t>
      </w:r>
    </w:p>
    <w:p>
      <w:pPr>
        <w:pStyle w:val="BodyText"/>
      </w:pPr>
      <w:hyperlink r:id="rId75">
        <w:r>
          <w:rPr>
            <w:rStyle w:val="Hyperlink"/>
          </w:rPr>
          <w:t xml:space="preserve">https://www.oitcinterfor.org/</w:t>
        </w:r>
      </w:hyperlink>
      <w:r>
        <w:br/>
      </w:r>
      <w:hyperlink r:id="rId76">
        <w:r>
          <w:rPr>
            <w:rStyle w:val="Hyperlink"/>
          </w:rPr>
          <w:t xml:space="preserve">https://www.oitcinterfor.org/statsfp/paises</w:t>
        </w:r>
      </w:hyperlink>
    </w:p>
    <w:p>
      <w:pPr>
        <w:pStyle w:val="BodyText"/>
      </w:pPr>
      <w:r>
        <w:t xml:space="preserve">Use the network to identify the appropriate national public or vocational-training institution, then verify the current course catalogue, cost, modality, eligibility, funding, and application dates directly with that institution.</w:t>
      </w:r>
    </w:p>
    <w:p>
      <w:pPr>
        <w:pStyle w:val="BodyText"/>
      </w:pPr>
      <w:r>
        <w:t xml:space="preserve">Examples of public vocational institutions in the region may offer hospitality, tourism, administration, customer service, digital skills, marketing, audiovisual support, or event-related learning even when there is no program named exactly “event coordinator.”</w:t>
      </w:r>
    </w:p>
    <w:p>
      <w:pPr>
        <w:pStyle w:val="BodyText"/>
      </w:pPr>
      <w:r>
        <w:t xml:space="preserve">A regional directory is a</w:t>
      </w:r>
      <w:r>
        <w:t xml:space="preserve"> </w:t>
      </w:r>
      <w:r>
        <w:rPr>
          <w:bCs/>
          <w:b/>
        </w:rPr>
        <w:t xml:space="preserve">locator</w:t>
      </w:r>
      <w:r>
        <w:t xml:space="preserve">, not proof that a particular course, scholarship, apprenticeship, or job is open.</w:t>
      </w:r>
    </w:p>
    <w:bookmarkEnd w:id="77"/>
    <w:bookmarkStart w:id="78" w:name="certifications-and-paid-training"/>
    <w:p>
      <w:pPr>
        <w:pStyle w:val="Heading2"/>
      </w:pPr>
      <w:r>
        <w:t xml:space="preserve">Certifications and paid training</w:t>
      </w:r>
    </w:p>
    <w:p>
      <w:pPr>
        <w:pStyle w:val="FirstParagraph"/>
      </w:pPr>
      <w:r>
        <w:t xml:space="preserve">Event-industry credentials can be useful in some markets, especially later in a career, but they should be treated as an investment decision.</w:t>
      </w:r>
    </w:p>
    <w:p>
      <w:pPr>
        <w:pStyle w:val="BodyText"/>
      </w:pPr>
      <w:r>
        <w:t xml:space="preserve">Before paying for a certification or private course, ask:</w:t>
      </w:r>
    </w:p>
    <w:p>
      <w:pPr>
        <w:numPr>
          <w:ilvl w:val="0"/>
          <w:numId w:val="1034"/>
        </w:numPr>
        <w:pStyle w:val="Compact"/>
      </w:pPr>
      <w:r>
        <w:t xml:space="preserve">Do target employers actually request it?</w:t>
      </w:r>
    </w:p>
    <w:p>
      <w:pPr>
        <w:numPr>
          <w:ilvl w:val="0"/>
          <w:numId w:val="1034"/>
        </w:numPr>
        <w:pStyle w:val="Compact"/>
      </w:pPr>
      <w:r>
        <w:t xml:space="preserve">Is it appropriate for entry level, or designed for experienced planners?</w:t>
      </w:r>
    </w:p>
    <w:p>
      <w:pPr>
        <w:numPr>
          <w:ilvl w:val="0"/>
          <w:numId w:val="1034"/>
        </w:numPr>
        <w:pStyle w:val="Compact"/>
      </w:pPr>
      <w:r>
        <w:t xml:space="preserve">Does it require prior experience?</w:t>
      </w:r>
    </w:p>
    <w:p>
      <w:pPr>
        <w:numPr>
          <w:ilvl w:val="0"/>
          <w:numId w:val="1034"/>
        </w:numPr>
        <w:pStyle w:val="Compact"/>
      </w:pPr>
      <w:r>
        <w:t xml:space="preserve">What is the full cost, including exam, membership, renewal, travel, or continuing education?</w:t>
      </w:r>
    </w:p>
    <w:p>
      <w:pPr>
        <w:numPr>
          <w:ilvl w:val="0"/>
          <w:numId w:val="1034"/>
        </w:numPr>
        <w:pStyle w:val="Compact"/>
      </w:pPr>
      <w:r>
        <w:t xml:space="preserve">Is employer reimbursement available?</w:t>
      </w:r>
    </w:p>
    <w:p>
      <w:pPr>
        <w:numPr>
          <w:ilvl w:val="0"/>
          <w:numId w:val="1034"/>
        </w:numPr>
        <w:pStyle w:val="Compact"/>
      </w:pPr>
      <w:r>
        <w:t xml:space="preserve">Is a public-college, workforce, SENA, or employer-supported route available first?</w:t>
      </w:r>
    </w:p>
    <w:p>
      <w:pPr>
        <w:numPr>
          <w:ilvl w:val="0"/>
          <w:numId w:val="1034"/>
        </w:numPr>
        <w:pStyle w:val="Compact"/>
      </w:pPr>
      <w:r>
        <w:t xml:space="preserve">Will the training produce demonstrable skills or merely a completion certificate?</w:t>
      </w:r>
    </w:p>
    <w:p>
      <w:pPr>
        <w:pStyle w:val="FirstParagraph"/>
      </w:pPr>
      <w:r>
        <w:t xml:space="preserve">A certificate of course completion is not the same as professional licensure, accreditation, or guaranteed employer recognition.</w:t>
      </w:r>
    </w:p>
    <w:bookmarkEnd w:id="78"/>
    <w:bookmarkStart w:id="79" w:name="build-experience-before-spending-heavily"/>
    <w:p>
      <w:pPr>
        <w:pStyle w:val="Heading2"/>
      </w:pPr>
      <w:r>
        <w:t xml:space="preserve">Build experience before spending heavily</w:t>
      </w:r>
    </w:p>
    <w:p>
      <w:pPr>
        <w:pStyle w:val="FirstParagraph"/>
      </w:pPr>
      <w:r>
        <w:t xml:space="preserve">Low-cost ways to build evidence can include:</w:t>
      </w:r>
    </w:p>
    <w:p>
      <w:pPr>
        <w:numPr>
          <w:ilvl w:val="0"/>
          <w:numId w:val="1035"/>
        </w:numPr>
        <w:pStyle w:val="Compact"/>
      </w:pPr>
      <w:r>
        <w:t xml:space="preserve">supporting a community or nonprofit event under supervision;</w:t>
      </w:r>
    </w:p>
    <w:p>
      <w:pPr>
        <w:numPr>
          <w:ilvl w:val="0"/>
          <w:numId w:val="1035"/>
        </w:numPr>
        <w:pStyle w:val="Compact"/>
      </w:pPr>
      <w:r>
        <w:t xml:space="preserve">helping coordinate a workplace meeting;</w:t>
      </w:r>
    </w:p>
    <w:p>
      <w:pPr>
        <w:numPr>
          <w:ilvl w:val="0"/>
          <w:numId w:val="1035"/>
        </w:numPr>
        <w:pStyle w:val="Compact"/>
      </w:pPr>
      <w:r>
        <w:t xml:space="preserve">volunteering with a conference registration team;</w:t>
      </w:r>
    </w:p>
    <w:p>
      <w:pPr>
        <w:numPr>
          <w:ilvl w:val="0"/>
          <w:numId w:val="1035"/>
        </w:numPr>
        <w:pStyle w:val="Compact"/>
      </w:pPr>
      <w:r>
        <w:t xml:space="preserve">assisting with a school, library, cultural, or association event;</w:t>
      </w:r>
    </w:p>
    <w:p>
      <w:pPr>
        <w:numPr>
          <w:ilvl w:val="0"/>
          <w:numId w:val="1035"/>
        </w:numPr>
        <w:pStyle w:val="Compact"/>
      </w:pPr>
      <w:r>
        <w:t xml:space="preserve">taking a hotel, banquet, customer-service, or administrative role;</w:t>
      </w:r>
    </w:p>
    <w:p>
      <w:pPr>
        <w:numPr>
          <w:ilvl w:val="0"/>
          <w:numId w:val="1035"/>
        </w:numPr>
        <w:pStyle w:val="Compact"/>
      </w:pPr>
      <w:r>
        <w:t xml:space="preserve">creating fictional event plans that use no real personal data;</w:t>
      </w:r>
    </w:p>
    <w:p>
      <w:pPr>
        <w:numPr>
          <w:ilvl w:val="0"/>
          <w:numId w:val="1035"/>
        </w:numPr>
        <w:pStyle w:val="Compact"/>
      </w:pPr>
      <w:r>
        <w:t xml:space="preserve">practicing spreadsheet budgets and timelines;</w:t>
      </w:r>
    </w:p>
    <w:p>
      <w:pPr>
        <w:numPr>
          <w:ilvl w:val="0"/>
          <w:numId w:val="1035"/>
        </w:numPr>
        <w:pStyle w:val="Compact"/>
      </w:pPr>
      <w:r>
        <w:t xml:space="preserve">learning accessible-document basics;</w:t>
      </w:r>
    </w:p>
    <w:p>
      <w:pPr>
        <w:numPr>
          <w:ilvl w:val="0"/>
          <w:numId w:val="1035"/>
        </w:numPr>
        <w:pStyle w:val="Compact"/>
      </w:pPr>
      <w:r>
        <w:t xml:space="preserve">practicing vendor-comparison tables using public information;</w:t>
      </w:r>
    </w:p>
    <w:p>
      <w:pPr>
        <w:numPr>
          <w:ilvl w:val="0"/>
          <w:numId w:val="1035"/>
        </w:numPr>
        <w:pStyle w:val="Compact"/>
      </w:pPr>
      <w:r>
        <w:t xml:space="preserve">learning basic cybersecurity and phishing awareness.</w:t>
      </w:r>
    </w:p>
    <w:p>
      <w:pPr>
        <w:pStyle w:val="FirstParagraph"/>
      </w:pPr>
      <w:r>
        <w:t xml:space="preserve">If volunteering, confirm the role, supervision, insurance/safety expectations, schedule, and data-handling rules. “Volunteer” does not mean “uncontrolled.”</w:t>
      </w:r>
    </w:p>
    <w:bookmarkEnd w:id="79"/>
    <w:bookmarkStart w:id="86" w:name="portfolio-ideas"/>
    <w:p>
      <w:pPr>
        <w:pStyle w:val="Heading2"/>
      </w:pPr>
      <w:r>
        <w:t xml:space="preserve">Portfolio ideas</w:t>
      </w:r>
    </w:p>
    <w:p>
      <w:pPr>
        <w:pStyle w:val="FirstParagraph"/>
      </w:pPr>
      <w:r>
        <w:t xml:space="preserve">A beginning portfolio can use fictional or fully de-identified scenarios.</w:t>
      </w:r>
    </w:p>
    <w:p>
      <w:pPr>
        <w:pStyle w:val="BodyText"/>
      </w:pPr>
      <w:r>
        <w:t xml:space="preserve">Useful samples include:</w:t>
      </w:r>
    </w:p>
    <w:bookmarkStart w:id="80" w:name="event-brief"/>
    <w:p>
      <w:pPr>
        <w:pStyle w:val="Heading3"/>
      </w:pPr>
      <w:r>
        <w:t xml:space="preserve">Event brief</w:t>
      </w:r>
    </w:p>
    <w:p>
      <w:pPr>
        <w:pStyle w:val="FirstParagraph"/>
      </w:pPr>
      <w:r>
        <w:t xml:space="preserve">Show:</w:t>
      </w:r>
    </w:p>
    <w:p>
      <w:pPr>
        <w:numPr>
          <w:ilvl w:val="0"/>
          <w:numId w:val="1036"/>
        </w:numPr>
        <w:pStyle w:val="Compact"/>
      </w:pPr>
      <w:r>
        <w:t xml:space="preserve">objective;</w:t>
      </w:r>
    </w:p>
    <w:p>
      <w:pPr>
        <w:numPr>
          <w:ilvl w:val="0"/>
          <w:numId w:val="1036"/>
        </w:numPr>
        <w:pStyle w:val="Compact"/>
      </w:pPr>
      <w:r>
        <w:t xml:space="preserve">audience;</w:t>
      </w:r>
    </w:p>
    <w:p>
      <w:pPr>
        <w:numPr>
          <w:ilvl w:val="0"/>
          <w:numId w:val="1036"/>
        </w:numPr>
        <w:pStyle w:val="Compact"/>
      </w:pPr>
      <w:r>
        <w:t xml:space="preserve">assumptions;</w:t>
      </w:r>
    </w:p>
    <w:p>
      <w:pPr>
        <w:numPr>
          <w:ilvl w:val="0"/>
          <w:numId w:val="1036"/>
        </w:numPr>
        <w:pStyle w:val="Compact"/>
      </w:pPr>
      <w:r>
        <w:t xml:space="preserve">budget range;</w:t>
      </w:r>
    </w:p>
    <w:p>
      <w:pPr>
        <w:numPr>
          <w:ilvl w:val="0"/>
          <w:numId w:val="1036"/>
        </w:numPr>
        <w:pStyle w:val="Compact"/>
      </w:pPr>
      <w:r>
        <w:t xml:space="preserve">date/location;</w:t>
      </w:r>
    </w:p>
    <w:p>
      <w:pPr>
        <w:numPr>
          <w:ilvl w:val="0"/>
          <w:numId w:val="1036"/>
        </w:numPr>
        <w:pStyle w:val="Compact"/>
      </w:pPr>
      <w:r>
        <w:t xml:space="preserve">accessibility considerations;</w:t>
      </w:r>
    </w:p>
    <w:p>
      <w:pPr>
        <w:numPr>
          <w:ilvl w:val="0"/>
          <w:numId w:val="1036"/>
        </w:numPr>
        <w:pStyle w:val="Compact"/>
      </w:pPr>
      <w:r>
        <w:t xml:space="preserve">success measures.</w:t>
      </w:r>
    </w:p>
    <w:bookmarkEnd w:id="80"/>
    <w:bookmarkStart w:id="81" w:name="planning-timeline"/>
    <w:p>
      <w:pPr>
        <w:pStyle w:val="Heading3"/>
      </w:pPr>
      <w:r>
        <w:t xml:space="preserve">Planning timeline</w:t>
      </w:r>
    </w:p>
    <w:p>
      <w:pPr>
        <w:pStyle w:val="FirstParagraph"/>
      </w:pPr>
      <w:r>
        <w:t xml:space="preserve">Create milestones for:</w:t>
      </w:r>
    </w:p>
    <w:p>
      <w:pPr>
        <w:numPr>
          <w:ilvl w:val="0"/>
          <w:numId w:val="1037"/>
        </w:numPr>
        <w:pStyle w:val="Compact"/>
      </w:pPr>
      <w:r>
        <w:t xml:space="preserve">venue confirmation;</w:t>
      </w:r>
    </w:p>
    <w:p>
      <w:pPr>
        <w:numPr>
          <w:ilvl w:val="0"/>
          <w:numId w:val="1037"/>
        </w:numPr>
        <w:pStyle w:val="Compact"/>
      </w:pPr>
      <w:r>
        <w:t xml:space="preserve">registration launch;</w:t>
      </w:r>
    </w:p>
    <w:p>
      <w:pPr>
        <w:numPr>
          <w:ilvl w:val="0"/>
          <w:numId w:val="1037"/>
        </w:numPr>
        <w:pStyle w:val="Compact"/>
      </w:pPr>
      <w:r>
        <w:t xml:space="preserve">vendor deadlines;</w:t>
      </w:r>
    </w:p>
    <w:p>
      <w:pPr>
        <w:numPr>
          <w:ilvl w:val="0"/>
          <w:numId w:val="1037"/>
        </w:numPr>
        <w:pStyle w:val="Compact"/>
      </w:pPr>
      <w:r>
        <w:t xml:space="preserve">speaker materials;</w:t>
      </w:r>
    </w:p>
    <w:p>
      <w:pPr>
        <w:numPr>
          <w:ilvl w:val="0"/>
          <w:numId w:val="1037"/>
        </w:numPr>
        <w:pStyle w:val="Compact"/>
      </w:pPr>
      <w:r>
        <w:t xml:space="preserve">accessibility confirmations;</w:t>
      </w:r>
    </w:p>
    <w:p>
      <w:pPr>
        <w:numPr>
          <w:ilvl w:val="0"/>
          <w:numId w:val="1037"/>
        </w:numPr>
        <w:pStyle w:val="Compact"/>
      </w:pPr>
      <w:r>
        <w:t xml:space="preserve">attendee reminders;</w:t>
      </w:r>
    </w:p>
    <w:p>
      <w:pPr>
        <w:numPr>
          <w:ilvl w:val="0"/>
          <w:numId w:val="1037"/>
        </w:numPr>
        <w:pStyle w:val="Compact"/>
      </w:pPr>
      <w:r>
        <w:t xml:space="preserve">final counts;</w:t>
      </w:r>
    </w:p>
    <w:p>
      <w:pPr>
        <w:numPr>
          <w:ilvl w:val="0"/>
          <w:numId w:val="1037"/>
        </w:numPr>
        <w:pStyle w:val="Compact"/>
      </w:pPr>
      <w:r>
        <w:t xml:space="preserve">event-day setup;</w:t>
      </w:r>
    </w:p>
    <w:p>
      <w:pPr>
        <w:numPr>
          <w:ilvl w:val="0"/>
          <w:numId w:val="1037"/>
        </w:numPr>
        <w:pStyle w:val="Compact"/>
      </w:pPr>
      <w:r>
        <w:t xml:space="preserve">post-event closeout.</w:t>
      </w:r>
    </w:p>
    <w:bookmarkEnd w:id="81"/>
    <w:bookmarkStart w:id="82" w:name="budget-tracker"/>
    <w:p>
      <w:pPr>
        <w:pStyle w:val="Heading3"/>
      </w:pPr>
      <w:r>
        <w:t xml:space="preserve">Budget tracker</w:t>
      </w:r>
    </w:p>
    <w:p>
      <w:pPr>
        <w:pStyle w:val="FirstParagraph"/>
      </w:pPr>
      <w:r>
        <w:t xml:space="preserve">Include columns for:</w:t>
      </w:r>
    </w:p>
    <w:p>
      <w:pPr>
        <w:numPr>
          <w:ilvl w:val="0"/>
          <w:numId w:val="1038"/>
        </w:numPr>
        <w:pStyle w:val="Compact"/>
      </w:pPr>
      <w:r>
        <w:t xml:space="preserve">category;</w:t>
      </w:r>
    </w:p>
    <w:p>
      <w:pPr>
        <w:numPr>
          <w:ilvl w:val="0"/>
          <w:numId w:val="1038"/>
        </w:numPr>
        <w:pStyle w:val="Compact"/>
      </w:pPr>
      <w:r>
        <w:t xml:space="preserve">estimate;</w:t>
      </w:r>
    </w:p>
    <w:p>
      <w:pPr>
        <w:numPr>
          <w:ilvl w:val="0"/>
          <w:numId w:val="1038"/>
        </w:numPr>
        <w:pStyle w:val="Compact"/>
      </w:pPr>
      <w:r>
        <w:t xml:space="preserve">approved amount;</w:t>
      </w:r>
    </w:p>
    <w:p>
      <w:pPr>
        <w:numPr>
          <w:ilvl w:val="0"/>
          <w:numId w:val="1038"/>
        </w:numPr>
        <w:pStyle w:val="Compact"/>
      </w:pPr>
      <w:r>
        <w:t xml:space="preserve">committed amount;</w:t>
      </w:r>
    </w:p>
    <w:p>
      <w:pPr>
        <w:numPr>
          <w:ilvl w:val="0"/>
          <w:numId w:val="1038"/>
        </w:numPr>
        <w:pStyle w:val="Compact"/>
      </w:pPr>
      <w:r>
        <w:t xml:space="preserve">actual invoice;</w:t>
      </w:r>
    </w:p>
    <w:p>
      <w:pPr>
        <w:numPr>
          <w:ilvl w:val="0"/>
          <w:numId w:val="1038"/>
        </w:numPr>
        <w:pStyle w:val="Compact"/>
      </w:pPr>
      <w:r>
        <w:t xml:space="preserve">variance;</w:t>
      </w:r>
    </w:p>
    <w:p>
      <w:pPr>
        <w:numPr>
          <w:ilvl w:val="0"/>
          <w:numId w:val="1038"/>
        </w:numPr>
        <w:pStyle w:val="Compact"/>
      </w:pPr>
      <w:r>
        <w:t xml:space="preserve">approval owner;</w:t>
      </w:r>
    </w:p>
    <w:p>
      <w:pPr>
        <w:numPr>
          <w:ilvl w:val="0"/>
          <w:numId w:val="1038"/>
        </w:numPr>
        <w:pStyle w:val="Compact"/>
      </w:pPr>
      <w:r>
        <w:t xml:space="preserve">notes.</w:t>
      </w:r>
    </w:p>
    <w:p>
      <w:pPr>
        <w:pStyle w:val="FirstParagraph"/>
      </w:pPr>
      <w:r>
        <w:t xml:space="preserve">Use invented numbers unless you have permission to disclose real business data.</w:t>
      </w:r>
    </w:p>
    <w:bookmarkEnd w:id="82"/>
    <w:bookmarkStart w:id="83" w:name="run-of-show"/>
    <w:p>
      <w:pPr>
        <w:pStyle w:val="Heading3"/>
      </w:pPr>
      <w:r>
        <w:t xml:space="preserve">Run-of-show</w:t>
      </w:r>
    </w:p>
    <w:p>
      <w:pPr>
        <w:pStyle w:val="FirstParagraph"/>
      </w:pPr>
      <w:r>
        <w:t xml:space="preserve">Include:</w:t>
      </w:r>
    </w:p>
    <w:p>
      <w:pPr>
        <w:numPr>
          <w:ilvl w:val="0"/>
          <w:numId w:val="1039"/>
        </w:numPr>
        <w:pStyle w:val="Compact"/>
      </w:pPr>
      <w:r>
        <w:t xml:space="preserve">time;</w:t>
      </w:r>
    </w:p>
    <w:p>
      <w:pPr>
        <w:numPr>
          <w:ilvl w:val="0"/>
          <w:numId w:val="1039"/>
        </w:numPr>
        <w:pStyle w:val="Compact"/>
      </w:pPr>
      <w:r>
        <w:t xml:space="preserve">activity;</w:t>
      </w:r>
    </w:p>
    <w:p>
      <w:pPr>
        <w:numPr>
          <w:ilvl w:val="0"/>
          <w:numId w:val="1039"/>
        </w:numPr>
        <w:pStyle w:val="Compact"/>
      </w:pPr>
      <w:r>
        <w:t xml:space="preserve">owner;</w:t>
      </w:r>
    </w:p>
    <w:p>
      <w:pPr>
        <w:numPr>
          <w:ilvl w:val="0"/>
          <w:numId w:val="1039"/>
        </w:numPr>
        <w:pStyle w:val="Compact"/>
      </w:pPr>
      <w:r>
        <w:t xml:space="preserve">location;</w:t>
      </w:r>
    </w:p>
    <w:p>
      <w:pPr>
        <w:numPr>
          <w:ilvl w:val="0"/>
          <w:numId w:val="1039"/>
        </w:numPr>
        <w:pStyle w:val="Compact"/>
      </w:pPr>
      <w:r>
        <w:t xml:space="preserve">dependencies;</w:t>
      </w:r>
    </w:p>
    <w:p>
      <w:pPr>
        <w:numPr>
          <w:ilvl w:val="0"/>
          <w:numId w:val="1039"/>
        </w:numPr>
        <w:pStyle w:val="Compact"/>
      </w:pPr>
      <w:r>
        <w:t xml:space="preserve">communication cue;</w:t>
      </w:r>
    </w:p>
    <w:p>
      <w:pPr>
        <w:numPr>
          <w:ilvl w:val="0"/>
          <w:numId w:val="1039"/>
        </w:numPr>
        <w:pStyle w:val="Compact"/>
      </w:pPr>
      <w:r>
        <w:t xml:space="preserve">backup action;</w:t>
      </w:r>
    </w:p>
    <w:p>
      <w:pPr>
        <w:numPr>
          <w:ilvl w:val="0"/>
          <w:numId w:val="1039"/>
        </w:numPr>
        <w:pStyle w:val="Compact"/>
      </w:pPr>
      <w:r>
        <w:t xml:space="preserve">escalation contact role.</w:t>
      </w:r>
    </w:p>
    <w:p>
      <w:pPr>
        <w:pStyle w:val="FirstParagraph"/>
      </w:pPr>
      <w:r>
        <w:t xml:space="preserve">Do not publish real security-sensitive or executive movement details.</w:t>
      </w:r>
    </w:p>
    <w:bookmarkEnd w:id="83"/>
    <w:bookmarkStart w:id="84" w:name="registration-workflow"/>
    <w:p>
      <w:pPr>
        <w:pStyle w:val="Heading3"/>
      </w:pPr>
      <w:r>
        <w:t xml:space="preserve">Registration workflow</w:t>
      </w:r>
    </w:p>
    <w:p>
      <w:pPr>
        <w:pStyle w:val="FirstParagraph"/>
      </w:pPr>
      <w:r>
        <w:t xml:space="preserve">Show how a participant moves from:</w:t>
      </w:r>
    </w:p>
    <w:p>
      <w:pPr>
        <w:pStyle w:val="BodyText"/>
      </w:pPr>
      <w:r>
        <w:t xml:space="preserve">invitation → registration → accommodation request → confirmation → reminder → check-in → feedback → record closeout.</w:t>
      </w:r>
    </w:p>
    <w:p>
      <w:pPr>
        <w:pStyle w:val="BodyText"/>
      </w:pPr>
      <w:r>
        <w:t xml:space="preserve">Explain what information is actually necessary at each step.</w:t>
      </w:r>
    </w:p>
    <w:bookmarkEnd w:id="84"/>
    <w:bookmarkStart w:id="85" w:name="post-event-report"/>
    <w:p>
      <w:pPr>
        <w:pStyle w:val="Heading3"/>
      </w:pPr>
      <w:r>
        <w:t xml:space="preserve">Post-event report</w:t>
      </w:r>
    </w:p>
    <w:p>
      <w:pPr>
        <w:pStyle w:val="FirstParagraph"/>
      </w:pPr>
      <w:r>
        <w:t xml:space="preserve">Summarize:</w:t>
      </w:r>
    </w:p>
    <w:p>
      <w:pPr>
        <w:numPr>
          <w:ilvl w:val="0"/>
          <w:numId w:val="1040"/>
        </w:numPr>
        <w:pStyle w:val="Compact"/>
      </w:pPr>
      <w:r>
        <w:t xml:space="preserve">attendance;</w:t>
      </w:r>
    </w:p>
    <w:p>
      <w:pPr>
        <w:numPr>
          <w:ilvl w:val="0"/>
          <w:numId w:val="1040"/>
        </w:numPr>
        <w:pStyle w:val="Compact"/>
      </w:pPr>
      <w:r>
        <w:t xml:space="preserve">objectives met;</w:t>
      </w:r>
    </w:p>
    <w:p>
      <w:pPr>
        <w:numPr>
          <w:ilvl w:val="0"/>
          <w:numId w:val="1040"/>
        </w:numPr>
        <w:pStyle w:val="Compact"/>
      </w:pPr>
      <w:r>
        <w:t xml:space="preserve">budget status;</w:t>
      </w:r>
    </w:p>
    <w:p>
      <w:pPr>
        <w:numPr>
          <w:ilvl w:val="0"/>
          <w:numId w:val="1040"/>
        </w:numPr>
        <w:pStyle w:val="Compact"/>
      </w:pPr>
      <w:r>
        <w:t xml:space="preserve">operational issues;</w:t>
      </w:r>
    </w:p>
    <w:p>
      <w:pPr>
        <w:numPr>
          <w:ilvl w:val="0"/>
          <w:numId w:val="1040"/>
        </w:numPr>
        <w:pStyle w:val="Compact"/>
      </w:pPr>
      <w:r>
        <w:t xml:space="preserve">accessibility feedback;</w:t>
      </w:r>
    </w:p>
    <w:p>
      <w:pPr>
        <w:numPr>
          <w:ilvl w:val="0"/>
          <w:numId w:val="1040"/>
        </w:numPr>
        <w:pStyle w:val="Compact"/>
      </w:pPr>
      <w:r>
        <w:t xml:space="preserve">vendor follow-up;</w:t>
      </w:r>
    </w:p>
    <w:p>
      <w:pPr>
        <w:numPr>
          <w:ilvl w:val="0"/>
          <w:numId w:val="1040"/>
        </w:numPr>
        <w:pStyle w:val="Compact"/>
      </w:pPr>
      <w:r>
        <w:t xml:space="preserve">lessons learned;</w:t>
      </w:r>
    </w:p>
    <w:p>
      <w:pPr>
        <w:numPr>
          <w:ilvl w:val="0"/>
          <w:numId w:val="1040"/>
        </w:numPr>
        <w:pStyle w:val="Compact"/>
      </w:pPr>
      <w:r>
        <w:t xml:space="preserve">recommended improvements.</w:t>
      </w:r>
    </w:p>
    <w:bookmarkEnd w:id="85"/>
    <w:bookmarkEnd w:id="86"/>
    <w:bookmarkStart w:id="87" w:name="résumé-guidance"/>
    <w:p>
      <w:pPr>
        <w:pStyle w:val="Heading2"/>
      </w:pPr>
      <w:r>
        <w:t xml:space="preserve">Résumé guidance</w:t>
      </w:r>
    </w:p>
    <w:p>
      <w:pPr>
        <w:pStyle w:val="FirstParagraph"/>
      </w:pPr>
      <w:r>
        <w:t xml:space="preserve">Use evidence, not adjectives.</w:t>
      </w:r>
    </w:p>
    <w:p>
      <w:pPr>
        <w:pStyle w:val="BodyText"/>
      </w:pPr>
      <w:r>
        <w:t xml:space="preserve">Weak:</w:t>
      </w:r>
    </w:p>
    <w:p>
      <w:pPr>
        <w:pStyle w:val="BlockText"/>
      </w:pPr>
      <w:r>
        <w:t xml:space="preserve">Excellent event professional with amazing organizational skills.</w:t>
      </w:r>
    </w:p>
    <w:p>
      <w:pPr>
        <w:pStyle w:val="FirstParagraph"/>
      </w:pPr>
      <w:r>
        <w:t xml:space="preserve">Stronger:</w:t>
      </w:r>
    </w:p>
    <w:p>
      <w:pPr>
        <w:pStyle w:val="BlockText"/>
      </w:pPr>
      <w:r>
        <w:t xml:space="preserve">Coordinated registration, vendor schedules, event materials, and attendee communications for a 150-person community conference; maintained the planning tracker and resolved day-of issues through the event lead’s escalation process.</w:t>
      </w:r>
    </w:p>
    <w:p>
      <w:pPr>
        <w:pStyle w:val="FirstParagraph"/>
      </w:pPr>
      <w:r>
        <w:t xml:space="preserve">Only use numbers you can support.</w:t>
      </w:r>
    </w:p>
    <w:p>
      <w:pPr>
        <w:pStyle w:val="BodyText"/>
      </w:pPr>
      <w:r>
        <w:t xml:space="preserve">Relevant résumé evidence can include:</w:t>
      </w:r>
    </w:p>
    <w:p>
      <w:pPr>
        <w:numPr>
          <w:ilvl w:val="0"/>
          <w:numId w:val="1041"/>
        </w:numPr>
        <w:pStyle w:val="Compact"/>
      </w:pPr>
      <w:r>
        <w:t xml:space="preserve">number or type of events supported;</w:t>
      </w:r>
    </w:p>
    <w:p>
      <w:pPr>
        <w:numPr>
          <w:ilvl w:val="0"/>
          <w:numId w:val="1041"/>
        </w:numPr>
        <w:pStyle w:val="Compact"/>
      </w:pPr>
      <w:r>
        <w:t xml:space="preserve">attendee volume;</w:t>
      </w:r>
    </w:p>
    <w:p>
      <w:pPr>
        <w:numPr>
          <w:ilvl w:val="0"/>
          <w:numId w:val="1041"/>
        </w:numPr>
        <w:pStyle w:val="Compact"/>
      </w:pPr>
      <w:r>
        <w:t xml:space="preserve">budget-tracking responsibility without claiming approval authority you did not have;</w:t>
      </w:r>
    </w:p>
    <w:p>
      <w:pPr>
        <w:numPr>
          <w:ilvl w:val="0"/>
          <w:numId w:val="1041"/>
        </w:numPr>
        <w:pStyle w:val="Compact"/>
      </w:pPr>
      <w:r>
        <w:t xml:space="preserve">vendor count;</w:t>
      </w:r>
    </w:p>
    <w:p>
      <w:pPr>
        <w:numPr>
          <w:ilvl w:val="0"/>
          <w:numId w:val="1041"/>
        </w:numPr>
        <w:pStyle w:val="Compact"/>
      </w:pPr>
      <w:r>
        <w:t xml:space="preserve">registration systems used;</w:t>
      </w:r>
    </w:p>
    <w:p>
      <w:pPr>
        <w:numPr>
          <w:ilvl w:val="0"/>
          <w:numId w:val="1041"/>
        </w:numPr>
        <w:pStyle w:val="Compact"/>
      </w:pPr>
      <w:r>
        <w:t xml:space="preserve">spreadsheet or reporting work;</w:t>
      </w:r>
    </w:p>
    <w:p>
      <w:pPr>
        <w:numPr>
          <w:ilvl w:val="0"/>
          <w:numId w:val="1041"/>
        </w:numPr>
        <w:pStyle w:val="Compact"/>
      </w:pPr>
      <w:r>
        <w:t xml:space="preserve">on-time milestones;</w:t>
      </w:r>
    </w:p>
    <w:p>
      <w:pPr>
        <w:numPr>
          <w:ilvl w:val="0"/>
          <w:numId w:val="1041"/>
        </w:numPr>
        <w:pStyle w:val="Compact"/>
      </w:pPr>
      <w:r>
        <w:t xml:space="preserve">customer-service results;</w:t>
      </w:r>
    </w:p>
    <w:p>
      <w:pPr>
        <w:numPr>
          <w:ilvl w:val="0"/>
          <w:numId w:val="1041"/>
        </w:numPr>
        <w:pStyle w:val="Compact"/>
      </w:pPr>
      <w:r>
        <w:t xml:space="preserve">accessibility support;</w:t>
      </w:r>
    </w:p>
    <w:p>
      <w:pPr>
        <w:numPr>
          <w:ilvl w:val="0"/>
          <w:numId w:val="1041"/>
        </w:numPr>
        <w:pStyle w:val="Compact"/>
      </w:pPr>
      <w:r>
        <w:t xml:space="preserve">event technology;</w:t>
      </w:r>
    </w:p>
    <w:p>
      <w:pPr>
        <w:numPr>
          <w:ilvl w:val="0"/>
          <w:numId w:val="1041"/>
        </w:numPr>
        <w:pStyle w:val="Compact"/>
      </w:pPr>
      <w:r>
        <w:t xml:space="preserve">bilingual communication;</w:t>
      </w:r>
    </w:p>
    <w:p>
      <w:pPr>
        <w:numPr>
          <w:ilvl w:val="0"/>
          <w:numId w:val="1041"/>
        </w:numPr>
        <w:pStyle w:val="Compact"/>
      </w:pPr>
      <w:r>
        <w:t xml:space="preserve">process improvements;</w:t>
      </w:r>
    </w:p>
    <w:p>
      <w:pPr>
        <w:numPr>
          <w:ilvl w:val="0"/>
          <w:numId w:val="1041"/>
        </w:numPr>
        <w:pStyle w:val="Compact"/>
      </w:pPr>
      <w:r>
        <w:t xml:space="preserve">incident-free delivery only if you have an appropriate record and are not implying safety certification.</w:t>
      </w:r>
    </w:p>
    <w:bookmarkEnd w:id="87"/>
    <w:bookmarkStart w:id="93" w:name="interview-preparation"/>
    <w:p>
      <w:pPr>
        <w:pStyle w:val="Heading2"/>
      </w:pPr>
      <w:r>
        <w:t xml:space="preserve">Interview preparation</w:t>
      </w:r>
    </w:p>
    <w:p>
      <w:pPr>
        <w:pStyle w:val="FirstParagraph"/>
      </w:pPr>
      <w:r>
        <w:t xml:space="preserve">Expect questions such as:</w:t>
      </w:r>
    </w:p>
    <w:bookmarkStart w:id="88" w:name="how-do-you-manage-multiple-deadlines"/>
    <w:p>
      <w:pPr>
        <w:pStyle w:val="Heading3"/>
      </w:pPr>
      <w:r>
        <w:t xml:space="preserve">“How do you manage multiple deadlines?”</w:t>
      </w:r>
    </w:p>
    <w:p>
      <w:pPr>
        <w:pStyle w:val="FirstParagraph"/>
      </w:pPr>
      <w:r>
        <w:t xml:space="preserve">A strong answer explains the actual system you use: milestone list, calendar, owner, due date, status, dependency, reminder, and escalation.</w:t>
      </w:r>
    </w:p>
    <w:bookmarkEnd w:id="88"/>
    <w:bookmarkStart w:id="89" w:name="X52647b5585ea0a917bb3cf7aa9c4097ea7fc0d1"/>
    <w:p>
      <w:pPr>
        <w:pStyle w:val="Heading3"/>
      </w:pPr>
      <w:r>
        <w:t xml:space="preserve">“What would you do if a vendor did not arrive?”</w:t>
      </w:r>
    </w:p>
    <w:p>
      <w:pPr>
        <w:pStyle w:val="FirstParagraph"/>
      </w:pPr>
      <w:r>
        <w:t xml:space="preserve">Show calm escalation:</w:t>
      </w:r>
    </w:p>
    <w:p>
      <w:pPr>
        <w:numPr>
          <w:ilvl w:val="0"/>
          <w:numId w:val="1042"/>
        </w:numPr>
        <w:pStyle w:val="Compact"/>
      </w:pPr>
      <w:r>
        <w:t xml:space="preserve">verify the agreed arrival time and contact;</w:t>
      </w:r>
    </w:p>
    <w:p>
      <w:pPr>
        <w:numPr>
          <w:ilvl w:val="0"/>
          <w:numId w:val="1042"/>
        </w:numPr>
        <w:pStyle w:val="Compact"/>
      </w:pPr>
      <w:r>
        <w:t xml:space="preserve">contact the approved vendor representative;</w:t>
      </w:r>
    </w:p>
    <w:p>
      <w:pPr>
        <w:numPr>
          <w:ilvl w:val="0"/>
          <w:numId w:val="1042"/>
        </w:numPr>
        <w:pStyle w:val="Compact"/>
      </w:pPr>
      <w:r>
        <w:t xml:space="preserve">inform the event lead;</w:t>
      </w:r>
    </w:p>
    <w:p>
      <w:pPr>
        <w:numPr>
          <w:ilvl w:val="0"/>
          <w:numId w:val="1042"/>
        </w:numPr>
        <w:pStyle w:val="Compact"/>
      </w:pPr>
      <w:r>
        <w:t xml:space="preserve">check the authorized backup plan;</w:t>
      </w:r>
    </w:p>
    <w:p>
      <w:pPr>
        <w:numPr>
          <w:ilvl w:val="0"/>
          <w:numId w:val="1042"/>
        </w:numPr>
        <w:pStyle w:val="Compact"/>
      </w:pPr>
      <w:r>
        <w:t xml:space="preserve">document the change;</w:t>
      </w:r>
    </w:p>
    <w:p>
      <w:pPr>
        <w:numPr>
          <w:ilvl w:val="0"/>
          <w:numId w:val="1042"/>
        </w:numPr>
        <w:pStyle w:val="Compact"/>
      </w:pPr>
      <w:r>
        <w:t xml:space="preserve">avoid making an unauthorized financial commitment.</w:t>
      </w:r>
    </w:p>
    <w:bookmarkEnd w:id="89"/>
    <w:bookmarkStart w:id="90" w:name="how-do-you-handle-an-upset-attendee"/>
    <w:p>
      <w:pPr>
        <w:pStyle w:val="Heading3"/>
      </w:pPr>
      <w:r>
        <w:t xml:space="preserve">“How do you handle an upset attendee?”</w:t>
      </w:r>
    </w:p>
    <w:p>
      <w:pPr>
        <w:pStyle w:val="FirstParagraph"/>
      </w:pPr>
      <w:r>
        <w:t xml:space="preserve">Show listening, respectful communication, clear options within authority, privacy, and escalation when needed.</w:t>
      </w:r>
    </w:p>
    <w:bookmarkEnd w:id="90"/>
    <w:bookmarkStart w:id="91" w:name="how-do-you-protect-attendee-information"/>
    <w:p>
      <w:pPr>
        <w:pStyle w:val="Heading3"/>
      </w:pPr>
      <w:r>
        <w:t xml:space="preserve">“How do you protect attendee information?”</w:t>
      </w:r>
    </w:p>
    <w:p>
      <w:pPr>
        <w:pStyle w:val="FirstParagraph"/>
      </w:pPr>
      <w:r>
        <w:t xml:space="preserve">Mention approved systems, least necessary access, recipient verification, MFA where provided, phishing awareness, avoiding personal email/storage, and prompt reporting of suspected exposure.</w:t>
      </w:r>
    </w:p>
    <w:bookmarkEnd w:id="91"/>
    <w:bookmarkStart w:id="92" w:name="how-would-you-use-ai"/>
    <w:p>
      <w:pPr>
        <w:pStyle w:val="Heading3"/>
      </w:pPr>
      <w:r>
        <w:t xml:space="preserve">“How would you use AI?”</w:t>
      </w:r>
    </w:p>
    <w:p>
      <w:pPr>
        <w:pStyle w:val="FirstParagraph"/>
      </w:pPr>
      <w:r>
        <w:t xml:space="preserve">A safe answer is that AI can assist with low-risk drafts, checklists, or organization when approved, but consequential facts are verified by a human against authoritative systems and sensitive information is not entered into unapproved tools.</w:t>
      </w:r>
    </w:p>
    <w:bookmarkEnd w:id="92"/>
    <w:bookmarkEnd w:id="93"/>
    <w:bookmarkStart w:id="98" w:name="a-practical-30-day-learning-plan"/>
    <w:p>
      <w:pPr>
        <w:pStyle w:val="Heading2"/>
      </w:pPr>
      <w:r>
        <w:t xml:space="preserve">A practical 30-day learning plan</w:t>
      </w:r>
    </w:p>
    <w:bookmarkStart w:id="94" w:name="week-1--understand-the-work"/>
    <w:p>
      <w:pPr>
        <w:pStyle w:val="Heading3"/>
      </w:pPr>
      <w:r>
        <w:t xml:space="preserve">Week 1 — Understand the work</w:t>
      </w:r>
    </w:p>
    <w:p>
      <w:pPr>
        <w:pStyle w:val="FirstParagraph"/>
      </w:pPr>
      <w:r>
        <w:t xml:space="preserve">Learn:</w:t>
      </w:r>
    </w:p>
    <w:p>
      <w:pPr>
        <w:numPr>
          <w:ilvl w:val="0"/>
          <w:numId w:val="1043"/>
        </w:numPr>
        <w:pStyle w:val="Compact"/>
      </w:pPr>
      <w:r>
        <w:t xml:space="preserve">event lifecycle;</w:t>
      </w:r>
    </w:p>
    <w:p>
      <w:pPr>
        <w:numPr>
          <w:ilvl w:val="0"/>
          <w:numId w:val="1043"/>
        </w:numPr>
        <w:pStyle w:val="Compact"/>
      </w:pPr>
      <w:r>
        <w:t xml:space="preserve">common titles;</w:t>
      </w:r>
    </w:p>
    <w:p>
      <w:pPr>
        <w:numPr>
          <w:ilvl w:val="0"/>
          <w:numId w:val="1043"/>
        </w:numPr>
        <w:pStyle w:val="Compact"/>
      </w:pPr>
      <w:r>
        <w:t xml:space="preserve">event brief;</w:t>
      </w:r>
    </w:p>
    <w:p>
      <w:pPr>
        <w:numPr>
          <w:ilvl w:val="0"/>
          <w:numId w:val="1043"/>
        </w:numPr>
        <w:pStyle w:val="Compact"/>
      </w:pPr>
      <w:r>
        <w:t xml:space="preserve">run-of-show;</w:t>
      </w:r>
    </w:p>
    <w:p>
      <w:pPr>
        <w:numPr>
          <w:ilvl w:val="0"/>
          <w:numId w:val="1043"/>
        </w:numPr>
        <w:pStyle w:val="Compact"/>
      </w:pPr>
      <w:r>
        <w:t xml:space="preserve">registration basics;</w:t>
      </w:r>
    </w:p>
    <w:p>
      <w:pPr>
        <w:numPr>
          <w:ilvl w:val="0"/>
          <w:numId w:val="1043"/>
        </w:numPr>
        <w:pStyle w:val="Compact"/>
      </w:pPr>
      <w:r>
        <w:t xml:space="preserve">venue and vendor roles;</w:t>
      </w:r>
    </w:p>
    <w:p>
      <w:pPr>
        <w:numPr>
          <w:ilvl w:val="0"/>
          <w:numId w:val="1043"/>
        </w:numPr>
        <w:pStyle w:val="Compact"/>
      </w:pPr>
      <w:r>
        <w:t xml:space="preserve">authority boundaries.</w:t>
      </w:r>
    </w:p>
    <w:p>
      <w:pPr>
        <w:pStyle w:val="FirstParagraph"/>
      </w:pPr>
      <w:r>
        <w:t xml:space="preserve">Create one fictional event brief.</w:t>
      </w:r>
    </w:p>
    <w:bookmarkEnd w:id="94"/>
    <w:bookmarkStart w:id="95" w:name="week-2--build-coordination-tools"/>
    <w:p>
      <w:pPr>
        <w:pStyle w:val="Heading3"/>
      </w:pPr>
      <w:r>
        <w:t xml:space="preserve">Week 2 — Build coordination tools</w:t>
      </w:r>
    </w:p>
    <w:p>
      <w:pPr>
        <w:pStyle w:val="FirstParagraph"/>
      </w:pPr>
      <w:r>
        <w:t xml:space="preserve">Practice:</w:t>
      </w:r>
    </w:p>
    <w:p>
      <w:pPr>
        <w:numPr>
          <w:ilvl w:val="0"/>
          <w:numId w:val="1044"/>
        </w:numPr>
        <w:pStyle w:val="Compact"/>
      </w:pPr>
      <w:r>
        <w:t xml:space="preserve">spreadsheet budget;</w:t>
      </w:r>
    </w:p>
    <w:p>
      <w:pPr>
        <w:numPr>
          <w:ilvl w:val="0"/>
          <w:numId w:val="1044"/>
        </w:numPr>
        <w:pStyle w:val="Compact"/>
      </w:pPr>
      <w:r>
        <w:t xml:space="preserve">milestone tracker;</w:t>
      </w:r>
    </w:p>
    <w:p>
      <w:pPr>
        <w:numPr>
          <w:ilvl w:val="0"/>
          <w:numId w:val="1044"/>
        </w:numPr>
        <w:pStyle w:val="Compact"/>
      </w:pPr>
      <w:r>
        <w:t xml:space="preserve">contact list;</w:t>
      </w:r>
    </w:p>
    <w:p>
      <w:pPr>
        <w:numPr>
          <w:ilvl w:val="0"/>
          <w:numId w:val="1044"/>
        </w:numPr>
        <w:pStyle w:val="Compact"/>
      </w:pPr>
      <w:r>
        <w:t xml:space="preserve">issue log;</w:t>
      </w:r>
    </w:p>
    <w:p>
      <w:pPr>
        <w:numPr>
          <w:ilvl w:val="0"/>
          <w:numId w:val="1044"/>
        </w:numPr>
        <w:pStyle w:val="Compact"/>
      </w:pPr>
      <w:r>
        <w:t xml:space="preserve">vendor comparison;</w:t>
      </w:r>
    </w:p>
    <w:p>
      <w:pPr>
        <w:numPr>
          <w:ilvl w:val="0"/>
          <w:numId w:val="1044"/>
        </w:numPr>
        <w:pStyle w:val="Compact"/>
      </w:pPr>
      <w:r>
        <w:t xml:space="preserve">registration tracker with fictional data.</w:t>
      </w:r>
    </w:p>
    <w:bookmarkEnd w:id="95"/>
    <w:bookmarkStart w:id="96" w:name="week-3--learn-safe-operations"/>
    <w:p>
      <w:pPr>
        <w:pStyle w:val="Heading3"/>
      </w:pPr>
      <w:r>
        <w:t xml:space="preserve">Week 3 — Learn safe operations</w:t>
      </w:r>
    </w:p>
    <w:p>
      <w:pPr>
        <w:pStyle w:val="FirstParagraph"/>
      </w:pPr>
      <w:r>
        <w:t xml:space="preserve">Study:</w:t>
      </w:r>
    </w:p>
    <w:p>
      <w:pPr>
        <w:numPr>
          <w:ilvl w:val="0"/>
          <w:numId w:val="1045"/>
        </w:numPr>
        <w:pStyle w:val="Compact"/>
      </w:pPr>
      <w:r>
        <w:t xml:space="preserve">accessibility basics;</w:t>
      </w:r>
    </w:p>
    <w:p>
      <w:pPr>
        <w:numPr>
          <w:ilvl w:val="0"/>
          <w:numId w:val="1045"/>
        </w:numPr>
        <w:pStyle w:val="Compact"/>
      </w:pPr>
      <w:r>
        <w:t xml:space="preserve">venue emergency procedures;</w:t>
      </w:r>
    </w:p>
    <w:p>
      <w:pPr>
        <w:numPr>
          <w:ilvl w:val="0"/>
          <w:numId w:val="1045"/>
        </w:numPr>
        <w:pStyle w:val="Compact"/>
      </w:pPr>
      <w:r>
        <w:t xml:space="preserve">phishing and MFA;</w:t>
      </w:r>
    </w:p>
    <w:p>
      <w:pPr>
        <w:numPr>
          <w:ilvl w:val="0"/>
          <w:numId w:val="1045"/>
        </w:numPr>
        <w:pStyle w:val="Compact"/>
      </w:pPr>
      <w:r>
        <w:t xml:space="preserve">personal-data handling;</w:t>
      </w:r>
    </w:p>
    <w:p>
      <w:pPr>
        <w:numPr>
          <w:ilvl w:val="0"/>
          <w:numId w:val="1045"/>
        </w:numPr>
        <w:pStyle w:val="Compact"/>
      </w:pPr>
      <w:r>
        <w:t xml:space="preserve">approved AI use;</w:t>
      </w:r>
    </w:p>
    <w:p>
      <w:pPr>
        <w:numPr>
          <w:ilvl w:val="0"/>
          <w:numId w:val="1045"/>
        </w:numPr>
        <w:pStyle w:val="Compact"/>
      </w:pPr>
      <w:r>
        <w:t xml:space="preserve">invoice and payment-change verification.</w:t>
      </w:r>
    </w:p>
    <w:bookmarkEnd w:id="96"/>
    <w:bookmarkStart w:id="97" w:name="week-4--build-job-evidence"/>
    <w:p>
      <w:pPr>
        <w:pStyle w:val="Heading3"/>
      </w:pPr>
      <w:r>
        <w:t xml:space="preserve">Week 4 — Build job evidence</w:t>
      </w:r>
    </w:p>
    <w:p>
      <w:pPr>
        <w:pStyle w:val="FirstParagraph"/>
      </w:pPr>
      <w:r>
        <w:t xml:space="preserve">Create:</w:t>
      </w:r>
    </w:p>
    <w:p>
      <w:pPr>
        <w:numPr>
          <w:ilvl w:val="0"/>
          <w:numId w:val="1046"/>
        </w:numPr>
        <w:pStyle w:val="Compact"/>
      </w:pPr>
      <w:r>
        <w:t xml:space="preserve">one portfolio-ready timeline;</w:t>
      </w:r>
    </w:p>
    <w:p>
      <w:pPr>
        <w:numPr>
          <w:ilvl w:val="0"/>
          <w:numId w:val="1046"/>
        </w:numPr>
        <w:pStyle w:val="Compact"/>
      </w:pPr>
      <w:r>
        <w:t xml:space="preserve">one run-of-show;</w:t>
      </w:r>
    </w:p>
    <w:p>
      <w:pPr>
        <w:numPr>
          <w:ilvl w:val="0"/>
          <w:numId w:val="1046"/>
        </w:numPr>
        <w:pStyle w:val="Compact"/>
      </w:pPr>
      <w:r>
        <w:t xml:space="preserve">one post-event report;</w:t>
      </w:r>
    </w:p>
    <w:p>
      <w:pPr>
        <w:numPr>
          <w:ilvl w:val="0"/>
          <w:numId w:val="1046"/>
        </w:numPr>
        <w:pStyle w:val="Compact"/>
      </w:pPr>
      <w:r>
        <w:t xml:space="preserve">résumé bullets;</w:t>
      </w:r>
    </w:p>
    <w:p>
      <w:pPr>
        <w:numPr>
          <w:ilvl w:val="0"/>
          <w:numId w:val="1046"/>
        </w:numPr>
        <w:pStyle w:val="Compact"/>
      </w:pPr>
      <w:r>
        <w:t xml:space="preserve">five interview stories using the STAR method;</w:t>
      </w:r>
    </w:p>
    <w:p>
      <w:pPr>
        <w:numPr>
          <w:ilvl w:val="0"/>
          <w:numId w:val="1046"/>
        </w:numPr>
        <w:pStyle w:val="Compact"/>
      </w:pPr>
      <w:r>
        <w:t xml:space="preserve">a target-employer list.</w:t>
      </w:r>
    </w:p>
    <w:bookmarkEnd w:id="97"/>
    <w:bookmarkEnd w:id="98"/>
    <w:bookmarkStart w:id="99" w:name="job-search-strategy"/>
    <w:p>
      <w:pPr>
        <w:pStyle w:val="Heading2"/>
      </w:pPr>
      <w:r>
        <w:t xml:space="preserve">Job-search strategy</w:t>
      </w:r>
    </w:p>
    <w:p>
      <w:pPr>
        <w:pStyle w:val="FirstParagraph"/>
      </w:pPr>
      <w:r>
        <w:t xml:space="preserve">Search multiple titles because employers label similar work differently:</w:t>
      </w:r>
    </w:p>
    <w:p>
      <w:pPr>
        <w:numPr>
          <w:ilvl w:val="0"/>
          <w:numId w:val="1047"/>
        </w:numPr>
        <w:pStyle w:val="Compact"/>
      </w:pPr>
      <w:r>
        <w:t xml:space="preserve">Event Assistant;</w:t>
      </w:r>
    </w:p>
    <w:p>
      <w:pPr>
        <w:numPr>
          <w:ilvl w:val="0"/>
          <w:numId w:val="1047"/>
        </w:numPr>
        <w:pStyle w:val="Compact"/>
      </w:pPr>
      <w:r>
        <w:t xml:space="preserve">Meeting Assistant;</w:t>
      </w:r>
    </w:p>
    <w:p>
      <w:pPr>
        <w:numPr>
          <w:ilvl w:val="0"/>
          <w:numId w:val="1047"/>
        </w:numPr>
        <w:pStyle w:val="Compact"/>
      </w:pPr>
      <w:r>
        <w:t xml:space="preserve">Event Coordinator;</w:t>
      </w:r>
    </w:p>
    <w:p>
      <w:pPr>
        <w:numPr>
          <w:ilvl w:val="0"/>
          <w:numId w:val="1047"/>
        </w:numPr>
        <w:pStyle w:val="Compact"/>
      </w:pPr>
      <w:r>
        <w:t xml:space="preserve">Events Coordinator;</w:t>
      </w:r>
    </w:p>
    <w:p>
      <w:pPr>
        <w:numPr>
          <w:ilvl w:val="0"/>
          <w:numId w:val="1047"/>
        </w:numPr>
        <w:pStyle w:val="Compact"/>
      </w:pPr>
      <w:r>
        <w:t xml:space="preserve">Conference Coordinator;</w:t>
      </w:r>
    </w:p>
    <w:p>
      <w:pPr>
        <w:numPr>
          <w:ilvl w:val="0"/>
          <w:numId w:val="1047"/>
        </w:numPr>
        <w:pStyle w:val="Compact"/>
      </w:pPr>
      <w:r>
        <w:t xml:space="preserve">Conference Services Coordinator;</w:t>
      </w:r>
    </w:p>
    <w:p>
      <w:pPr>
        <w:numPr>
          <w:ilvl w:val="0"/>
          <w:numId w:val="1047"/>
        </w:numPr>
        <w:pStyle w:val="Compact"/>
      </w:pPr>
      <w:r>
        <w:t xml:space="preserve">Convention Services Coordinator;</w:t>
      </w:r>
    </w:p>
    <w:p>
      <w:pPr>
        <w:numPr>
          <w:ilvl w:val="0"/>
          <w:numId w:val="1047"/>
        </w:numPr>
        <w:pStyle w:val="Compact"/>
      </w:pPr>
      <w:r>
        <w:t xml:space="preserve">Special Events Coordinator;</w:t>
      </w:r>
    </w:p>
    <w:p>
      <w:pPr>
        <w:numPr>
          <w:ilvl w:val="0"/>
          <w:numId w:val="1047"/>
        </w:numPr>
        <w:pStyle w:val="Compact"/>
      </w:pPr>
      <w:r>
        <w:t xml:space="preserve">Program Coordinator;</w:t>
      </w:r>
    </w:p>
    <w:p>
      <w:pPr>
        <w:numPr>
          <w:ilvl w:val="0"/>
          <w:numId w:val="1047"/>
        </w:numPr>
        <w:pStyle w:val="Compact"/>
      </w:pPr>
      <w:r>
        <w:t xml:space="preserve">Banquet Coordinator;</w:t>
      </w:r>
    </w:p>
    <w:p>
      <w:pPr>
        <w:numPr>
          <w:ilvl w:val="0"/>
          <w:numId w:val="1047"/>
        </w:numPr>
        <w:pStyle w:val="Compact"/>
      </w:pPr>
      <w:r>
        <w:t xml:space="preserve">Registration Coordinator;</w:t>
      </w:r>
    </w:p>
    <w:p>
      <w:pPr>
        <w:numPr>
          <w:ilvl w:val="0"/>
          <w:numId w:val="1047"/>
        </w:numPr>
        <w:pStyle w:val="Compact"/>
      </w:pPr>
      <w:r>
        <w:t xml:space="preserve">Events Specialist;</w:t>
      </w:r>
    </w:p>
    <w:p>
      <w:pPr>
        <w:numPr>
          <w:ilvl w:val="0"/>
          <w:numId w:val="1047"/>
        </w:numPr>
        <w:pStyle w:val="Compact"/>
      </w:pPr>
      <w:r>
        <w:t xml:space="preserve">Junior Event Planner;</w:t>
      </w:r>
    </w:p>
    <w:p>
      <w:pPr>
        <w:numPr>
          <w:ilvl w:val="0"/>
          <w:numId w:val="1047"/>
        </w:numPr>
        <w:pStyle w:val="Compact"/>
      </w:pPr>
      <w:r>
        <w:t xml:space="preserve">Venue Coordinator;</w:t>
      </w:r>
    </w:p>
    <w:p>
      <w:pPr>
        <w:numPr>
          <w:ilvl w:val="0"/>
          <w:numId w:val="1047"/>
        </w:numPr>
        <w:pStyle w:val="Compact"/>
      </w:pPr>
      <w:r>
        <w:t xml:space="preserve">Hospitality Coordinator.</w:t>
      </w:r>
    </w:p>
    <w:p>
      <w:pPr>
        <w:pStyle w:val="FirstParagraph"/>
      </w:pPr>
      <w:r>
        <w:t xml:space="preserve">Read the duties rather than relying on the title.</w:t>
      </w:r>
    </w:p>
    <w:p>
      <w:pPr>
        <w:pStyle w:val="BodyText"/>
      </w:pPr>
      <w:r>
        <w:t xml:space="preserve">Compare each posting for:</w:t>
      </w:r>
    </w:p>
    <w:p>
      <w:pPr>
        <w:numPr>
          <w:ilvl w:val="0"/>
          <w:numId w:val="1048"/>
        </w:numPr>
        <w:pStyle w:val="Compact"/>
      </w:pPr>
      <w:r>
        <w:t xml:space="preserve">location and travel requirements;</w:t>
      </w:r>
    </w:p>
    <w:p>
      <w:pPr>
        <w:numPr>
          <w:ilvl w:val="0"/>
          <w:numId w:val="1048"/>
        </w:numPr>
        <w:pStyle w:val="Compact"/>
      </w:pPr>
      <w:r>
        <w:t xml:space="preserve">schedule, weekends, evenings, and event-day expectations;</w:t>
      </w:r>
    </w:p>
    <w:p>
      <w:pPr>
        <w:numPr>
          <w:ilvl w:val="0"/>
          <w:numId w:val="1048"/>
        </w:numPr>
        <w:pStyle w:val="Compact"/>
      </w:pPr>
      <w:r>
        <w:t xml:space="preserve">education requirements;</w:t>
      </w:r>
    </w:p>
    <w:p>
      <w:pPr>
        <w:numPr>
          <w:ilvl w:val="0"/>
          <w:numId w:val="1048"/>
        </w:numPr>
        <w:pStyle w:val="Compact"/>
      </w:pPr>
      <w:r>
        <w:t xml:space="preserve">years of experience;</w:t>
      </w:r>
    </w:p>
    <w:p>
      <w:pPr>
        <w:numPr>
          <w:ilvl w:val="0"/>
          <w:numId w:val="1048"/>
        </w:numPr>
        <w:pStyle w:val="Compact"/>
      </w:pPr>
      <w:r>
        <w:t xml:space="preserve">budget or contract authority;</w:t>
      </w:r>
    </w:p>
    <w:p>
      <w:pPr>
        <w:numPr>
          <w:ilvl w:val="0"/>
          <w:numId w:val="1048"/>
        </w:numPr>
        <w:pStyle w:val="Compact"/>
      </w:pPr>
      <w:r>
        <w:t xml:space="preserve">software;</w:t>
      </w:r>
    </w:p>
    <w:p>
      <w:pPr>
        <w:numPr>
          <w:ilvl w:val="0"/>
          <w:numId w:val="1048"/>
        </w:numPr>
        <w:pStyle w:val="Compact"/>
      </w:pPr>
      <w:r>
        <w:t xml:space="preserve">physical requirements;</w:t>
      </w:r>
    </w:p>
    <w:p>
      <w:pPr>
        <w:numPr>
          <w:ilvl w:val="0"/>
          <w:numId w:val="1048"/>
        </w:numPr>
        <w:pStyle w:val="Compact"/>
      </w:pPr>
      <w:r>
        <w:t xml:space="preserve">language requirements;</w:t>
      </w:r>
    </w:p>
    <w:p>
      <w:pPr>
        <w:numPr>
          <w:ilvl w:val="0"/>
          <w:numId w:val="1048"/>
        </w:numPr>
        <w:pStyle w:val="Compact"/>
      </w:pPr>
      <w:r>
        <w:t xml:space="preserve">driver’s-license or travel requirements if any;</w:t>
      </w:r>
    </w:p>
    <w:p>
      <w:pPr>
        <w:numPr>
          <w:ilvl w:val="0"/>
          <w:numId w:val="1048"/>
        </w:numPr>
        <w:pStyle w:val="Compact"/>
      </w:pPr>
      <w:r>
        <w:t xml:space="preserve">whether the role is sales-heavy;</w:t>
      </w:r>
    </w:p>
    <w:p>
      <w:pPr>
        <w:numPr>
          <w:ilvl w:val="0"/>
          <w:numId w:val="1048"/>
        </w:numPr>
        <w:pStyle w:val="Compact"/>
      </w:pPr>
      <w:r>
        <w:t xml:space="preserve">whether compensation includes commission;</w:t>
      </w:r>
    </w:p>
    <w:p>
      <w:pPr>
        <w:numPr>
          <w:ilvl w:val="0"/>
          <w:numId w:val="1048"/>
        </w:numPr>
        <w:pStyle w:val="Compact"/>
      </w:pPr>
      <w:r>
        <w:t xml:space="preserve">whether it is truly remote, hybrid, or on-site;</w:t>
      </w:r>
    </w:p>
    <w:p>
      <w:pPr>
        <w:numPr>
          <w:ilvl w:val="0"/>
          <w:numId w:val="1048"/>
        </w:numPr>
        <w:pStyle w:val="Compact"/>
      </w:pPr>
      <w:r>
        <w:t xml:space="preserve">whether the employer provides training.</w:t>
      </w:r>
    </w:p>
    <w:p>
      <w:pPr>
        <w:pStyle w:val="FirstParagraph"/>
      </w:pPr>
      <w:r>
        <w:t xml:space="preserve">Verify that the job is still open on the employer’s own career site before investing significant application time whenever possible.</w:t>
      </w:r>
    </w:p>
    <w:bookmarkEnd w:id="99"/>
    <w:bookmarkStart w:id="100" w:name="independent-or-freelance-event-work"/>
    <w:p>
      <w:pPr>
        <w:pStyle w:val="Heading2"/>
      </w:pPr>
      <w:r>
        <w:t xml:space="preserve">Independent or freelance event work</w:t>
      </w:r>
    </w:p>
    <w:p>
      <w:pPr>
        <w:pStyle w:val="FirstParagraph"/>
      </w:pPr>
      <w:r>
        <w:t xml:space="preserve">Self-employment can add responsibilities that employees may not own, including:</w:t>
      </w:r>
    </w:p>
    <w:p>
      <w:pPr>
        <w:numPr>
          <w:ilvl w:val="0"/>
          <w:numId w:val="1049"/>
        </w:numPr>
        <w:pStyle w:val="Compact"/>
      </w:pPr>
      <w:r>
        <w:t xml:space="preserve">business registration;</w:t>
      </w:r>
    </w:p>
    <w:p>
      <w:pPr>
        <w:numPr>
          <w:ilvl w:val="0"/>
          <w:numId w:val="1049"/>
        </w:numPr>
        <w:pStyle w:val="Compact"/>
      </w:pPr>
      <w:r>
        <w:t xml:space="preserve">contracts;</w:t>
      </w:r>
    </w:p>
    <w:p>
      <w:pPr>
        <w:numPr>
          <w:ilvl w:val="0"/>
          <w:numId w:val="1049"/>
        </w:numPr>
        <w:pStyle w:val="Compact"/>
      </w:pPr>
      <w:r>
        <w:t xml:space="preserve">taxes;</w:t>
      </w:r>
    </w:p>
    <w:p>
      <w:pPr>
        <w:numPr>
          <w:ilvl w:val="0"/>
          <w:numId w:val="1049"/>
        </w:numPr>
        <w:pStyle w:val="Compact"/>
      </w:pPr>
      <w:r>
        <w:t xml:space="preserve">insurance;</w:t>
      </w:r>
    </w:p>
    <w:p>
      <w:pPr>
        <w:numPr>
          <w:ilvl w:val="0"/>
          <w:numId w:val="1049"/>
        </w:numPr>
        <w:pStyle w:val="Compact"/>
      </w:pPr>
      <w:r>
        <w:t xml:space="preserve">invoicing;</w:t>
      </w:r>
    </w:p>
    <w:p>
      <w:pPr>
        <w:numPr>
          <w:ilvl w:val="0"/>
          <w:numId w:val="1049"/>
        </w:numPr>
        <w:pStyle w:val="Compact"/>
      </w:pPr>
      <w:r>
        <w:t xml:space="preserve">payment collection;</w:t>
      </w:r>
    </w:p>
    <w:p>
      <w:pPr>
        <w:numPr>
          <w:ilvl w:val="0"/>
          <w:numId w:val="1049"/>
        </w:numPr>
        <w:pStyle w:val="Compact"/>
      </w:pPr>
      <w:r>
        <w:t xml:space="preserve">vendor agreements;</w:t>
      </w:r>
    </w:p>
    <w:p>
      <w:pPr>
        <w:numPr>
          <w:ilvl w:val="0"/>
          <w:numId w:val="1049"/>
        </w:numPr>
        <w:pStyle w:val="Compact"/>
      </w:pPr>
      <w:r>
        <w:t xml:space="preserve">data protection;</w:t>
      </w:r>
    </w:p>
    <w:p>
      <w:pPr>
        <w:numPr>
          <w:ilvl w:val="0"/>
          <w:numId w:val="1049"/>
        </w:numPr>
        <w:pStyle w:val="Compact"/>
      </w:pPr>
      <w:r>
        <w:t xml:space="preserve">permits;</w:t>
      </w:r>
    </w:p>
    <w:p>
      <w:pPr>
        <w:numPr>
          <w:ilvl w:val="0"/>
          <w:numId w:val="1049"/>
        </w:numPr>
        <w:pStyle w:val="Compact"/>
      </w:pPr>
      <w:r>
        <w:t xml:space="preserve">subcontractors;</w:t>
      </w:r>
    </w:p>
    <w:p>
      <w:pPr>
        <w:numPr>
          <w:ilvl w:val="0"/>
          <w:numId w:val="1049"/>
        </w:numPr>
        <w:pStyle w:val="Compact"/>
      </w:pPr>
      <w:r>
        <w:t xml:space="preserve">cancellation terms;</w:t>
      </w:r>
    </w:p>
    <w:p>
      <w:pPr>
        <w:numPr>
          <w:ilvl w:val="0"/>
          <w:numId w:val="1049"/>
        </w:numPr>
        <w:pStyle w:val="Compact"/>
      </w:pPr>
      <w:r>
        <w:t xml:space="preserve">client disputes;</w:t>
      </w:r>
    </w:p>
    <w:p>
      <w:pPr>
        <w:numPr>
          <w:ilvl w:val="0"/>
          <w:numId w:val="1049"/>
        </w:numPr>
        <w:pStyle w:val="Compact"/>
      </w:pPr>
      <w:r>
        <w:t xml:space="preserve">marketing;</w:t>
      </w:r>
    </w:p>
    <w:p>
      <w:pPr>
        <w:numPr>
          <w:ilvl w:val="0"/>
          <w:numId w:val="1049"/>
        </w:numPr>
        <w:pStyle w:val="Compact"/>
      </w:pPr>
      <w:r>
        <w:t xml:space="preserve">records retention.</w:t>
      </w:r>
    </w:p>
    <w:p>
      <w:pPr>
        <w:pStyle w:val="FirstParagraph"/>
      </w:pPr>
      <w:r>
        <w:t xml:space="preserve">Do not assume that event-planning skill alone covers those obligations. Verify local business, tax, insurance, employment, consumer, privacy, accessibility, alcohol, safety, and permit requirements with the appropriate authority or qualified adviser.</w:t>
      </w:r>
    </w:p>
    <w:p>
      <w:pPr>
        <w:pStyle w:val="BodyText"/>
      </w:pPr>
      <w:r>
        <w:t xml:space="preserve">A safer entry path may be to gain supervised employment experience before taking responsibility for client money or contracts.</w:t>
      </w:r>
    </w:p>
    <w:bookmarkEnd w:id="100"/>
    <w:bookmarkStart w:id="101" w:name="common-mistakes-to-avoid"/>
    <w:p>
      <w:pPr>
        <w:pStyle w:val="Heading2"/>
      </w:pPr>
      <w:r>
        <w:t xml:space="preserve">Common mistakes to avoid</w:t>
      </w:r>
    </w:p>
    <w:p>
      <w:pPr>
        <w:numPr>
          <w:ilvl w:val="0"/>
          <w:numId w:val="1050"/>
        </w:numPr>
        <w:pStyle w:val="Compact"/>
      </w:pPr>
      <w:r>
        <w:t xml:space="preserve">promising a vendor before approval;</w:t>
      </w:r>
    </w:p>
    <w:p>
      <w:pPr>
        <w:numPr>
          <w:ilvl w:val="0"/>
          <w:numId w:val="1050"/>
        </w:numPr>
        <w:pStyle w:val="Compact"/>
      </w:pPr>
      <w:r>
        <w:t xml:space="preserve">relying on verbal changes without documentation;</w:t>
      </w:r>
    </w:p>
    <w:p>
      <w:pPr>
        <w:numPr>
          <w:ilvl w:val="0"/>
          <w:numId w:val="1050"/>
        </w:numPr>
        <w:pStyle w:val="Compact"/>
      </w:pPr>
      <w:r>
        <w:t xml:space="preserve">treating a quote as a final invoice;</w:t>
      </w:r>
    </w:p>
    <w:p>
      <w:pPr>
        <w:numPr>
          <w:ilvl w:val="0"/>
          <w:numId w:val="1050"/>
        </w:numPr>
        <w:pStyle w:val="Compact"/>
      </w:pPr>
      <w:r>
        <w:t xml:space="preserve">assuming a title gives contract authority;</w:t>
      </w:r>
    </w:p>
    <w:p>
      <w:pPr>
        <w:numPr>
          <w:ilvl w:val="0"/>
          <w:numId w:val="1050"/>
        </w:numPr>
        <w:pStyle w:val="Compact"/>
      </w:pPr>
      <w:r>
        <w:t xml:space="preserve">failing to confirm accessibility needs early;</w:t>
      </w:r>
    </w:p>
    <w:p>
      <w:pPr>
        <w:numPr>
          <w:ilvl w:val="0"/>
          <w:numId w:val="1050"/>
        </w:numPr>
        <w:pStyle w:val="Compact"/>
      </w:pPr>
      <w:r>
        <w:t xml:space="preserve">collecting unnecessary attendee data;</w:t>
      </w:r>
    </w:p>
    <w:p>
      <w:pPr>
        <w:numPr>
          <w:ilvl w:val="0"/>
          <w:numId w:val="1050"/>
        </w:numPr>
        <w:pStyle w:val="Compact"/>
      </w:pPr>
      <w:r>
        <w:t xml:space="preserve">sending private lists through personal accounts;</w:t>
      </w:r>
    </w:p>
    <w:p>
      <w:pPr>
        <w:numPr>
          <w:ilvl w:val="0"/>
          <w:numId w:val="1050"/>
        </w:numPr>
        <w:pStyle w:val="Compact"/>
      </w:pPr>
      <w:r>
        <w:t xml:space="preserve">clicking unexpected vendor-payment links;</w:t>
      </w:r>
    </w:p>
    <w:p>
      <w:pPr>
        <w:numPr>
          <w:ilvl w:val="0"/>
          <w:numId w:val="1050"/>
        </w:numPr>
        <w:pStyle w:val="Compact"/>
      </w:pPr>
      <w:r>
        <w:t xml:space="preserve">using the same public virtual-meeting link for sensitive sessions;</w:t>
      </w:r>
    </w:p>
    <w:p>
      <w:pPr>
        <w:numPr>
          <w:ilvl w:val="0"/>
          <w:numId w:val="1050"/>
        </w:numPr>
        <w:pStyle w:val="Compact"/>
      </w:pPr>
      <w:r>
        <w:t xml:space="preserve">trusting AI-generated dates, prices, laws, or emergency instructions without verification;</w:t>
      </w:r>
    </w:p>
    <w:p>
      <w:pPr>
        <w:numPr>
          <w:ilvl w:val="0"/>
          <w:numId w:val="1050"/>
        </w:numPr>
        <w:pStyle w:val="Compact"/>
      </w:pPr>
      <w:r>
        <w:t xml:space="preserve">failing to confirm who can stop or change the event;</w:t>
      </w:r>
    </w:p>
    <w:p>
      <w:pPr>
        <w:numPr>
          <w:ilvl w:val="0"/>
          <w:numId w:val="1050"/>
        </w:numPr>
        <w:pStyle w:val="Compact"/>
      </w:pPr>
      <w:r>
        <w:t xml:space="preserve">blocking or ignoring exits during setup;</w:t>
      </w:r>
    </w:p>
    <w:p>
      <w:pPr>
        <w:numPr>
          <w:ilvl w:val="0"/>
          <w:numId w:val="1050"/>
        </w:numPr>
        <w:pStyle w:val="Compact"/>
      </w:pPr>
      <w:r>
        <w:t xml:space="preserve">publishing private executive or attendee schedules;</w:t>
      </w:r>
    </w:p>
    <w:p>
      <w:pPr>
        <w:numPr>
          <w:ilvl w:val="0"/>
          <w:numId w:val="1050"/>
        </w:numPr>
        <w:pStyle w:val="Compact"/>
      </w:pPr>
      <w:r>
        <w:t xml:space="preserve">paying for a credential before checking employer demand;</w:t>
      </w:r>
    </w:p>
    <w:p>
      <w:pPr>
        <w:numPr>
          <w:ilvl w:val="0"/>
          <w:numId w:val="1050"/>
        </w:numPr>
        <w:pStyle w:val="Compact"/>
      </w:pPr>
      <w:r>
        <w:t xml:space="preserve">confusing a course certificate with professional certification or licensure;</w:t>
      </w:r>
    </w:p>
    <w:p>
      <w:pPr>
        <w:numPr>
          <w:ilvl w:val="0"/>
          <w:numId w:val="1050"/>
        </w:numPr>
        <w:pStyle w:val="Compact"/>
      </w:pPr>
      <w:r>
        <w:t xml:space="preserve">describing volunteer experience as paid management experience;</w:t>
      </w:r>
    </w:p>
    <w:p>
      <w:pPr>
        <w:numPr>
          <w:ilvl w:val="0"/>
          <w:numId w:val="1050"/>
        </w:numPr>
        <w:pStyle w:val="Compact"/>
      </w:pPr>
      <w:r>
        <w:t xml:space="preserve">inflating attendee counts, budgets, or authority on a résumé.</w:t>
      </w:r>
    </w:p>
    <w:bookmarkEnd w:id="101"/>
    <w:bookmarkStart w:id="107" w:name="reusable-planning-checklist"/>
    <w:p>
      <w:pPr>
        <w:pStyle w:val="Heading2"/>
      </w:pPr>
      <w:r>
        <w:t xml:space="preserve">Reusable planning checklist</w:t>
      </w:r>
    </w:p>
    <w:bookmarkStart w:id="102" w:name="before-committing-money"/>
    <w:p>
      <w:pPr>
        <w:pStyle w:val="Heading3"/>
      </w:pPr>
      <w:r>
        <w:t xml:space="preserve">Before committing money</w:t>
      </w:r>
    </w:p>
    <w:p>
      <w:pPr>
        <w:numPr>
          <w:ilvl w:val="0"/>
          <w:numId w:val="1051"/>
        </w:numPr>
        <w:pStyle w:val="Compact"/>
      </w:pPr>
      <w:r>
        <w:t xml:space="preserve">☐ Event owner identified</w:t>
      </w:r>
    </w:p>
    <w:p>
      <w:pPr>
        <w:numPr>
          <w:ilvl w:val="0"/>
          <w:numId w:val="1051"/>
        </w:numPr>
        <w:pStyle w:val="Compact"/>
      </w:pPr>
      <w:r>
        <w:t xml:space="preserve">☐ Objective documented</w:t>
      </w:r>
    </w:p>
    <w:p>
      <w:pPr>
        <w:numPr>
          <w:ilvl w:val="0"/>
          <w:numId w:val="1051"/>
        </w:numPr>
        <w:pStyle w:val="Compact"/>
      </w:pPr>
      <w:r>
        <w:t xml:space="preserve">☐ Budget authority identified</w:t>
      </w:r>
    </w:p>
    <w:p>
      <w:pPr>
        <w:numPr>
          <w:ilvl w:val="0"/>
          <w:numId w:val="1051"/>
        </w:numPr>
        <w:pStyle w:val="Compact"/>
      </w:pPr>
      <w:r>
        <w:t xml:space="preserve">☐ Approval process understood</w:t>
      </w:r>
    </w:p>
    <w:p>
      <w:pPr>
        <w:numPr>
          <w:ilvl w:val="0"/>
          <w:numId w:val="1051"/>
        </w:numPr>
        <w:pStyle w:val="Compact"/>
      </w:pPr>
      <w:r>
        <w:t xml:space="preserve">☐ Venue/vendor procurement process understood</w:t>
      </w:r>
    </w:p>
    <w:p>
      <w:pPr>
        <w:numPr>
          <w:ilvl w:val="0"/>
          <w:numId w:val="1051"/>
        </w:numPr>
        <w:pStyle w:val="Compact"/>
      </w:pPr>
      <w:r>
        <w:t xml:space="preserve">☐ Contract-signing authority identified</w:t>
      </w:r>
    </w:p>
    <w:p>
      <w:pPr>
        <w:numPr>
          <w:ilvl w:val="0"/>
          <w:numId w:val="1051"/>
        </w:numPr>
        <w:pStyle w:val="Compact"/>
      </w:pPr>
      <w:r>
        <w:t xml:space="preserve">☐ Accessibility planning owner identified</w:t>
      </w:r>
    </w:p>
    <w:p>
      <w:pPr>
        <w:numPr>
          <w:ilvl w:val="0"/>
          <w:numId w:val="1051"/>
        </w:numPr>
        <w:pStyle w:val="Compact"/>
      </w:pPr>
      <w:r>
        <w:t xml:space="preserve">☐ Safety/emergency planning owner identified</w:t>
      </w:r>
    </w:p>
    <w:p>
      <w:pPr>
        <w:numPr>
          <w:ilvl w:val="0"/>
          <w:numId w:val="1051"/>
        </w:numPr>
        <w:pStyle w:val="Compact"/>
      </w:pPr>
      <w:r>
        <w:t xml:space="preserve">☐ Data/privacy requirements understood</w:t>
      </w:r>
    </w:p>
    <w:bookmarkEnd w:id="102"/>
    <w:bookmarkStart w:id="103" w:name="Xe30c7f48abeed50cf39dcec11f4267995baeb0e"/>
    <w:p>
      <w:pPr>
        <w:pStyle w:val="Heading3"/>
      </w:pPr>
      <w:r>
        <w:t xml:space="preserve">Four to eight weeks before the event — adjust for event size</w:t>
      </w:r>
    </w:p>
    <w:p>
      <w:pPr>
        <w:numPr>
          <w:ilvl w:val="0"/>
          <w:numId w:val="1052"/>
        </w:numPr>
        <w:pStyle w:val="Compact"/>
      </w:pPr>
      <w:r>
        <w:t xml:space="preserve">☐ Venue or platform confirmed</w:t>
      </w:r>
    </w:p>
    <w:p>
      <w:pPr>
        <w:numPr>
          <w:ilvl w:val="0"/>
          <w:numId w:val="1052"/>
        </w:numPr>
        <w:pStyle w:val="Compact"/>
      </w:pPr>
      <w:r>
        <w:t xml:space="preserve">☐ Registration process active</w:t>
      </w:r>
    </w:p>
    <w:p>
      <w:pPr>
        <w:numPr>
          <w:ilvl w:val="0"/>
          <w:numId w:val="1052"/>
        </w:numPr>
        <w:pStyle w:val="Compact"/>
      </w:pPr>
      <w:r>
        <w:t xml:space="preserve">☐ Vendor milestones tracked</w:t>
      </w:r>
    </w:p>
    <w:p>
      <w:pPr>
        <w:numPr>
          <w:ilvl w:val="0"/>
          <w:numId w:val="1052"/>
        </w:numPr>
        <w:pStyle w:val="Compact"/>
      </w:pPr>
      <w:r>
        <w:t xml:space="preserve">☐ Speaker/presenter requirements tracked</w:t>
      </w:r>
    </w:p>
    <w:p>
      <w:pPr>
        <w:numPr>
          <w:ilvl w:val="0"/>
          <w:numId w:val="1052"/>
        </w:numPr>
        <w:pStyle w:val="Compact"/>
      </w:pPr>
      <w:r>
        <w:t xml:space="preserve">☐ Accessibility request process active</w:t>
      </w:r>
    </w:p>
    <w:p>
      <w:pPr>
        <w:numPr>
          <w:ilvl w:val="0"/>
          <w:numId w:val="1052"/>
        </w:numPr>
        <w:pStyle w:val="Compact"/>
      </w:pPr>
      <w:r>
        <w:t xml:space="preserve">☐ Catering plan tracked</w:t>
      </w:r>
    </w:p>
    <w:p>
      <w:pPr>
        <w:numPr>
          <w:ilvl w:val="0"/>
          <w:numId w:val="1052"/>
        </w:numPr>
        <w:pStyle w:val="Compact"/>
      </w:pPr>
      <w:r>
        <w:t xml:space="preserve">☐ Audiovisual requirements tracked</w:t>
      </w:r>
    </w:p>
    <w:p>
      <w:pPr>
        <w:numPr>
          <w:ilvl w:val="0"/>
          <w:numId w:val="1052"/>
        </w:numPr>
        <w:pStyle w:val="Compact"/>
      </w:pPr>
      <w:r>
        <w:t xml:space="preserve">☐ Transportation/accommodation needs tracked if applicable</w:t>
      </w:r>
    </w:p>
    <w:p>
      <w:pPr>
        <w:numPr>
          <w:ilvl w:val="0"/>
          <w:numId w:val="1052"/>
        </w:numPr>
        <w:pStyle w:val="Compact"/>
      </w:pPr>
      <w:r>
        <w:t xml:space="preserve">☐ Budget tracker current</w:t>
      </w:r>
    </w:p>
    <w:p>
      <w:pPr>
        <w:numPr>
          <w:ilvl w:val="0"/>
          <w:numId w:val="1052"/>
        </w:numPr>
        <w:pStyle w:val="Compact"/>
      </w:pPr>
      <w:r>
        <w:t xml:space="preserve">☐ Communication schedule current</w:t>
      </w:r>
    </w:p>
    <w:bookmarkEnd w:id="103"/>
    <w:bookmarkStart w:id="104" w:name="final-confirmation"/>
    <w:p>
      <w:pPr>
        <w:pStyle w:val="Heading3"/>
      </w:pPr>
      <w:r>
        <w:t xml:space="preserve">Final confirmation</w:t>
      </w:r>
    </w:p>
    <w:p>
      <w:pPr>
        <w:numPr>
          <w:ilvl w:val="0"/>
          <w:numId w:val="1053"/>
        </w:numPr>
        <w:pStyle w:val="Compact"/>
      </w:pPr>
      <w:r>
        <w:t xml:space="preserve">☐ Attendance count checked</w:t>
      </w:r>
    </w:p>
    <w:p>
      <w:pPr>
        <w:numPr>
          <w:ilvl w:val="0"/>
          <w:numId w:val="1053"/>
        </w:numPr>
        <w:pStyle w:val="Compact"/>
      </w:pPr>
      <w:r>
        <w:t xml:space="preserve">☐ Room/platform setup confirmed</w:t>
      </w:r>
    </w:p>
    <w:p>
      <w:pPr>
        <w:numPr>
          <w:ilvl w:val="0"/>
          <w:numId w:val="1053"/>
        </w:numPr>
        <w:pStyle w:val="Compact"/>
      </w:pPr>
      <w:r>
        <w:t xml:space="preserve">☐ Catering count confirmed</w:t>
      </w:r>
    </w:p>
    <w:p>
      <w:pPr>
        <w:numPr>
          <w:ilvl w:val="0"/>
          <w:numId w:val="1053"/>
        </w:numPr>
        <w:pStyle w:val="Compact"/>
      </w:pPr>
      <w:r>
        <w:t xml:space="preserve">☐ Audiovisual confirmed</w:t>
      </w:r>
    </w:p>
    <w:p>
      <w:pPr>
        <w:numPr>
          <w:ilvl w:val="0"/>
          <w:numId w:val="1053"/>
        </w:numPr>
        <w:pStyle w:val="Compact"/>
      </w:pPr>
      <w:r>
        <w:t xml:space="preserve">☐ Speaker files/arrival plan confirmed</w:t>
      </w:r>
    </w:p>
    <w:p>
      <w:pPr>
        <w:numPr>
          <w:ilvl w:val="0"/>
          <w:numId w:val="1053"/>
        </w:numPr>
        <w:pStyle w:val="Compact"/>
      </w:pPr>
      <w:r>
        <w:t xml:space="preserve">☐ Accessibility accommodations confirmed through authorized process</w:t>
      </w:r>
    </w:p>
    <w:p>
      <w:pPr>
        <w:numPr>
          <w:ilvl w:val="0"/>
          <w:numId w:val="1053"/>
        </w:numPr>
        <w:pStyle w:val="Compact"/>
      </w:pPr>
      <w:r>
        <w:t xml:space="preserve">☐ Staff/volunteer assignments confirmed</w:t>
      </w:r>
    </w:p>
    <w:p>
      <w:pPr>
        <w:numPr>
          <w:ilvl w:val="0"/>
          <w:numId w:val="1053"/>
        </w:numPr>
        <w:pStyle w:val="Compact"/>
      </w:pPr>
      <w:r>
        <w:t xml:space="preserve">☐ Signage/wayfinding prepared</w:t>
      </w:r>
    </w:p>
    <w:p>
      <w:pPr>
        <w:numPr>
          <w:ilvl w:val="0"/>
          <w:numId w:val="1053"/>
        </w:numPr>
        <w:pStyle w:val="Compact"/>
      </w:pPr>
      <w:r>
        <w:t xml:space="preserve">☐ Emergency contacts and venue procedures reviewed</w:t>
      </w:r>
    </w:p>
    <w:p>
      <w:pPr>
        <w:numPr>
          <w:ilvl w:val="0"/>
          <w:numId w:val="1053"/>
        </w:numPr>
        <w:pStyle w:val="Compact"/>
      </w:pPr>
      <w:r>
        <w:t xml:space="preserve">☐ Vendor contacts verified</w:t>
      </w:r>
    </w:p>
    <w:p>
      <w:pPr>
        <w:numPr>
          <w:ilvl w:val="0"/>
          <w:numId w:val="1053"/>
        </w:numPr>
        <w:pStyle w:val="Compact"/>
      </w:pPr>
      <w:r>
        <w:t xml:space="preserve">☐ Payment-change requests independently verified</w:t>
      </w:r>
    </w:p>
    <w:p>
      <w:pPr>
        <w:numPr>
          <w:ilvl w:val="0"/>
          <w:numId w:val="1053"/>
        </w:numPr>
        <w:pStyle w:val="Compact"/>
      </w:pPr>
      <w:r>
        <w:t xml:space="preserve">☐ Run-of-show distributed to authorized team members</w:t>
      </w:r>
    </w:p>
    <w:bookmarkEnd w:id="104"/>
    <w:bookmarkStart w:id="105" w:name="event-day"/>
    <w:p>
      <w:pPr>
        <w:pStyle w:val="Heading3"/>
      </w:pPr>
      <w:r>
        <w:t xml:space="preserve">Event day</w:t>
      </w:r>
    </w:p>
    <w:p>
      <w:pPr>
        <w:numPr>
          <w:ilvl w:val="0"/>
          <w:numId w:val="1054"/>
        </w:numPr>
        <w:pStyle w:val="Compact"/>
      </w:pPr>
      <w:r>
        <w:t xml:space="preserve">☐ Authorized lead identified and reachable</w:t>
      </w:r>
    </w:p>
    <w:p>
      <w:pPr>
        <w:numPr>
          <w:ilvl w:val="0"/>
          <w:numId w:val="1054"/>
        </w:numPr>
        <w:pStyle w:val="Compact"/>
      </w:pPr>
      <w:r>
        <w:t xml:space="preserve">☐ Registration/information point ready</w:t>
      </w:r>
    </w:p>
    <w:p>
      <w:pPr>
        <w:numPr>
          <w:ilvl w:val="0"/>
          <w:numId w:val="1054"/>
        </w:numPr>
        <w:pStyle w:val="Compact"/>
      </w:pPr>
      <w:r>
        <w:t xml:space="preserve">☐ Venue/platform status checked</w:t>
      </w:r>
    </w:p>
    <w:p>
      <w:pPr>
        <w:numPr>
          <w:ilvl w:val="0"/>
          <w:numId w:val="1054"/>
        </w:numPr>
        <w:pStyle w:val="Compact"/>
      </w:pPr>
      <w:r>
        <w:t xml:space="preserve">☐ Accessibility arrangements checked</w:t>
      </w:r>
    </w:p>
    <w:p>
      <w:pPr>
        <w:numPr>
          <w:ilvl w:val="0"/>
          <w:numId w:val="1054"/>
        </w:numPr>
        <w:pStyle w:val="Compact"/>
      </w:pPr>
      <w:r>
        <w:t xml:space="preserve">☐ Vendors checked in through approved process</w:t>
      </w:r>
    </w:p>
    <w:p>
      <w:pPr>
        <w:numPr>
          <w:ilvl w:val="0"/>
          <w:numId w:val="1054"/>
        </w:numPr>
        <w:pStyle w:val="Compact"/>
      </w:pPr>
      <w:r>
        <w:t xml:space="preserve">☐ Significant changes logged</w:t>
      </w:r>
    </w:p>
    <w:p>
      <w:pPr>
        <w:numPr>
          <w:ilvl w:val="0"/>
          <w:numId w:val="1054"/>
        </w:numPr>
        <w:pStyle w:val="Compact"/>
      </w:pPr>
      <w:r>
        <w:t xml:space="preserve">☐ Private information protected</w:t>
      </w:r>
    </w:p>
    <w:p>
      <w:pPr>
        <w:numPr>
          <w:ilvl w:val="0"/>
          <w:numId w:val="1054"/>
        </w:numPr>
        <w:pStyle w:val="Compact"/>
      </w:pPr>
      <w:r>
        <w:t xml:space="preserve">☐ Incidents escalated through the correct chain</w:t>
      </w:r>
    </w:p>
    <w:p>
      <w:pPr>
        <w:numPr>
          <w:ilvl w:val="0"/>
          <w:numId w:val="1054"/>
        </w:numPr>
        <w:pStyle w:val="Compact"/>
      </w:pPr>
      <w:r>
        <w:t xml:space="preserve">☐ No unauthorized spending or commitments</w:t>
      </w:r>
    </w:p>
    <w:bookmarkEnd w:id="105"/>
    <w:bookmarkStart w:id="106" w:name="closeout"/>
    <w:p>
      <w:pPr>
        <w:pStyle w:val="Heading3"/>
      </w:pPr>
      <w:r>
        <w:t xml:space="preserve">Closeout</w:t>
      </w:r>
    </w:p>
    <w:p>
      <w:pPr>
        <w:numPr>
          <w:ilvl w:val="0"/>
          <w:numId w:val="1055"/>
        </w:numPr>
        <w:pStyle w:val="Compact"/>
      </w:pPr>
      <w:r>
        <w:t xml:space="preserve">☐ Attendance reconciled</w:t>
      </w:r>
    </w:p>
    <w:p>
      <w:pPr>
        <w:numPr>
          <w:ilvl w:val="0"/>
          <w:numId w:val="1055"/>
        </w:numPr>
        <w:pStyle w:val="Compact"/>
      </w:pPr>
      <w:r>
        <w:t xml:space="preserve">☐ Feedback collected if authorized</w:t>
      </w:r>
    </w:p>
    <w:p>
      <w:pPr>
        <w:numPr>
          <w:ilvl w:val="0"/>
          <w:numId w:val="1055"/>
        </w:numPr>
        <w:pStyle w:val="Compact"/>
      </w:pPr>
      <w:r>
        <w:t xml:space="preserve">☐ Vendor completion checked</w:t>
      </w:r>
    </w:p>
    <w:p>
      <w:pPr>
        <w:numPr>
          <w:ilvl w:val="0"/>
          <w:numId w:val="1055"/>
        </w:numPr>
        <w:pStyle w:val="Compact"/>
      </w:pPr>
      <w:r>
        <w:t xml:space="preserve">☐ Invoices routed for review</w:t>
      </w:r>
    </w:p>
    <w:p>
      <w:pPr>
        <w:numPr>
          <w:ilvl w:val="0"/>
          <w:numId w:val="1055"/>
        </w:numPr>
        <w:pStyle w:val="Compact"/>
      </w:pPr>
      <w:r>
        <w:t xml:space="preserve">☐ Open issues assigned</w:t>
      </w:r>
    </w:p>
    <w:p>
      <w:pPr>
        <w:numPr>
          <w:ilvl w:val="0"/>
          <w:numId w:val="1055"/>
        </w:numPr>
        <w:pStyle w:val="Compact"/>
      </w:pPr>
      <w:r>
        <w:t xml:space="preserve">☐ Equipment/materials returned or inventoried</w:t>
      </w:r>
    </w:p>
    <w:p>
      <w:pPr>
        <w:numPr>
          <w:ilvl w:val="0"/>
          <w:numId w:val="1055"/>
        </w:numPr>
        <w:pStyle w:val="Compact"/>
      </w:pPr>
      <w:r>
        <w:t xml:space="preserve">☐ Access permissions closed where assigned</w:t>
      </w:r>
    </w:p>
    <w:p>
      <w:pPr>
        <w:numPr>
          <w:ilvl w:val="0"/>
          <w:numId w:val="1055"/>
        </w:numPr>
        <w:pStyle w:val="Compact"/>
      </w:pPr>
      <w:r>
        <w:t xml:space="preserve">☐ Records archived or disposed of under policy</w:t>
      </w:r>
    </w:p>
    <w:p>
      <w:pPr>
        <w:numPr>
          <w:ilvl w:val="0"/>
          <w:numId w:val="1055"/>
        </w:numPr>
        <w:pStyle w:val="Compact"/>
      </w:pPr>
      <w:r>
        <w:t xml:space="preserve">☐ Lessons learned documented</w:t>
      </w:r>
    </w:p>
    <w:bookmarkEnd w:id="106"/>
    <w:bookmarkEnd w:id="107"/>
    <w:bookmarkStart w:id="108" w:name="source-verification-habits"/>
    <w:p>
      <w:pPr>
        <w:pStyle w:val="Heading2"/>
      </w:pPr>
      <w:r>
        <w:t xml:space="preserve">Source-verification habits</w:t>
      </w:r>
    </w:p>
    <w:p>
      <w:pPr>
        <w:pStyle w:val="FirstParagraph"/>
      </w:pPr>
      <w:r>
        <w:t xml:space="preserve">Event information changes quickly. Build a habit of recording:</w:t>
      </w:r>
    </w:p>
    <w:p>
      <w:pPr>
        <w:numPr>
          <w:ilvl w:val="0"/>
          <w:numId w:val="1056"/>
        </w:numPr>
        <w:pStyle w:val="Compact"/>
      </w:pPr>
      <w:r>
        <w:t xml:space="preserve">source organization;</w:t>
      </w:r>
    </w:p>
    <w:p>
      <w:pPr>
        <w:numPr>
          <w:ilvl w:val="0"/>
          <w:numId w:val="1056"/>
        </w:numPr>
        <w:pStyle w:val="Compact"/>
      </w:pPr>
      <w:r>
        <w:t xml:space="preserve">source URL or system;</w:t>
      </w:r>
    </w:p>
    <w:p>
      <w:pPr>
        <w:numPr>
          <w:ilvl w:val="0"/>
          <w:numId w:val="1056"/>
        </w:numPr>
        <w:pStyle w:val="Compact"/>
      </w:pPr>
      <w:r>
        <w:t xml:space="preserve">date checked;</w:t>
      </w:r>
    </w:p>
    <w:p>
      <w:pPr>
        <w:numPr>
          <w:ilvl w:val="0"/>
          <w:numId w:val="1056"/>
        </w:numPr>
        <w:pStyle w:val="Compact"/>
      </w:pPr>
      <w:r>
        <w:t xml:space="preserve">what fact was verified;</w:t>
      </w:r>
    </w:p>
    <w:p>
      <w:pPr>
        <w:numPr>
          <w:ilvl w:val="0"/>
          <w:numId w:val="1056"/>
        </w:numPr>
        <w:pStyle w:val="Compact"/>
      </w:pPr>
      <w:r>
        <w:t xml:space="preserve">who approved the decision if approval was required.</w:t>
      </w:r>
    </w:p>
    <w:p>
      <w:pPr>
        <w:pStyle w:val="FirstParagraph"/>
      </w:pPr>
      <w:r>
        <w:t xml:space="preserve">For legal, safety, accessibility, permit, tax, insurance, immigration, public-health, or emergency matters, use the relevant official authority or qualified professional. For vendor prices and availability, use the current approved quote, contract, or supplier system. For internal rules, use the employer’s current policy and designated decision owner.</w:t>
      </w:r>
    </w:p>
    <w:bookmarkEnd w:id="108"/>
    <w:bookmarkStart w:id="118" w:name="key-controlled-sources"/>
    <w:p>
      <w:pPr>
        <w:pStyle w:val="Heading2"/>
      </w:pPr>
      <w:r>
        <w:t xml:space="preserve">Key controlled sources</w:t>
      </w:r>
    </w:p>
    <w:bookmarkStart w:id="114" w:name="united-states"/>
    <w:p>
      <w:pPr>
        <w:pStyle w:val="Heading3"/>
      </w:pPr>
      <w:r>
        <w:t xml:space="preserve">United States</w:t>
      </w:r>
    </w:p>
    <w:p>
      <w:pPr>
        <w:pStyle w:val="FirstParagraph"/>
      </w:pPr>
      <w:r>
        <w:t xml:space="preserve">O*NET — Meeting, Convention, and Event Planners</w:t>
      </w:r>
      <w:r>
        <w:br/>
      </w:r>
      <w:hyperlink r:id="rId50">
        <w:hyperlink r:id="rId50">
          <w:r>
            <w:rPr>
              <w:rStyle w:val="Hyperlink"/>
            </w:rPr>
            <w:t xml:space="preserve">Source link</w:t>
          </w:r>
        </w:hyperlink>
      </w:hyperlink>
    </w:p>
    <w:p>
      <w:pPr>
        <w:pStyle w:val="BodyText"/>
      </w:pPr>
      <w:r>
        <w:t xml:space="preserve">O*NET — national wages</w:t>
      </w:r>
      <w:r>
        <w:br/>
      </w:r>
      <w:hyperlink r:id="rId51">
        <w:hyperlink r:id="rId51">
          <w:r>
            <w:rPr>
              <w:rStyle w:val="Hyperlink"/>
            </w:rPr>
            <w:t xml:space="preserve">Source link</w:t>
          </w:r>
        </w:hyperlink>
      </w:hyperlink>
    </w:p>
    <w:p>
      <w:pPr>
        <w:pStyle w:val="BodyText"/>
      </w:pPr>
      <w:r>
        <w:t xml:space="preserve">U.S. Bureau of Labor Statistics — Occupational Outlook Handbook</w:t>
      </w:r>
      <w:r>
        <w:br/>
      </w:r>
      <w:hyperlink r:id="rId52">
        <w:hyperlink r:id="rId52">
          <w:r>
            <w:rPr>
              <w:rStyle w:val="Hyperlink"/>
            </w:rPr>
            <w:t xml:space="preserve">Source link</w:t>
          </w:r>
        </w:hyperlink>
      </w:hyperlink>
    </w:p>
    <w:p>
      <w:pPr>
        <w:pStyle w:val="BodyText"/>
      </w:pPr>
      <w:r>
        <w:t xml:space="preserve">CareerOneStop — WIOA-Eligible Training Program Finder</w:t>
      </w:r>
      <w:r>
        <w:br/>
      </w:r>
      <w:hyperlink r:id="rId46">
        <w:hyperlink r:id="rId46">
          <w:r>
            <w:rPr>
              <w:rStyle w:val="Hyperlink"/>
            </w:rPr>
            <w:t xml:space="preserve">Source link</w:t>
          </w:r>
        </w:hyperlink>
      </w:hyperlink>
    </w:p>
    <w:p>
      <w:pPr>
        <w:pStyle w:val="BodyText"/>
      </w:pPr>
      <w:r>
        <w:t xml:space="preserve">ADA.gov — ADA law and web accessibility guidance</w:t>
      </w:r>
      <w:r>
        <w:br/>
      </w:r>
      <w:hyperlink r:id="rId109">
        <w:r>
          <w:rPr>
            <w:rStyle w:val="Hyperlink"/>
          </w:rPr>
          <w:t xml:space="preserve">https://www.ada.gov/law-and-regs/ada/</w:t>
        </w:r>
      </w:hyperlink>
      <w:r>
        <w:br/>
      </w:r>
      <w:hyperlink r:id="rId110">
        <w:r>
          <w:rPr>
            <w:rStyle w:val="Hyperlink"/>
          </w:rPr>
          <w:t xml:space="preserve">https://www.ada.gov/resources/web-guidance/</w:t>
        </w:r>
      </w:hyperlink>
    </w:p>
    <w:p>
      <w:pPr>
        <w:pStyle w:val="BodyText"/>
      </w:pPr>
      <w:r>
        <w:t xml:space="preserve">CISA — Secure Our World</w:t>
      </w:r>
      <w:r>
        <w:br/>
      </w:r>
      <w:hyperlink r:id="rId111">
        <w:r>
          <w:rPr>
            <w:rStyle w:val="Hyperlink"/>
          </w:rPr>
          <w:t xml:space="preserve">https://www.cisa.gov/secure-our-world</w:t>
        </w:r>
      </w:hyperlink>
    </w:p>
    <w:p>
      <w:pPr>
        <w:pStyle w:val="BodyText"/>
      </w:pPr>
      <w:r>
        <w:t xml:space="preserve">OSHA — Emergency Action Plans</w:t>
      </w:r>
      <w:r>
        <w:br/>
      </w:r>
      <w:hyperlink r:id="rId112">
        <w:hyperlink r:id="rId112">
          <w:r>
            <w:rPr>
              <w:rStyle w:val="Hyperlink"/>
            </w:rPr>
            <w:t xml:space="preserve">Source link</w:t>
          </w:r>
        </w:hyperlink>
      </w:hyperlink>
    </w:p>
    <w:p>
      <w:pPr>
        <w:pStyle w:val="BodyText"/>
      </w:pPr>
      <w:r>
        <w:t xml:space="preserve">NIST — AI Risk Management Framework</w:t>
      </w:r>
      <w:r>
        <w:br/>
      </w:r>
      <w:hyperlink r:id="rId113">
        <w:hyperlink r:id="rId113">
          <w:r>
            <w:rPr>
              <w:rStyle w:val="Hyperlink"/>
            </w:rPr>
            <w:t xml:space="preserve">Source link</w:t>
          </w:r>
        </w:hyperlink>
      </w:hyperlink>
    </w:p>
    <w:bookmarkEnd w:id="114"/>
    <w:bookmarkStart w:id="115" w:name="canada"/>
    <w:p>
      <w:pPr>
        <w:pStyle w:val="Heading3"/>
      </w:pPr>
      <w:r>
        <w:t xml:space="preserve">Canada</w:t>
      </w:r>
    </w:p>
    <w:p>
      <w:pPr>
        <w:pStyle w:val="FirstParagraph"/>
      </w:pPr>
      <w:r>
        <w:t xml:space="preserve">Job Bank — Event Planner summary, wages, and requirements</w:t>
      </w:r>
      <w:r>
        <w:br/>
      </w:r>
      <w:hyperlink r:id="rId58">
        <w:hyperlink r:id="rId58">
          <w:r>
            <w:rPr>
              <w:rStyle w:val="Hyperlink"/>
            </w:rPr>
            <w:t xml:space="preserve">Source link</w:t>
          </w:r>
        </w:hyperlink>
      </w:hyperlink>
      <w:r>
        <w:br/>
      </w:r>
      <w:hyperlink r:id="rId59">
        <w:hyperlink r:id="rId59">
          <w:r>
            <w:rPr>
              <w:rStyle w:val="Hyperlink"/>
            </w:rPr>
            <w:t xml:space="preserve">Source link</w:t>
          </w:r>
        </w:hyperlink>
      </w:hyperlink>
      <w:r>
        <w:br/>
      </w:r>
      <w:hyperlink r:id="rId60">
        <w:hyperlink r:id="rId60">
          <w:r>
            <w:rPr>
              <w:rStyle w:val="Hyperlink"/>
            </w:rPr>
            <w:t xml:space="preserve">Source link</w:t>
          </w:r>
        </w:hyperlink>
      </w:hyperlink>
    </w:p>
    <w:p>
      <w:pPr>
        <w:pStyle w:val="BodyText"/>
      </w:pPr>
      <w:r>
        <w:t xml:space="preserve">Government of Canada — Training</w:t>
      </w:r>
      <w:r>
        <w:br/>
      </w:r>
      <w:hyperlink r:id="rId62">
        <w:hyperlink r:id="rId62">
          <w:r>
            <w:rPr>
              <w:rStyle w:val="Hyperlink"/>
            </w:rPr>
            <w:t xml:space="preserve">Source link</w:t>
          </w:r>
        </w:hyperlink>
      </w:hyperlink>
    </w:p>
    <w:p>
      <w:pPr>
        <w:pStyle w:val="BodyText"/>
      </w:pPr>
      <w:r>
        <w:t xml:space="preserve">Government of Canada — Labour Market Agreements</w:t>
      </w:r>
      <w:r>
        <w:br/>
      </w:r>
      <w:hyperlink r:id="rId63">
        <w:hyperlink r:id="rId63">
          <w:r>
            <w:rPr>
              <w:rStyle w:val="Hyperlink"/>
            </w:rPr>
            <w:t xml:space="preserve">Source link</w:t>
          </w:r>
        </w:hyperlink>
      </w:hyperlink>
    </w:p>
    <w:bookmarkEnd w:id="115"/>
    <w:bookmarkStart w:id="116" w:name="colombia"/>
    <w:p>
      <w:pPr>
        <w:pStyle w:val="Heading3"/>
      </w:pPr>
      <w:r>
        <w:t xml:space="preserve">Colombia</w:t>
      </w:r>
    </w:p>
    <w:p>
      <w:pPr>
        <w:pStyle w:val="FirstParagraph"/>
      </w:pPr>
      <w:r>
        <w:t xml:space="preserve">OCUPACOL — CUOC 33320</w:t>
      </w:r>
      <w:r>
        <w:br/>
      </w:r>
      <w:hyperlink r:id="rId67">
        <w:hyperlink r:id="rId67">
          <w:r>
            <w:rPr>
              <w:rStyle w:val="Hyperlink"/>
            </w:rPr>
            <w:t xml:space="preserve">Source link</w:t>
          </w:r>
        </w:hyperlink>
      </w:hyperlink>
    </w:p>
    <w:p>
      <w:pPr>
        <w:pStyle w:val="BodyText"/>
      </w:pPr>
      <w:r>
        <w:t xml:space="preserve">SENA Betowa — Estrategias aplicadas a la organización de eventos</w:t>
      </w:r>
      <w:r>
        <w:br/>
      </w:r>
      <w:hyperlink r:id="rId68">
        <w:hyperlink r:id="rId68">
          <w:r>
            <w:rPr>
              <w:rStyle w:val="Hyperlink"/>
            </w:rPr>
            <w:t xml:space="preserve">Source link</w:t>
          </w:r>
        </w:hyperlink>
      </w:hyperlink>
    </w:p>
    <w:p>
      <w:pPr>
        <w:pStyle w:val="BodyText"/>
      </w:pPr>
      <w:r>
        <w:t xml:space="preserve">SENA Betowa — Gestión Administrativa</w:t>
      </w:r>
      <w:r>
        <w:br/>
      </w:r>
      <w:hyperlink r:id="rId69">
        <w:hyperlink r:id="rId69">
          <w:r>
            <w:rPr>
              <w:rStyle w:val="Hyperlink"/>
            </w:rPr>
            <w:t xml:space="preserve">Source link</w:t>
          </w:r>
        </w:hyperlink>
      </w:hyperlink>
    </w:p>
    <w:bookmarkEnd w:id="116"/>
    <w:bookmarkStart w:id="117" w:name="latin-america-and-caribbean"/>
    <w:p>
      <w:pPr>
        <w:pStyle w:val="Heading3"/>
      </w:pPr>
      <w:r>
        <w:t xml:space="preserve">Latin America and Caribbean</w:t>
      </w:r>
    </w:p>
    <w:p>
      <w:pPr>
        <w:pStyle w:val="FirstParagraph"/>
      </w:pPr>
      <w:r>
        <w:t xml:space="preserve">OIT/Cinterfor</w:t>
      </w:r>
      <w:r>
        <w:br/>
      </w:r>
      <w:hyperlink r:id="rId75">
        <w:r>
          <w:rPr>
            <w:rStyle w:val="Hyperlink"/>
          </w:rPr>
          <w:t xml:space="preserve">https://www.oitcinterfor.org/</w:t>
        </w:r>
      </w:hyperlink>
      <w:r>
        <w:br/>
      </w:r>
      <w:hyperlink r:id="rId76">
        <w:r>
          <w:rPr>
            <w:rStyle w:val="Hyperlink"/>
          </w:rPr>
          <w:t xml:space="preserve">https://www.oitcinterfor.org/statsfp/paises</w:t>
        </w:r>
      </w:hyperlink>
    </w:p>
    <w:bookmarkEnd w:id="117"/>
    <w:bookmarkEnd w:id="118"/>
    <w:bookmarkStart w:id="119"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training funding, apprenticeship placement, certification, licensure, promotion, accessibility compliance, legal compliance, event safety, vendor performance, or any other result.</w:t>
      </w:r>
    </w:p>
    <w:p>
      <w:pPr>
        <w:pStyle w:val="BodyText"/>
      </w:pPr>
      <w:r>
        <w:t xml:space="preserve">Requirements, compensation, credentials, permits, taxes, insurance, safety rules, accessibility obligations, employment standards, and event regulations vary by jurisdiction, employer, venue, event type, and time. Verify consequential requirements with current authoritative sources and the responsible organization or qualified professional.</w:t>
      </w:r>
    </w:p>
    <w:bookmarkEnd w:id="119"/>
    <w:bookmarkStart w:id="120"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current-source research, organization, editing, localization support, and document preparation under the author’s direction. The author remains responsible for editorial and publication decisions.</w:t>
      </w:r>
    </w:p>
    <w:bookmarkEnd w:id="120"/>
    <w:bookmarkStart w:id="121" w:name="license"/>
    <w:p>
      <w:pPr>
        <w:pStyle w:val="Heading2"/>
      </w:pPr>
      <w:r>
        <w:t xml:space="preserve">License</w:t>
      </w:r>
    </w:p>
    <w:p>
      <w:pPr>
        <w:pStyle w:val="FirstParagraph"/>
      </w:pPr>
      <w:r>
        <w:t xml:space="preserve">Unless a file states otherwise, these materials are licensed under</w:t>
      </w:r>
      <w:r>
        <w:t xml:space="preserve"> </w:t>
      </w:r>
      <w:r>
        <w:rPr>
          <w:bCs/>
          <w:b/>
        </w:rPr>
        <w:t xml:space="preserve">Creative Commons Attribution-NonCommercial-ShareAlike 4.0 International (CC BY-NC-SA 4.0)</w:t>
      </w:r>
      <w:r>
        <w:t xml:space="preserve">.</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etowa.sena.edu.co/oferta/estrategias-aplicadas-a-la-organizacion-de-eventos?modality=P&amp;offertype=company&amp;programId=89086" TargetMode="External" /><Relationship Type="http://schemas.openxmlformats.org/officeDocument/2006/relationships/hyperlink" Id="rId69" Target="https://betowa.sena.edu.co/oferta/gestion-administrativa?programId=159" TargetMode="External" /><Relationship Type="http://schemas.openxmlformats.org/officeDocument/2006/relationships/hyperlink" Id="rId72" Target="https://co.indeed.com/career/coordinador-de-eventos/salaries" TargetMode="External" /><Relationship Type="http://schemas.openxmlformats.org/officeDocument/2006/relationships/hyperlink" Id="rId73" Target="https://co.indeed.com/career/coordinador-de-eventos/salaries/Bogot%C3%A1--Cundinamarca" TargetMode="External" /><Relationship Type="http://schemas.openxmlformats.org/officeDocument/2006/relationships/hyperlink" Id="rId67" Target="https://ocupacol.mintrabajo.gov.co/Profile/OccupationalProfile/33320" TargetMode="External" /><Relationship Type="http://schemas.openxmlformats.org/officeDocument/2006/relationships/hyperlink" Id="rId109" Target="https://www.ada.gov/law-and-regs/ada/" TargetMode="External" /><Relationship Type="http://schemas.openxmlformats.org/officeDocument/2006/relationships/hyperlink" Id="rId110" Target="https://www.ada.gov/resources/web-guidance/" TargetMode="External" /><Relationship Type="http://schemas.openxmlformats.org/officeDocument/2006/relationships/hyperlink" Id="rId52" Target="https://www.bls.gov/ooh/business-and-financial/meeting-convention-and-event-planners.htm" TargetMode="External" /><Relationship Type="http://schemas.openxmlformats.org/officeDocument/2006/relationships/hyperlink" Id="rId63" Target="https://www.canada.ca/en/employment-social-development/programs/training-agreements.html" TargetMode="External" /><Relationship Type="http://schemas.openxmlformats.org/officeDocument/2006/relationships/hyperlink" Id="rId64" Target="https://www.canada.ca/en/employment-social-development/programs/training-agreements/lmda.html" TargetMode="External" /><Relationship Type="http://schemas.openxmlformats.org/officeDocument/2006/relationships/hyperlink" Id="rId62"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111" Target="https://www.cisa.gov/secure-our-world" TargetMode="External" /><Relationship Type="http://schemas.openxmlformats.org/officeDocument/2006/relationships/hyperlink" Id="rId54" Target="https://www.indeed.com/career/event-coordinator/salaries" TargetMode="External" /><Relationship Type="http://schemas.openxmlformats.org/officeDocument/2006/relationships/hyperlink" Id="rId60" Target="https://www.jobbank.gc.ca/marketreport/requirements/12546/ca" TargetMode="External" /><Relationship Type="http://schemas.openxmlformats.org/officeDocument/2006/relationships/hyperlink" Id="rId58" Target="https://www.jobbank.gc.ca/marketreport/summary-occupation/12546/ca" TargetMode="External" /><Relationship Type="http://schemas.openxmlformats.org/officeDocument/2006/relationships/hyperlink" Id="rId59" Target="https://www.jobbank.gc.ca/marketreport/wages-occupation/12546/ca" TargetMode="External" /><Relationship Type="http://schemas.openxmlformats.org/officeDocument/2006/relationships/hyperlink" Id="rId113" Target="https://www.nist.gov/itl/ai-risk-management-framework" TargetMode="External" /><Relationship Type="http://schemas.openxmlformats.org/officeDocument/2006/relationships/hyperlink" Id="rId75" Target="https://www.oitcinterfor.org/" TargetMode="External" /><Relationship Type="http://schemas.openxmlformats.org/officeDocument/2006/relationships/hyperlink" Id="rId76" Target="https://www.oitcinterfor.org/statsfp/paises" TargetMode="External" /><Relationship Type="http://schemas.openxmlformats.org/officeDocument/2006/relationships/hyperlink" Id="rId50" Target="https://www.onetonline.org/link/details/13-1121.00" TargetMode="External" /><Relationship Type="http://schemas.openxmlformats.org/officeDocument/2006/relationships/hyperlink" Id="rId51" Target="https://www.onetonline.org/link/localwages/13-1121.00" TargetMode="External" /><Relationship Type="http://schemas.openxmlformats.org/officeDocument/2006/relationships/hyperlink" Id="rId112" Target="https://www.osha.gov/etools/evacuation-plans-procedures/eap/" TargetMode="External" /></Relationships>
</file>

<file path=word/_rels/footnotes.xml.rels><?xml version="1.0" encoding="UTF-8"?><Relationships xmlns="http://schemas.openxmlformats.org/package/2006/relationships"><Relationship Type="http://schemas.openxmlformats.org/officeDocument/2006/relationships/hyperlink" Id="rId68" Target="https://betowa.sena.edu.co/oferta/estrategias-aplicadas-a-la-organizacion-de-eventos?modality=P&amp;offertype=company&amp;programId=89086" TargetMode="External" /><Relationship Type="http://schemas.openxmlformats.org/officeDocument/2006/relationships/hyperlink" Id="rId69" Target="https://betowa.sena.edu.co/oferta/gestion-administrativa?programId=159" TargetMode="External" /><Relationship Type="http://schemas.openxmlformats.org/officeDocument/2006/relationships/hyperlink" Id="rId72" Target="https://co.indeed.com/career/coordinador-de-eventos/salaries" TargetMode="External" /><Relationship Type="http://schemas.openxmlformats.org/officeDocument/2006/relationships/hyperlink" Id="rId73" Target="https://co.indeed.com/career/coordinador-de-eventos/salaries/Bogot%C3%A1--Cundinamarca" TargetMode="External" /><Relationship Type="http://schemas.openxmlformats.org/officeDocument/2006/relationships/hyperlink" Id="rId67" Target="https://ocupacol.mintrabajo.gov.co/Profile/OccupationalProfile/33320" TargetMode="External" /><Relationship Type="http://schemas.openxmlformats.org/officeDocument/2006/relationships/hyperlink" Id="rId109" Target="https://www.ada.gov/law-and-regs/ada/" TargetMode="External" /><Relationship Type="http://schemas.openxmlformats.org/officeDocument/2006/relationships/hyperlink" Id="rId110" Target="https://www.ada.gov/resources/web-guidance/" TargetMode="External" /><Relationship Type="http://schemas.openxmlformats.org/officeDocument/2006/relationships/hyperlink" Id="rId52" Target="https://www.bls.gov/ooh/business-and-financial/meeting-convention-and-event-planners.htm" TargetMode="External" /><Relationship Type="http://schemas.openxmlformats.org/officeDocument/2006/relationships/hyperlink" Id="rId63" Target="https://www.canada.ca/en/employment-social-development/programs/training-agreements.html" TargetMode="External" /><Relationship Type="http://schemas.openxmlformats.org/officeDocument/2006/relationships/hyperlink" Id="rId64" Target="https://www.canada.ca/en/employment-social-development/programs/training-agreements/lmda.html" TargetMode="External" /><Relationship Type="http://schemas.openxmlformats.org/officeDocument/2006/relationships/hyperlink" Id="rId62"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111" Target="https://www.cisa.gov/secure-our-world" TargetMode="External" /><Relationship Type="http://schemas.openxmlformats.org/officeDocument/2006/relationships/hyperlink" Id="rId54" Target="https://www.indeed.com/career/event-coordinator/salaries" TargetMode="External" /><Relationship Type="http://schemas.openxmlformats.org/officeDocument/2006/relationships/hyperlink" Id="rId60" Target="https://www.jobbank.gc.ca/marketreport/requirements/12546/ca" TargetMode="External" /><Relationship Type="http://schemas.openxmlformats.org/officeDocument/2006/relationships/hyperlink" Id="rId58" Target="https://www.jobbank.gc.ca/marketreport/summary-occupation/12546/ca" TargetMode="External" /><Relationship Type="http://schemas.openxmlformats.org/officeDocument/2006/relationships/hyperlink" Id="rId59" Target="https://www.jobbank.gc.ca/marketreport/wages-occupation/12546/ca" TargetMode="External" /><Relationship Type="http://schemas.openxmlformats.org/officeDocument/2006/relationships/hyperlink" Id="rId113" Target="https://www.nist.gov/itl/ai-risk-management-framework" TargetMode="External" /><Relationship Type="http://schemas.openxmlformats.org/officeDocument/2006/relationships/hyperlink" Id="rId75" Target="https://www.oitcinterfor.org/" TargetMode="External" /><Relationship Type="http://schemas.openxmlformats.org/officeDocument/2006/relationships/hyperlink" Id="rId76" Target="https://www.oitcinterfor.org/statsfp/paises" TargetMode="External" /><Relationship Type="http://schemas.openxmlformats.org/officeDocument/2006/relationships/hyperlink" Id="rId50" Target="https://www.onetonline.org/link/details/13-1121.00" TargetMode="External" /><Relationship Type="http://schemas.openxmlformats.org/officeDocument/2006/relationships/hyperlink" Id="rId51" Target="https://www.onetonline.org/link/localwages/13-1121.00" TargetMode="External" /><Relationship Type="http://schemas.openxmlformats.org/officeDocument/2006/relationships/hyperlink" Id="rId112" Target="https://www.osha.gov/etools/evacuation-plans-procedures/ea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2026-08-21T12:43:00Z</dcterms:created>
  <dcterms:modified xsi:type="dcterms:W3CDTF">2026-08-21T12:43:00Z</dcterms:modified>
</cp:coreProperties>
</file>

<file path=docProps/custom.xml><?xml version="1.0" encoding="utf-8"?>
<Properties xmlns="http://schemas.openxmlformats.org/officeDocument/2006/custom-properties" xmlns:vt="http://schemas.openxmlformats.org/officeDocument/2006/docPropsVTypes"/>
</file>