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ASISTENTE DE GESTIÓN DE CASOS Y NAVEGADOR DE RECURSOS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apoya la coordinación de casos y la navegación de recursos mediante contacto con participantes, verificación de información, derivaciones, seguimiento y documentación bajo supervisión.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Apoya la coordinación de casos y la navegación de recursos mediante contacto con participantes, verificación de información, derivaciones, seguimiento y documentación bajo supervisión.</w:t>
      </w:r>
    </w:p>
    <w:p>
      <w:pPr>
        <w:pStyle w:val="ListBullet"/>
      </w:pPr>
      <w:r>
        <w:t>Asistente de gestión de casos</w:t>
      </w:r>
    </w:p>
    <w:p>
      <w:pPr>
        <w:pStyle w:val="ListBullet"/>
      </w:pPr>
      <w:r>
        <w:t>Navegador de recursos</w:t>
      </w:r>
    </w:p>
    <w:p>
      <w:pPr>
        <w:pStyle w:val="ListBullet"/>
      </w:pPr>
      <w:r>
        <w:t>Coordinador de referencias</w:t>
      </w:r>
    </w:p>
    <w:p>
      <w:pPr>
        <w:pStyle w:val="ListBullet"/>
      </w:pPr>
      <w:r>
        <w:t>Asistente de servicios al cliente</w:t>
      </w:r>
    </w:p>
    <w:p>
      <w:pPr>
        <w:pStyle w:val="ListBullet"/>
      </w:pPr>
      <w:r>
        <w:t>Navegador comunitario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Hospitales y clínicas</w:t>
      </w:r>
    </w:p>
    <w:p>
      <w:pPr>
        <w:pStyle w:val="ListBullet"/>
      </w:pPr>
      <w:r>
        <w:t>Agencias de servicios humanos</w:t>
      </w:r>
    </w:p>
    <w:p>
      <w:pPr>
        <w:pStyle w:val="ListBullet"/>
      </w:pPr>
      <w:r>
        <w:t>Programas de vivienda</w:t>
      </w:r>
    </w:p>
    <w:p>
      <w:pPr>
        <w:pStyle w:val="ListBullet"/>
      </w:pPr>
      <w:r>
        <w:t>Organizaciones comunitarias</w:t>
      </w:r>
    </w:p>
    <w:p>
      <w:pPr>
        <w:pStyle w:val="ListBullet"/>
      </w:pPr>
      <w:r>
        <w:t>Servicios de salud conductual</w:t>
      </w:r>
    </w:p>
    <w:p>
      <w:pPr>
        <w:pStyle w:val="ListBullet"/>
      </w:pPr>
      <w:r>
        <w:t>Programas de seguros y beneficios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Recibir derivaciones y verificar información, consentimiento y prioridades.</w:t>
      </w:r>
    </w:p>
    <w:p>
      <w:pPr>
        <w:pStyle w:val="ListBullet"/>
      </w:pPr>
      <w:r>
        <w:t>Explicar procesos, recursos, elegibilidad preliminar y próximos pasos sin prometer resultados.</w:t>
      </w:r>
    </w:p>
    <w:p>
      <w:pPr>
        <w:pStyle w:val="ListBullet"/>
      </w:pPr>
      <w:r>
        <w:t>Programar citas, coordinar transporte y mantener contacto de seguimiento.</w:t>
      </w:r>
    </w:p>
    <w:p>
      <w:pPr>
        <w:pStyle w:val="ListBullet"/>
      </w:pPr>
      <w:r>
        <w:t>Identificar barreras de idioma, discapacidad, tecnología, documentación o costo.</w:t>
      </w:r>
    </w:p>
    <w:p>
      <w:pPr>
        <w:pStyle w:val="ListBullet"/>
      </w:pPr>
      <w:r>
        <w:t>Escalar crisis, necesidades clínicas, amenazas, abuso o problemas jurídicos al profesional autorizado.</w:t>
      </w:r>
    </w:p>
    <w:p>
      <w:pPr>
        <w:pStyle w:val="ListBullet"/>
      </w:pPr>
      <w:r>
        <w:t>Documentar contactos, intentos, derivaciones, resultados, cierres y transferencias.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Información sensible, crisis, violencia, trauma vicario, carga de casos, visitas de campo y límites de función.</w:t>
      </w:r>
    </w:p>
    <w:p>
      <w:pPr>
        <w:pStyle w:val="ListBullet"/>
      </w:pPr>
      <w:r>
        <w:t>Prometer aprobación, pago, vivienda, tratamiento o beneficios sin autoridad.</w:t>
      </w:r>
    </w:p>
    <w:p>
      <w:pPr>
        <w:pStyle w:val="ListBullet"/>
      </w:pPr>
      <w:r>
        <w:t>Tomar decisiones clínicas, jurídicas o de elegibilidad reservadas a profesionales autorizados.</w:t>
      </w:r>
    </w:p>
    <w:p>
      <w:pPr>
        <w:pStyle w:val="ListBullet"/>
      </w:pPr>
      <w:r>
        <w:t>Omitir consentimientos, divulgar información o cerrar un caso sin documentación adecuada.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Los datos de BLS para asistentes de servicios sociales y humanos pueden usarse como referencia inicial; después se deben verificar el título exacto, las funciones y el rango salarial local del empleador.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Los requisitos varían desde educación secundaria y experiencia relevante hasta un certificado o grado asociado. Los programas pueden exigir antecedentes, conducción, idiomas, conocimiento de beneficios y capacitación en privacidad.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Asistente de Gestión de Casos y Navegador de Recursos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