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OPORTUNIDADES PARA TODA LA VIDA</w:t>
      </w:r>
    </w:p>
    <w:p>
      <w:pPr>
        <w:pStyle w:val="Title"/>
        <w:jc w:val="center"/>
      </w:pPr>
      <w:r>
        <w:t>ASISTENTE DE PREESCOLAR Y TRABAJADOR DE CUIDADO INFANTIL</w:t>
      </w:r>
    </w:p>
    <w:p>
      <w:pPr>
        <w:jc w:val="center"/>
      </w:pPr>
      <w:r>
        <w:t>Guía gratuita sobre compatibilidad profesional, educación asequible, accesibilidad,</w:t>
        <w:br/>
        <w:t>empleo ético y reinvención a lo largo de la vida</w:t>
      </w:r>
    </w:p>
    <w:p>
      <w:pPr>
        <w:jc w:val="center"/>
      </w:pPr>
      <w:r>
        <w:t>Para personas de todas las edades, capacidades, orígenes y niveles de ingreso</w:t>
      </w:r>
    </w:p>
    <w:p>
      <w:pPr>
        <w:jc w:val="center"/>
      </w:pPr>
      <w:r>
        <w:rPr>
          <w:b/>
        </w:rPr>
        <w:t>Alberto (Al) Leiva</w:t>
      </w:r>
    </w:p>
    <w:p>
      <w:pPr>
        <w:jc w:val="center"/>
      </w:pPr>
      <w:r>
        <w:t>Creada y dirigida por Alberto (Al) Leiva</w:t>
        <w:br/>
        <w:t>Investigación, organización, edición y preparación del documento con asistencia de ChatGPT, OpenAI</w:t>
      </w:r>
    </w:p>
    <w:p>
      <w:pPr>
        <w:jc w:val="center"/>
      </w:pPr>
      <w:r>
        <w:t>Edición en español neutro • Versión 1.0 • Julio de 2026</w:t>
      </w:r>
    </w:p>
    <w:p>
      <w:pPr>
        <w:pStyle w:val="Heading1"/>
      </w:pPr>
      <w:r>
        <w:t>La promesa de esta guía</w:t>
      </w:r>
    </w:p>
    <w:p>
      <w:r>
        <w:t>Esta guía no promete que el trabajo de asistente de preescolar y trabajador de cuidado infantil sea adecuado para todas las personas, que la educación sea gratuita ni que una credencial produzca empleo. Ayuda a comprender el trabajo, verificar requisitos, comparar caminos y dar un siguiente paso honesto.</w:t>
      </w:r>
    </w:p>
    <w:p>
      <w:pPr>
        <w:pStyle w:val="Heading1"/>
      </w:pPr>
      <w:r>
        <w:t>Por qué creé esta guía</w:t>
      </w:r>
    </w:p>
    <w:p>
      <w:r>
        <w:t>Creé las Guías de Oportunidades para Toda la Vida para ayudar a las personas a encontrar caminos realistas hacia la educación y un trabajo significativo sin quedar excluidas por edad, discapacidad, ingresos, ubicación o una trayectoria de vida no tradicional. Vivo con disgrafía y estoy dentro del espectro autista. Comencé este proyecto a los 70 años. Estas experiencias reforzaron mi compromiso con el lenguaje claro, la accesibilidad, la paciencia, la orientación ética y el respeto por capacidades que pueden estar ocultas detrás de barreras.</w:t>
      </w:r>
    </w:p>
    <w:p>
      <w:r>
        <w:t>Los asistentes de preescolar y trabajadores de cuidado infantil apoyan la seguridad, las rutinas, el juego, el aprendizaje, la comunicación y el desarrollo de los niños bajo la dirección de educadores calificados o responsables del programa.</w:t>
      </w:r>
    </w:p>
    <w:p>
      <w:pPr>
        <w:pStyle w:val="Heading1"/>
      </w:pPr>
      <w:r>
        <w:t>Reconocimiento de la asistencia de inteligencia artificial</w:t>
      </w:r>
    </w:p>
    <w:p>
      <w:r>
        <w:t>Concebí, dirigí y asumo la responsabilidad de esta guía. Utilicé ChatGPT de OpenAI como herramienta de colaboración para investigar recursos públicos, organizar ideas, mejorar ortografía y gramática, fortalecer la claridad y preparar el documento. La asistencia de IA no sustituye fuentes oficiales, profesionales calificados, juicio humano ni la responsabilidad del lector de verificar información importante.</w:t>
      </w:r>
    </w:p>
    <w:p>
      <w:pPr>
        <w:pStyle w:val="Heading1"/>
      </w:pPr>
      <w:r>
        <w:t>Límites éticos y prácticos</w:t>
      </w:r>
    </w:p>
    <w:p>
      <w:pPr>
        <w:pStyle w:val="ListBullet"/>
      </w:pPr>
      <w:r>
        <w:t>Ninguna evaluación profesional puede garantizar que usted disfrutará el trabajo de asistente de preescolar y trabajador de cuidado infantil.</w:t>
      </w:r>
    </w:p>
    <w:p>
      <w:pPr>
        <w:pStyle w:val="ListBullet"/>
      </w:pPr>
      <w:r>
        <w:t>Ninguna institución, credencial, aprendizaje, programa gubernamental, reclutador o empleador puede garantizar empleo, financiamiento, ascenso, licencia o salario específico.</w:t>
      </w:r>
    </w:p>
    <w:p>
      <w:pPr>
        <w:pStyle w:val="ListBullet"/>
      </w:pPr>
      <w:r>
        <w:t>Los requisitos varían según empleador, jurisdicción, entorno y funciones asignadas.</w:t>
      </w:r>
    </w:p>
    <w:p>
      <w:pPr>
        <w:pStyle w:val="ListBullet"/>
      </w:pPr>
      <w:r>
        <w:t>Esta guía es educativa y no proporciona asesoría jurídica, médica, tributaria, migratoria, financiera ni vocacional individualizada.</w:t>
      </w:r>
    </w:p>
    <w:p>
      <w:pPr>
        <w:pStyle w:val="ListBullet"/>
      </w:pPr>
      <w:r>
        <w:t>Nunca pague una tarifa no reembolsable importante ni pida dinero prestado porque una institución o reclutador lo presione a actuar de inmediato.</w:t>
      </w:r>
    </w:p>
    <w:p>
      <w:r>
        <w:br w:type="page"/>
      </w:r>
    </w:p>
    <w:p>
      <w:pPr>
        <w:spacing w:after="40"/>
        <w:jc w:val="left"/>
      </w:pPr>
      <w:r>
        <w:rPr>
          <w:b/>
          <w:sz w:val="28"/>
        </w:rPr>
        <w:t>Tabla de contenido</w:t>
      </w:r>
    </w:p>
    <w:p>
      <w:pPr>
        <w:tabs>
          <w:tab w:pos="9576" w:val="right" w:leader="dot"/>
          <w:tab w:pos="9576" w:val="right" w:leader="dot"/>
        </w:tabs>
        <w:spacing w:before="0" w:after="0" w:line="240" w:lineRule="auto"/>
      </w:pPr>
      <w:r>
        <w:t>1. Cómo usar esta guía</w:t>
        <w:tab/>
        <w:t>3</w:t>
      </w:r>
    </w:p>
    <w:p>
      <w:pPr>
        <w:tabs>
          <w:tab w:pos="9576" w:val="right" w:leader="dot"/>
          <w:tab w:pos="9576" w:val="right" w:leader="dot"/>
        </w:tabs>
        <w:spacing w:before="0" w:after="0" w:line="240" w:lineRule="auto"/>
        <w:ind w:left="259"/>
      </w:pPr>
      <w:r>
        <w:t>Proceso de decisión cuidadoso</w:t>
        <w:tab/>
        <w:t>3</w:t>
      </w:r>
    </w:p>
    <w:p>
      <w:pPr>
        <w:tabs>
          <w:tab w:pos="9576" w:val="right" w:leader="dot"/>
          <w:tab w:pos="9576" w:val="right" w:leader="dot"/>
        </w:tabs>
        <w:spacing w:before="0" w:after="0" w:line="240" w:lineRule="auto"/>
      </w:pPr>
      <w:r>
        <w:t>2. Qué implica el trabajo</w:t>
        <w:tab/>
        <w:t>3</w:t>
      </w:r>
    </w:p>
    <w:p>
      <w:pPr>
        <w:tabs>
          <w:tab w:pos="9576" w:val="right" w:leader="dot"/>
          <w:tab w:pos="9576" w:val="right" w:leader="dot"/>
        </w:tabs>
        <w:spacing w:before="0" w:after="0" w:line="240" w:lineRule="auto"/>
        <w:ind w:left="259"/>
      </w:pPr>
      <w:r>
        <w:t>Propósito principal y entornos de trabajo</w:t>
        <w:tab/>
        <w:t>3</w:t>
      </w:r>
    </w:p>
    <w:p>
      <w:pPr>
        <w:tabs>
          <w:tab w:pos="9576" w:val="right" w:leader="dot"/>
          <w:tab w:pos="9576" w:val="right" w:leader="dot"/>
        </w:tabs>
        <w:spacing w:before="0" w:after="0" w:line="240" w:lineRule="auto"/>
        <w:ind w:left="259"/>
      </w:pPr>
      <w:r>
        <w:t>Trabajo diario, semanal y de alta consecuencia</w:t>
        <w:tab/>
        <w:t>3</w:t>
      </w:r>
    </w:p>
    <w:p>
      <w:pPr>
        <w:tabs>
          <w:tab w:pos="9576" w:val="right" w:leader="dot"/>
          <w:tab w:pos="9576" w:val="right" w:leader="dot"/>
        </w:tabs>
        <w:spacing w:before="0" w:after="0" w:line="240" w:lineRule="auto"/>
      </w:pPr>
      <w:r>
        <w:t>3. Funciones, herramientas y terminología</w:t>
        <w:tab/>
        <w:t>3</w:t>
      </w:r>
    </w:p>
    <w:p>
      <w:pPr>
        <w:tabs>
          <w:tab w:pos="9576" w:val="right" w:leader="dot"/>
          <w:tab w:pos="9576" w:val="right" w:leader="dot"/>
        </w:tabs>
        <w:spacing w:before="0" w:after="0" w:line="240" w:lineRule="auto"/>
        <w:ind w:left="259"/>
      </w:pPr>
      <w:r>
        <w:t>Funciones habituales</w:t>
        <w:tab/>
        <w:t>3</w:t>
      </w:r>
    </w:p>
    <w:p>
      <w:pPr>
        <w:tabs>
          <w:tab w:pos="9576" w:val="right" w:leader="dot"/>
          <w:tab w:pos="9576" w:val="right" w:leader="dot"/>
        </w:tabs>
        <w:spacing w:before="0" w:after="0" w:line="240" w:lineRule="auto"/>
        <w:ind w:left="259"/>
      </w:pPr>
      <w:r>
        <w:t>Herramientas y registros</w:t>
        <w:tab/>
        <w:t>3</w:t>
      </w:r>
    </w:p>
    <w:p>
      <w:pPr>
        <w:tabs>
          <w:tab w:pos="9576" w:val="right" w:leader="dot"/>
          <w:tab w:pos="9576" w:val="right" w:leader="dot"/>
        </w:tabs>
        <w:spacing w:before="0" w:after="0" w:line="240" w:lineRule="auto"/>
        <w:ind w:left="259"/>
      </w:pPr>
      <w:r>
        <w:t>Definiciones</w:t>
        <w:tab/>
        <w:t>3</w:t>
      </w:r>
    </w:p>
    <w:p>
      <w:pPr>
        <w:tabs>
          <w:tab w:pos="9576" w:val="right" w:leader="dot"/>
          <w:tab w:pos="9576" w:val="right" w:leader="dot"/>
        </w:tabs>
        <w:spacing w:before="0" w:after="0" w:line="240" w:lineRule="auto"/>
      </w:pPr>
      <w:r>
        <w:t>4. Compatibilidad, accesibilidad y condiciones reales</w:t>
        <w:tab/>
        <w:t>4</w:t>
      </w:r>
    </w:p>
    <w:p>
      <w:pPr>
        <w:tabs>
          <w:tab w:pos="9576" w:val="right" w:leader="dot"/>
          <w:tab w:pos="9576" w:val="right" w:leader="dot"/>
        </w:tabs>
        <w:spacing w:before="0" w:after="0" w:line="240" w:lineRule="auto"/>
        <w:ind w:left="259"/>
      </w:pPr>
      <w:r>
        <w:t>Preguntas de compatibilidad profesional</w:t>
        <w:tab/>
        <w:t>4</w:t>
      </w:r>
    </w:p>
    <w:p>
      <w:pPr>
        <w:tabs>
          <w:tab w:pos="9576" w:val="right" w:leader="dot"/>
          <w:tab w:pos="9576" w:val="right" w:leader="dot"/>
        </w:tabs>
        <w:spacing w:before="0" w:after="0" w:line="240" w:lineRule="auto"/>
        <w:ind w:left="259"/>
      </w:pPr>
      <w:r>
        <w:t>Adaptaciones y acceso lingüístico</w:t>
        <w:tab/>
        <w:t>4</w:t>
      </w:r>
    </w:p>
    <w:p>
      <w:pPr>
        <w:tabs>
          <w:tab w:pos="9576" w:val="right" w:leader="dot"/>
          <w:tab w:pos="9576" w:val="right" w:leader="dot"/>
        </w:tabs>
        <w:spacing w:before="0" w:after="0" w:line="240" w:lineRule="auto"/>
      </w:pPr>
      <w:r>
        <w:t>5. Ética, seguridad, límites y escalamiento</w:t>
        <w:tab/>
        <w:t>4</w:t>
      </w:r>
    </w:p>
    <w:p>
      <w:pPr>
        <w:tabs>
          <w:tab w:pos="9576" w:val="right" w:leader="dot"/>
          <w:tab w:pos="9576" w:val="right" w:leader="dot"/>
        </w:tabs>
        <w:spacing w:before="0" w:after="0" w:line="240" w:lineRule="auto"/>
        <w:ind w:left="259"/>
      </w:pPr>
      <w:r>
        <w:t>Alcance y reglas para detener el trabajo</w:t>
        <w:tab/>
        <w:t>4</w:t>
      </w:r>
    </w:p>
    <w:p>
      <w:pPr>
        <w:tabs>
          <w:tab w:pos="9576" w:val="right" w:leader="dot"/>
          <w:tab w:pos="9576" w:val="right" w:leader="dot"/>
        </w:tabs>
        <w:spacing w:before="0" w:after="0" w:line="240" w:lineRule="auto"/>
        <w:ind w:left="259"/>
      </w:pPr>
      <w:r>
        <w:t>Salud y seguridad psicológica</w:t>
        <w:tab/>
        <w:t>4</w:t>
      </w:r>
    </w:p>
    <w:p>
      <w:pPr>
        <w:tabs>
          <w:tab w:pos="9576" w:val="right" w:leader="dot"/>
          <w:tab w:pos="9576" w:val="right" w:leader="dot"/>
        </w:tabs>
        <w:spacing w:before="0" w:after="0" w:line="240" w:lineRule="auto"/>
      </w:pPr>
      <w:r>
        <w:t>6. Remuneración, beneficios e investigación laboral</w:t>
        <w:tab/>
        <w:t>4</w:t>
      </w:r>
    </w:p>
    <w:p>
      <w:pPr>
        <w:tabs>
          <w:tab w:pos="9576" w:val="right" w:leader="dot"/>
          <w:tab w:pos="9576" w:val="right" w:leader="dot"/>
        </w:tabs>
        <w:spacing w:before="0" w:after="0" w:line="240" w:lineRule="auto"/>
        <w:ind w:left="259"/>
      </w:pPr>
      <w:r>
        <w:t>Punto de partida nacional</w:t>
        <w:tab/>
        <w:t>4</w:t>
      </w:r>
    </w:p>
    <w:p>
      <w:pPr>
        <w:tabs>
          <w:tab w:pos="9576" w:val="right" w:leader="dot"/>
          <w:tab w:pos="9576" w:val="right" w:leader="dot"/>
        </w:tabs>
        <w:spacing w:before="0" w:after="0" w:line="240" w:lineRule="auto"/>
        <w:ind w:left="259"/>
      </w:pPr>
      <w:r>
        <w:t>Investigación local de salarios y beneficios</w:t>
        <w:tab/>
        <w:t>4</w:t>
      </w:r>
    </w:p>
    <w:p>
      <w:pPr>
        <w:tabs>
          <w:tab w:pos="9576" w:val="right" w:leader="dot"/>
          <w:tab w:pos="9576" w:val="right" w:leader="dot"/>
        </w:tabs>
        <w:spacing w:before="0" w:after="0" w:line="240" w:lineRule="auto"/>
      </w:pPr>
      <w:r>
        <w:t>7. Educación, instituciones y credenciales</w:t>
        <w:tab/>
        <w:t>4</w:t>
      </w:r>
    </w:p>
    <w:p>
      <w:pPr>
        <w:tabs>
          <w:tab w:pos="9576" w:val="right" w:leader="dot"/>
          <w:tab w:pos="9576" w:val="right" w:leader="dot"/>
        </w:tabs>
        <w:spacing w:before="0" w:after="0" w:line="240" w:lineRule="auto"/>
        <w:ind w:left="259"/>
      </w:pPr>
      <w:r>
        <w:t>Vía educativa</w:t>
        <w:tab/>
        <w:t>4</w:t>
      </w:r>
    </w:p>
    <w:p>
      <w:pPr>
        <w:tabs>
          <w:tab w:pos="9576" w:val="right" w:leader="dot"/>
          <w:tab w:pos="9576" w:val="right" w:leader="dot"/>
        </w:tabs>
        <w:spacing w:before="0" w:after="0" w:line="240" w:lineRule="auto"/>
        <w:ind w:left="259"/>
      </w:pPr>
      <w:r>
        <w:t>Verificación de instituciones y credenciales</w:t>
        <w:tab/>
        <w:t>5</w:t>
      </w:r>
    </w:p>
    <w:p>
      <w:pPr>
        <w:tabs>
          <w:tab w:pos="9576" w:val="right" w:leader="dot"/>
          <w:tab w:pos="9576" w:val="right" w:leader="dot"/>
        </w:tabs>
        <w:spacing w:before="0" w:after="0" w:line="240" w:lineRule="auto"/>
      </w:pPr>
      <w:r>
        <w:t>8. Aprendizaje apoyado por el empleador</w:t>
        <w:tab/>
        <w:t>5</w:t>
      </w:r>
    </w:p>
    <w:p>
      <w:pPr>
        <w:tabs>
          <w:tab w:pos="9576" w:val="right" w:leader="dot"/>
          <w:tab w:pos="9576" w:val="right" w:leader="dot"/>
        </w:tabs>
        <w:spacing w:before="0" w:after="0" w:line="240" w:lineRule="auto"/>
        <w:ind w:left="259"/>
      </w:pPr>
      <w:r>
        <w:t>Asistencia educativa y reembolso</w:t>
        <w:tab/>
        <w:t>5</w:t>
      </w:r>
    </w:p>
    <w:p>
      <w:pPr>
        <w:tabs>
          <w:tab w:pos="9576" w:val="right" w:leader="dot"/>
          <w:tab w:pos="9576" w:val="right" w:leader="dot"/>
        </w:tabs>
        <w:spacing w:before="0" w:after="0" w:line="240" w:lineRule="auto"/>
        <w:ind w:left="259"/>
      </w:pPr>
      <w:r>
        <w:t>Prácticas, aprendizaje y trayectoria profesional</w:t>
        <w:tab/>
        <w:t>5</w:t>
      </w:r>
    </w:p>
    <w:p>
      <w:pPr>
        <w:tabs>
          <w:tab w:pos="9576" w:val="right" w:leader="dot"/>
          <w:tab w:pos="9576" w:val="right" w:leader="dot"/>
        </w:tabs>
        <w:spacing w:before="0" w:after="0" w:line="240" w:lineRule="auto"/>
      </w:pPr>
      <w:r>
        <w:t>9. Derechos laborales, privacidad, ciberseguridad e IA ética</w:t>
        <w:tab/>
        <w:t>5</w:t>
      </w:r>
    </w:p>
    <w:p>
      <w:pPr>
        <w:tabs>
          <w:tab w:pos="9576" w:val="right" w:leader="dot"/>
          <w:tab w:pos="9576" w:val="right" w:leader="dot"/>
        </w:tabs>
        <w:spacing w:before="0" w:after="0" w:line="240" w:lineRule="auto"/>
        <w:ind w:left="259"/>
      </w:pPr>
      <w:r>
        <w:t>Protecciones laborales</w:t>
        <w:tab/>
        <w:t>5</w:t>
      </w:r>
    </w:p>
    <w:p>
      <w:pPr>
        <w:tabs>
          <w:tab w:pos="9576" w:val="right" w:leader="dot"/>
          <w:tab w:pos="9576" w:val="right" w:leader="dot"/>
        </w:tabs>
        <w:spacing w:before="0" w:after="0" w:line="240" w:lineRule="auto"/>
        <w:ind w:left="259"/>
      </w:pPr>
      <w:r>
        <w:t>Uso responsable de la tecnología</w:t>
        <w:tab/>
        <w:t>5</w:t>
      </w:r>
    </w:p>
    <w:p>
      <w:pPr>
        <w:tabs>
          <w:tab w:pos="9576" w:val="right" w:leader="dot"/>
          <w:tab w:pos="9576" w:val="right" w:leader="dot"/>
        </w:tabs>
        <w:spacing w:before="0" w:after="0" w:line="240" w:lineRule="auto"/>
      </w:pPr>
      <w:r>
        <w:t>10. Crear evidencia y postularse</w:t>
        <w:tab/>
        <w:t>5</w:t>
      </w:r>
    </w:p>
    <w:p>
      <w:pPr>
        <w:tabs>
          <w:tab w:pos="9576" w:val="right" w:leader="dot"/>
          <w:tab w:pos="9576" w:val="right" w:leader="dot"/>
        </w:tabs>
        <w:spacing w:before="0" w:after="0" w:line="240" w:lineRule="auto"/>
        <w:ind w:left="259"/>
      </w:pPr>
      <w:r>
        <w:t>Evidencia ética de portafolio</w:t>
        <w:tab/>
        <w:t>5</w:t>
      </w:r>
    </w:p>
    <w:p>
      <w:pPr>
        <w:tabs>
          <w:tab w:pos="9576" w:val="right" w:leader="dot"/>
          <w:tab w:pos="9576" w:val="right" w:leader="dot"/>
        </w:tabs>
        <w:spacing w:before="0" w:after="0" w:line="240" w:lineRule="auto"/>
        <w:ind w:left="259"/>
      </w:pPr>
      <w:r>
        <w:t>Preparación de currículum y entrevista</w:t>
        <w:tab/>
        <w:t>5</w:t>
      </w:r>
    </w:p>
    <w:p>
      <w:pPr>
        <w:tabs>
          <w:tab w:pos="9576" w:val="right" w:leader="dot"/>
          <w:tab w:pos="9576" w:val="right" w:leader="dot"/>
        </w:tabs>
        <w:spacing w:before="0" w:after="0" w:line="240" w:lineRule="auto"/>
      </w:pPr>
      <w:r>
        <w:t>11. Avance, portabilidad y planificación de salida</w:t>
        <w:tab/>
        <w:t>6</w:t>
      </w:r>
    </w:p>
    <w:p>
      <w:pPr>
        <w:tabs>
          <w:tab w:pos="9576" w:val="right" w:leader="dot"/>
          <w:tab w:pos="9576" w:val="right" w:leader="dot"/>
        </w:tabs>
        <w:spacing w:before="0" w:after="0" w:line="240" w:lineRule="auto"/>
        <w:ind w:left="259"/>
      </w:pPr>
      <w:r>
        <w:t>Trayectoria profesional</w:t>
        <w:tab/>
        <w:t>6</w:t>
      </w:r>
    </w:p>
    <w:p>
      <w:pPr>
        <w:tabs>
          <w:tab w:pos="9576" w:val="right" w:leader="dot"/>
          <w:tab w:pos="9576" w:val="right" w:leader="dot"/>
        </w:tabs>
        <w:spacing w:before="0" w:after="0" w:line="240" w:lineRule="auto"/>
        <w:ind w:left="259"/>
      </w:pPr>
      <w:r>
        <w:t>Opciones de salida y transferencia</w:t>
        <w:tab/>
        <w:t>6</w:t>
      </w:r>
    </w:p>
    <w:p>
      <w:pPr>
        <w:tabs>
          <w:tab w:pos="9576" w:val="right" w:leader="dot"/>
          <w:tab w:pos="9576" w:val="right" w:leader="dot"/>
        </w:tabs>
        <w:spacing w:before="0" w:after="0" w:line="240" w:lineRule="auto"/>
      </w:pPr>
      <w:r>
        <w:t>12. Antes de matricularse o firmar</w:t>
        <w:tab/>
        <w:t>6</w:t>
      </w:r>
    </w:p>
    <w:p>
      <w:pPr>
        <w:tabs>
          <w:tab w:pos="9576" w:val="right" w:leader="dot"/>
          <w:tab w:pos="9576" w:val="right" w:leader="dot"/>
        </w:tabs>
        <w:spacing w:before="0" w:after="0" w:line="240" w:lineRule="auto"/>
        <w:ind w:left="259"/>
      </w:pPr>
      <w:r>
        <w:t>Lista de verificación</w:t>
        <w:tab/>
        <w:t>6</w:t>
      </w:r>
    </w:p>
    <w:p>
      <w:pPr>
        <w:tabs>
          <w:tab w:pos="9576" w:val="right" w:leader="dot"/>
          <w:tab w:pos="9576" w:val="right" w:leader="dot"/>
        </w:tabs>
        <w:spacing w:before="0" w:after="0" w:line="240" w:lineRule="auto"/>
      </w:pPr>
      <w:r>
        <w:t>13. Plan de acción de doce semanas</w:t>
        <w:tab/>
        <w:t>6</w:t>
      </w:r>
    </w:p>
    <w:p>
      <w:pPr>
        <w:tabs>
          <w:tab w:pos="9576" w:val="right" w:leader="dot"/>
          <w:tab w:pos="9576" w:val="right" w:leader="dot"/>
        </w:tabs>
        <w:spacing w:before="0" w:after="0" w:line="240" w:lineRule="auto"/>
        <w:ind w:left="259"/>
      </w:pPr>
      <w:r>
        <w:t>Plan secuencial</w:t>
        <w:tab/>
        <w:t>6</w:t>
      </w:r>
    </w:p>
    <w:p>
      <w:pPr>
        <w:tabs>
          <w:tab w:pos="9576" w:val="right" w:leader="dot"/>
          <w:tab w:pos="9576" w:val="right" w:leader="dot"/>
        </w:tabs>
        <w:spacing w:before="0" w:after="0" w:line="240" w:lineRule="auto"/>
      </w:pPr>
      <w:r>
        <w:t>14. Hojas de trabajo</w:t>
        <w:tab/>
        <w:t>6</w:t>
      </w:r>
    </w:p>
    <w:p>
      <w:pPr>
        <w:tabs>
          <w:tab w:pos="9576" w:val="right" w:leader="dot"/>
          <w:tab w:pos="9576" w:val="right" w:leader="dot"/>
        </w:tabs>
        <w:spacing w:before="0" w:after="0" w:line="240" w:lineRule="auto"/>
        <w:ind w:left="259"/>
      </w:pPr>
      <w:r>
        <w:t>Compatibilidad profesional</w:t>
        <w:tab/>
        <w:t>6</w:t>
      </w:r>
    </w:p>
    <w:p>
      <w:pPr>
        <w:tabs>
          <w:tab w:pos="9576" w:val="right" w:leader="dot"/>
          <w:tab w:pos="9576" w:val="right" w:leader="dot"/>
        </w:tabs>
        <w:spacing w:before="0" w:after="0" w:line="240" w:lineRule="auto"/>
        <w:ind w:left="259"/>
      </w:pPr>
      <w:r>
        <w:t>Costo educativo y acuerdo del empleador</w:t>
        <w:tab/>
        <w:t>7</w:t>
      </w:r>
    </w:p>
    <w:p>
      <w:pPr>
        <w:tabs>
          <w:tab w:pos="9576" w:val="right" w:leader="dot"/>
          <w:tab w:pos="9576" w:val="right" w:leader="dot"/>
        </w:tabs>
        <w:spacing w:before="0" w:after="0" w:line="240" w:lineRule="auto"/>
      </w:pPr>
      <w:r>
        <w:t>15. Fuentes, versión y mantenimiento</w:t>
        <w:tab/>
        <w:t>7</w:t>
      </w:r>
    </w:p>
    <w:p>
      <w:pPr>
        <w:tabs>
          <w:tab w:pos="9576" w:val="right" w:leader="dot"/>
          <w:tab w:pos="9576" w:val="right" w:leader="dot"/>
        </w:tabs>
        <w:spacing w:before="0" w:after="0" w:line="240" w:lineRule="auto"/>
        <w:ind w:left="259"/>
      </w:pPr>
      <w:r>
        <w:t>Fuentes oficiales iniciales</w:t>
        <w:tab/>
        <w:t>7</w:t>
      </w:r>
    </w:p>
    <w:p>
      <w:pPr>
        <w:tabs>
          <w:tab w:pos="9576" w:val="right" w:leader="dot"/>
          <w:tab w:pos="9576" w:val="right" w:leader="dot"/>
        </w:tabs>
        <w:spacing w:before="0" w:after="0" w:line="240" w:lineRule="auto"/>
        <w:ind w:left="259"/>
      </w:pPr>
      <w:r>
        <w:t>Política de publicación y corrección</w:t>
        <w:tab/>
        <w:t>7</w:t>
      </w:r>
    </w:p>
    <w:p>
      <w:r>
        <w:br w:type="page"/>
      </w:r>
    </w:p>
    <w:p>
      <w:pPr>
        <w:pStyle w:val="Heading1"/>
      </w:pPr>
      <w:r>
        <w:t>1. Cómo usar esta guía</w:t>
      </w:r>
    </w:p>
    <w:p>
      <w:pPr>
        <w:pStyle w:val="Heading2"/>
      </w:pPr>
      <w:r>
        <w:t>Proceso de decisión cuidadoso</w:t>
      </w:r>
    </w:p>
    <w:p>
      <w:pPr>
        <w:pStyle w:val="ListBullet"/>
      </w:pPr>
      <w:r>
        <w:t>Empiece por el trabajo, no por la institución educativa.</w:t>
      </w:r>
    </w:p>
    <w:p>
      <w:pPr>
        <w:pStyle w:val="ListBullet"/>
      </w:pPr>
      <w:r>
        <w:t>Verifique los requisitos locales antes de pagar.</w:t>
      </w:r>
    </w:p>
    <w:p>
      <w:pPr>
        <w:pStyle w:val="ListBullet"/>
      </w:pPr>
      <w:r>
        <w:t>Pruebe su interés con actividades seguras, públicas, ficticias o supervisadas.</w:t>
      </w:r>
    </w:p>
    <w:p>
      <w:pPr>
        <w:pStyle w:val="ListBullet"/>
      </w:pPr>
      <w:r>
        <w:t>Conserve registros escritos de costos, promesas, adaptaciones, credenciales y condiciones de reembolso.</w:t>
      </w:r>
    </w:p>
    <w:p>
      <w:pPr>
        <w:pStyle w:val="ListBullet"/>
      </w:pPr>
      <w:r>
        <w:t>Deténgase cuando exista una preocupación importante no resuelta sobre seguridad, deuda, licencia, accesibilidad, familia o transporte.</w:t>
      </w:r>
    </w:p>
    <w:p>
      <w:pPr>
        <w:pStyle w:val="Heading1"/>
      </w:pPr>
      <w:r>
        <w:t>2. Qué implica el trabajo</w:t>
      </w:r>
    </w:p>
    <w:p>
      <w:pPr>
        <w:pStyle w:val="Heading2"/>
      </w:pPr>
      <w:r>
        <w:t>Propósito principal y entornos de trabajo</w:t>
      </w:r>
    </w:p>
    <w:p>
      <w:r>
        <w:t>Los asistentes de preescolar y trabajadores de cuidado infantil apoyan la seguridad, las rutinas, el juego, el aprendizaje, la comunicación y el desarrollo de los niños bajo la dirección de educadores calificados o responsables del programa.</w:t>
      </w:r>
    </w:p>
    <w:p>
      <w:pPr>
        <w:pStyle w:val="Heading2"/>
      </w:pPr>
      <w:r>
        <w:t>Trabajo diario, semanal y de alta consecuencia</w:t>
      </w:r>
    </w:p>
    <w:p>
      <w:pPr>
        <w:pStyle w:val="ListBullet"/>
      </w:pPr>
      <w:r>
        <w:t>Supervisar continuamente a los niños y realizar los conteos requeridos.</w:t>
      </w:r>
    </w:p>
    <w:p>
      <w:pPr>
        <w:pStyle w:val="ListBullet"/>
      </w:pPr>
      <w:r>
        <w:t>Apoyar el juego, el lenguaje, el movimiento y las rutinas apropiadas para el desarrollo.</w:t>
      </w:r>
    </w:p>
    <w:p>
      <w:pPr>
        <w:pStyle w:val="ListBullet"/>
      </w:pPr>
      <w:r>
        <w:t>Preparar áreas de aprendizaje, comidas, espacios de descanso y suministros de saneamiento.</w:t>
      </w:r>
    </w:p>
    <w:p>
      <w:pPr>
        <w:pStyle w:val="ListBullet"/>
      </w:pPr>
      <w:r>
        <w:t>Observar y documentar el desarrollo o la conducta dentro del alcance del puesto.</w:t>
      </w:r>
    </w:p>
    <w:p>
      <w:pPr>
        <w:pStyle w:val="ListBullet"/>
      </w:pPr>
      <w:r>
        <w:t>Comunicarse con respeto con las familias y los compañeros de trabajo.</w:t>
      </w:r>
    </w:p>
    <w:p>
      <w:pPr>
        <w:pStyle w:val="ListBullet"/>
      </w:pPr>
      <w:r>
        <w:t>Seguir los procedimientos sobre alergias, medicamentos, emergencias, entrega autorizada y denuncia obligatoria.</w:t>
      </w:r>
    </w:p>
    <w:p>
      <w:pPr>
        <w:pStyle w:val="ListBullet"/>
      </w:pPr>
      <w:r>
        <w:t>Favorecer la inclusión de niños con discapacidades sin exceder la capacitación recibida.</w:t>
      </w:r>
    </w:p>
    <w:p>
      <w:r>
        <w:t>Una semana realista también incluye documentación, problemas de suministros u horarios, comunicación, controles de calidad y seguimiento. Las decisiones de alta consecuencia deben seguir procedimientos escritos y un escalamiento oportuno.</w:t>
      </w:r>
    </w:p>
    <w:p>
      <w:pPr>
        <w:pStyle w:val="Heading1"/>
      </w:pPr>
      <w:r>
        <w:t>3. Funciones, herramientas y terminología</w:t>
      </w:r>
    </w:p>
    <w:p>
      <w:pPr>
        <w:pStyle w:val="Heading2"/>
      </w:pPr>
      <w:r>
        <w:t>Funciones habituales</w:t>
      </w:r>
    </w:p>
    <w:p>
      <w:pPr>
        <w:pStyle w:val="ListBullet"/>
      </w:pPr>
      <w:r>
        <w:t>Supervisar continuamente a los niños y realizar los conteos requeridos.</w:t>
      </w:r>
    </w:p>
    <w:p>
      <w:pPr>
        <w:pStyle w:val="ListBullet"/>
      </w:pPr>
      <w:r>
        <w:t>Apoyar el juego, el lenguaje, el movimiento y las rutinas apropiadas para el desarrollo.</w:t>
      </w:r>
    </w:p>
    <w:p>
      <w:pPr>
        <w:pStyle w:val="ListBullet"/>
      </w:pPr>
      <w:r>
        <w:t>Preparar áreas de aprendizaje, comidas, espacios de descanso y suministros de saneamiento.</w:t>
      </w:r>
    </w:p>
    <w:p>
      <w:pPr>
        <w:pStyle w:val="ListBullet"/>
      </w:pPr>
      <w:r>
        <w:t>Observar y documentar el desarrollo o la conducta dentro del alcance del puesto.</w:t>
      </w:r>
    </w:p>
    <w:p>
      <w:pPr>
        <w:pStyle w:val="ListBullet"/>
      </w:pPr>
      <w:r>
        <w:t>Comunicarse con respeto con las familias y los compañeros de trabajo.</w:t>
      </w:r>
    </w:p>
    <w:p>
      <w:pPr>
        <w:pStyle w:val="ListBullet"/>
      </w:pPr>
      <w:r>
        <w:t>Seguir los procedimientos sobre alergias, medicamentos, emergencias, entrega autorizada y denuncia obligatoria.</w:t>
      </w:r>
    </w:p>
    <w:p>
      <w:pPr>
        <w:pStyle w:val="Heading2"/>
      </w:pPr>
      <w:r>
        <w:t>Herramientas y registros</w:t>
      </w:r>
    </w:p>
    <w:p>
      <w:pPr>
        <w:pStyle w:val="ListBullet"/>
      </w:pPr>
      <w:r>
        <w:t>Registros de asistencia y de personas autorizadas para recoger a los niños.</w:t>
      </w:r>
    </w:p>
    <w:p>
      <w:pPr>
        <w:pStyle w:val="ListBullet"/>
      </w:pPr>
      <w:r>
        <w:t>Juguetes y materiales de aprendizaje apropiados para el desarrollo.</w:t>
      </w:r>
    </w:p>
    <w:p>
      <w:pPr>
        <w:pStyle w:val="ListBullet"/>
      </w:pPr>
      <w:r>
        <w:t>Suministros de saneamiento y protección personal.</w:t>
      </w:r>
    </w:p>
    <w:p>
      <w:pPr>
        <w:pStyle w:val="ListBullet"/>
      </w:pPr>
      <w:r>
        <w:t>Planes de alergias y emergencias.</w:t>
      </w:r>
    </w:p>
    <w:p>
      <w:pPr>
        <w:pStyle w:val="ListBullet"/>
      </w:pPr>
      <w:r>
        <w:t>Sistemas de comunicación y gestión del cuidado infantil.</w:t>
      </w:r>
    </w:p>
    <w:p>
      <w:pPr>
        <w:pStyle w:val="Heading2"/>
      </w:pPr>
      <w:r>
        <w:t>Definiciones</w:t>
      </w:r>
    </w:p>
    <w:tbl>
      <w:tblPr>
        <w:tblW w:type="auto" w:w="0"/>
        <w:jc w:val="center"/>
        <w:tblLook w:firstColumn="1" w:firstRow="1" w:lastColumn="0" w:lastRow="0" w:noHBand="0" w:noVBand="1" w:val="04A0"/>
      </w:tblPr>
      <w:tblGrid>
        <w:gridCol w:w="5083"/>
        <w:gridCol w:w="5083"/>
      </w:tblGrid>
      <w:tr>
        <w:tc>
          <w:tcPr>
            <w:tcW w:type="dxa" w:w="5083"/>
          </w:tcPr>
          <w:p>
            <w:pPr>
              <w:spacing w:after="0"/>
            </w:pPr>
            <w:r/>
            <w:r>
              <w:rPr>
                <w:b/>
              </w:rPr>
              <w:t>Término</w:t>
            </w:r>
          </w:p>
        </w:tc>
        <w:tc>
          <w:tcPr>
            <w:tcW w:type="dxa" w:w="5083"/>
          </w:tcPr>
          <w:p>
            <w:pPr>
              <w:spacing w:after="0"/>
            </w:pPr>
            <w:r/>
            <w:r>
              <w:rPr>
                <w:b/>
              </w:rPr>
              <w:t>Significado práctico</w:t>
            </w:r>
          </w:p>
        </w:tc>
      </w:tr>
      <w:tr>
        <w:tc>
          <w:tcPr>
            <w:tcW w:type="dxa" w:w="5083"/>
          </w:tcPr>
          <w:p>
            <w:pPr>
              <w:spacing w:after="0"/>
            </w:pPr>
            <w:r/>
            <w:r>
              <w:rPr>
                <w:b w:val="0"/>
              </w:rPr>
              <w:t>Alcance</w:t>
            </w:r>
          </w:p>
        </w:tc>
        <w:tc>
          <w:tcPr>
            <w:tcW w:type="dxa" w:w="5083"/>
          </w:tcPr>
          <w:p>
            <w:pPr>
              <w:spacing w:after="0"/>
            </w:pPr>
            <w:r/>
            <w:r>
              <w:rPr>
                <w:b w:val="0"/>
              </w:rPr>
              <w:t>Tareas que la persona está capacitada y autorizada para realizar.</w:t>
            </w:r>
          </w:p>
        </w:tc>
      </w:tr>
      <w:tr>
        <w:tc>
          <w:tcPr>
            <w:tcW w:type="dxa" w:w="5083"/>
          </w:tcPr>
          <w:p>
            <w:pPr>
              <w:spacing w:after="0"/>
            </w:pPr>
            <w:r/>
            <w:r>
              <w:rPr>
                <w:b w:val="0"/>
              </w:rPr>
              <w:t>Escalamiento</w:t>
            </w:r>
          </w:p>
        </w:tc>
        <w:tc>
          <w:tcPr>
            <w:tcW w:type="dxa" w:w="5083"/>
          </w:tcPr>
          <w:p>
            <w:pPr>
              <w:spacing w:after="0"/>
            </w:pPr>
            <w:r/>
            <w:r>
              <w:rPr>
                <w:b w:val="0"/>
              </w:rPr>
              <w:t>Comunicar oportunamente una situación a quien posee la autoridad o competencia necesaria.</w:t>
            </w:r>
          </w:p>
        </w:tc>
      </w:tr>
      <w:tr>
        <w:tc>
          <w:tcPr>
            <w:tcW w:type="dxa" w:w="5083"/>
          </w:tcPr>
          <w:p>
            <w:pPr>
              <w:spacing w:after="0"/>
            </w:pPr>
            <w:r/>
            <w:r>
              <w:rPr>
                <w:b w:val="0"/>
              </w:rPr>
              <w:t>Registro</w:t>
            </w:r>
          </w:p>
        </w:tc>
        <w:tc>
          <w:tcPr>
            <w:tcW w:type="dxa" w:w="5083"/>
          </w:tcPr>
          <w:p>
            <w:pPr>
              <w:spacing w:after="0"/>
            </w:pPr>
            <w:r/>
            <w:r>
              <w:rPr>
                <w:b w:val="0"/>
              </w:rPr>
              <w:t>Evidencia escrita o digital de acciones, decisiones, resultados y aprobaciones.</w:t>
            </w:r>
          </w:p>
        </w:tc>
      </w:tr>
      <w:tr>
        <w:tc>
          <w:tcPr>
            <w:tcW w:type="dxa" w:w="5083"/>
          </w:tcPr>
          <w:p>
            <w:pPr>
              <w:spacing w:after="0"/>
            </w:pPr>
            <w:r/>
            <w:r>
              <w:rPr>
                <w:b w:val="0"/>
              </w:rPr>
              <w:t>Adaptación razonable</w:t>
            </w:r>
          </w:p>
        </w:tc>
        <w:tc>
          <w:tcPr>
            <w:tcW w:type="dxa" w:w="5083"/>
          </w:tcPr>
          <w:p>
            <w:pPr>
              <w:spacing w:after="0"/>
            </w:pPr>
            <w:r/>
            <w:r>
              <w:rPr>
                <w:b w:val="0"/>
              </w:rPr>
              <w:t>Ajuste que permite acceso o participación sin eliminar funciones esenciales ni crear un riesgo indebido.</w:t>
            </w:r>
          </w:p>
        </w:tc>
      </w:tr>
    </w:tbl>
    <w:p>
      <w:pPr>
        <w:pStyle w:val="Heading1"/>
      </w:pPr>
      <w:r>
        <w:t>4. Compatibilidad, accesibilidad y condiciones reales</w:t>
      </w:r>
    </w:p>
    <w:p>
      <w:pPr>
        <w:pStyle w:val="Heading2"/>
      </w:pPr>
      <w:r>
        <w:t>Preguntas de compatibilidad profesional</w:t>
      </w:r>
    </w:p>
    <w:p>
      <w:pPr>
        <w:pStyle w:val="ListBullet"/>
      </w:pPr>
      <w:r>
        <w:t>¿Puedo realizar o adaptar de forma segura las tareas esenciales?</w:t>
      </w:r>
    </w:p>
    <w:p>
      <w:pPr>
        <w:pStyle w:val="ListBullet"/>
      </w:pPr>
      <w:r>
        <w:t>¿Puedo tolerar el ritmo, horario, ambiente, exigencias emocionales y condiciones físicas?</w:t>
      </w:r>
    </w:p>
    <w:p>
      <w:pPr>
        <w:pStyle w:val="ListBullet"/>
      </w:pPr>
      <w:r>
        <w:t>¿La remuneración probable justifica el costo de formación y apoya las necesidades de mi hogar?</w:t>
      </w:r>
    </w:p>
    <w:p>
      <w:pPr>
        <w:pStyle w:val="ListBullet"/>
      </w:pPr>
      <w:r>
        <w:t>¿Puedo cumplir transporte, cuidado familiar, asistencia, idioma y antecedentes?</w:t>
      </w:r>
    </w:p>
    <w:p>
      <w:pPr>
        <w:pStyle w:val="ListBullet"/>
      </w:pPr>
      <w:r>
        <w:t>¿Comprendo la diferencia entre este puesto y funciones superiores, licenciadas o gerenciales?</w:t>
      </w:r>
    </w:p>
    <w:p>
      <w:pPr>
        <w:pStyle w:val="Heading2"/>
      </w:pPr>
      <w:r>
        <w:t>Adaptaciones y acceso lingüístico</w:t>
      </w:r>
    </w:p>
    <w:p>
      <w:r>
        <w:t>Verifique adaptaciones para admisión, clases, sistemas en línea, laboratorios, prácticas, capacitación del empleador y exámenes. La institución, el empleador, el lugar de práctica y el organismo examinador pueden tener procesos separados. Pregunte por tecnología accesible, métodos modificados, intérpretes, subtítulos, espacio tranquilo, ergonomía, apoyo de movilidad y horarios flexibles.</w:t>
      </w:r>
    </w:p>
    <w:p>
      <w:pPr>
        <w:pStyle w:val="Heading1"/>
      </w:pPr>
      <w:r>
        <w:t>5. Ética, seguridad, límites y escalamiento</w:t>
      </w:r>
    </w:p>
    <w:p>
      <w:pPr>
        <w:pStyle w:val="Heading2"/>
      </w:pPr>
      <w:r>
        <w:t>Alcance y reglas para detener el trabajo</w:t>
      </w:r>
    </w:p>
    <w:p>
      <w:pPr>
        <w:pStyle w:val="ListBullet"/>
      </w:pPr>
      <w:r>
        <w:t>Nunca dejar a los niños sin la supervisión exigida.</w:t>
      </w:r>
    </w:p>
    <w:p>
      <w:pPr>
        <w:pStyle w:val="ListBullet"/>
      </w:pPr>
      <w:r>
        <w:t>No diagnosticar discapacidades, prometer resultados del desarrollo ni proporcionar terapia sin la debida calificación.</w:t>
      </w:r>
    </w:p>
    <w:p>
      <w:pPr>
        <w:pStyle w:val="ListBullet"/>
      </w:pPr>
      <w:r>
        <w:t>Aplicar los procedimientos de entrega autorizada incluso cuando el adulto sea conocido.</w:t>
      </w:r>
    </w:p>
    <w:p>
      <w:pPr>
        <w:pStyle w:val="ListBullet"/>
      </w:pPr>
      <w:r>
        <w:t>Informar de inmediato sospechas de abuso o negligencia, falta de personal seguro, niños desaparecidos, lesiones y errores de medicación.</w:t>
      </w:r>
    </w:p>
    <w:p>
      <w:pPr>
        <w:pStyle w:val="Heading2"/>
      </w:pPr>
      <w:r>
        <w:t>Salud y seguridad psicológica</w:t>
      </w:r>
    </w:p>
    <w:p>
      <w:r>
        <w:t>Identifique riesgos físicos, biológicos, ergonómicos, emocionales, de violencia, fatiga y trabajo aislado. Detenga o estabilice la tarea cuando falten controles esenciales. Documente hechos sin alterar registros y use servicios de emergencia cuando el peligro inmediato no pueda controlarse por supervisión normal.</w:t>
      </w:r>
    </w:p>
    <w:p>
      <w:pPr>
        <w:pStyle w:val="Heading1"/>
      </w:pPr>
      <w:r>
        <w:t>6. Remuneración, beneficios e investigación laboral</w:t>
      </w:r>
    </w:p>
    <w:p>
      <w:pPr>
        <w:pStyle w:val="Heading2"/>
      </w:pPr>
      <w:r>
        <w:t>Punto de partida nacional</w:t>
      </w:r>
    </w:p>
    <w:p>
      <w:r>
        <w:t>La Oficina de Estadísticas Laborales de Estados Unidos (BLS) informó para mayo de 2024 un salario mediano por hora de USD 15,41 para trabajadores de cuidado infantil. Los salarios de docentes de preescolar se informan por separado y no deben sustituir los salarios de asistentes o cuidadores.</w:t>
      </w:r>
    </w:p>
    <w:p>
      <w:r>
        <w:t>BLS proyecta una disminución del 3 % en el empleo de trabajadores de cuidado infantil entre 2024 y 2034, mientras que el empleo de docentes de preescolar crecería 4 %. Las vacantes por reemplazo y la inversión pública local todavía pueden generar oportunidades.</w:t>
      </w:r>
    </w:p>
    <w:p>
      <w:r>
        <w:t>Estas cifras son referencias nacionales de Estados Unidos y no garantizan salario, contratación ni beneficios locales.</w:t>
      </w:r>
    </w:p>
    <w:p>
      <w:pPr>
        <w:pStyle w:val="Heading2"/>
      </w:pPr>
      <w:r>
        <w:t>Investigación local de salarios y beneficios</w:t>
      </w:r>
    </w:p>
    <w:p>
      <w:pPr>
        <w:pStyle w:val="ListBullet"/>
      </w:pPr>
      <w:r>
        <w:t>Revise por lo menos 25 vacantes locales recientes y registre requisitos repetidos.</w:t>
      </w:r>
    </w:p>
    <w:p>
      <w:pPr>
        <w:pStyle w:val="ListBullet"/>
      </w:pPr>
      <w:r>
        <w:t>Compare salario por hora y anual, horas extras, turnos, bonos y costos no pagados.</w:t>
      </w:r>
    </w:p>
    <w:p>
      <w:pPr>
        <w:pStyle w:val="ListBullet"/>
      </w:pPr>
      <w:r>
        <w:t>Incluya seguro médico, jubilación, licencia remunerada, herramientas, uniforme, transporte, cuotas y renovaciones.</w:t>
      </w:r>
    </w:p>
    <w:p>
      <w:pPr>
        <w:pStyle w:val="ListBullet"/>
      </w:pPr>
      <w:r>
        <w:t>Distinga trabajo asalariado, por contrato, temporal y por cuenta propia.</w:t>
      </w:r>
    </w:p>
    <w:p>
      <w:pPr>
        <w:pStyle w:val="Heading1"/>
      </w:pPr>
      <w:r>
        <w:t>7. Educación, instituciones y credenciales</w:t>
      </w:r>
    </w:p>
    <w:p>
      <w:pPr>
        <w:pStyle w:val="Heading2"/>
      </w:pPr>
      <w:r>
        <w:t>Vía educativa</w:t>
      </w:r>
    </w:p>
    <w:p>
      <w:r>
        <w:t>Los requisitos varían desde no exigir una credencial formal hasta requerir diploma de secundaria, orientación estatal, cursos de primera infancia o la credencial Child Development Associate. Los puestos de preescolar público y Head Start pueden exigir más educación.</w:t>
      </w:r>
    </w:p>
    <w:p>
      <w:r>
        <w:t>Verifique las normas estatales de licenciamiento de centros infantiles, antecedentes, requisitos de salud, RCP y primeros auxilios, horas de capacitación y reconocimiento local de la credencial propuesta.</w:t>
      </w:r>
    </w:p>
    <w:p>
      <w:pPr>
        <w:pStyle w:val="Heading2"/>
      </w:pPr>
      <w:r>
        <w:t>Verificación de instituciones y credenciales</w:t>
      </w:r>
    </w:p>
    <w:p>
      <w:pPr>
        <w:pStyle w:val="ListBullet"/>
      </w:pPr>
      <w:r>
        <w:t>Acreditación institucional y programática cuando corresponda.</w:t>
      </w:r>
    </w:p>
    <w:p>
      <w:pPr>
        <w:pStyle w:val="ListBullet"/>
      </w:pPr>
      <w:r>
        <w:t>Aprobación del regulador o junta de licencias.</w:t>
      </w:r>
    </w:p>
    <w:p>
      <w:pPr>
        <w:pStyle w:val="ListBullet"/>
      </w:pPr>
      <w:r>
        <w:t>Transferencia de créditos, portabilidad y reconocimiento por empleadores.</w:t>
      </w:r>
    </w:p>
    <w:p>
      <w:pPr>
        <w:pStyle w:val="ListBullet"/>
      </w:pPr>
      <w:r>
        <w:t>Finalización, retiro, aprobación de exámenes, colocación y deuda.</w:t>
      </w:r>
    </w:p>
    <w:p>
      <w:pPr>
        <w:pStyle w:val="ListBullet"/>
      </w:pPr>
      <w:r>
        <w:t>Costo total, reembolsos, acceso a expedientes, cierre y canales de queja.</w:t>
      </w:r>
    </w:p>
    <w:p>
      <w:pPr>
        <w:pStyle w:val="ListBullet"/>
      </w:pPr>
      <w:r>
        <w:t>Accesibilidad durante todo el camino educativo y laboral.</w:t>
      </w:r>
    </w:p>
    <w:p>
      <w:pPr>
        <w:pStyle w:val="Heading1"/>
      </w:pPr>
      <w:r>
        <w:t>8. Aprendizaje apoyado por el empleador</w:t>
      </w:r>
    </w:p>
    <w:p>
      <w:pPr>
        <w:pStyle w:val="Heading2"/>
      </w:pPr>
      <w:r>
        <w:t>Asistencia educativa y reembolso</w:t>
      </w:r>
    </w:p>
    <w:p>
      <w:pPr>
        <w:pStyle w:val="ListBullet"/>
      </w:pPr>
      <w:r>
        <w:t>El empleador puede pagar matrícula, libros, herramientas, exámenes, licencias, viajes o tiempo de capacitación.</w:t>
      </w:r>
    </w:p>
    <w:p>
      <w:pPr>
        <w:pStyle w:val="ListBullet"/>
      </w:pPr>
      <w:r>
        <w:t>Exija aprobación y condiciones por escrito, incluidos calificaciones, exámenes, desempeño y periodo de servicio.</w:t>
      </w:r>
    </w:p>
    <w:p>
      <w:pPr>
        <w:pStyle w:val="ListBullet"/>
      </w:pPr>
      <w:r>
        <w:t>Un compromiso puede durar hasta dos años y exigir reembolso total o prorrateado después de una renuncia voluntaria.</w:t>
      </w:r>
    </w:p>
    <w:p>
      <w:pPr>
        <w:pStyle w:val="ListBullet"/>
      </w:pPr>
      <w:r>
        <w:t>El acuerdo debe tratar despido por reducción, eliminación del puesto, cierre, reestructuración, discapacidad, servicio militar, jubilación y terminación por causa.</w:t>
      </w:r>
    </w:p>
    <w:p>
      <w:pPr>
        <w:pStyle w:val="ListBullet"/>
      </w:pPr>
      <w:r>
        <w:t>No suponga que existe una exención por despido; debe estar escrita y revisada conforme a la ley local.</w:t>
      </w:r>
    </w:p>
    <w:p>
      <w:pPr>
        <w:pStyle w:val="Heading2"/>
      </w:pPr>
      <w:r>
        <w:t>Prácticas, aprendizaje y trayectoria profesional</w:t>
      </w:r>
    </w:p>
    <w:p>
      <w:pPr>
        <w:pStyle w:val="ListBullet"/>
      </w:pPr>
      <w:r>
        <w:t>Distinga empleo pagado, pasantía, práctica externa, práctica académica, residencia, preaprendizaje y aprendizaje registrado.</w:t>
      </w:r>
    </w:p>
    <w:p>
      <w:pPr>
        <w:pStyle w:val="ListBullet"/>
      </w:pPr>
      <w:r>
        <w:t>Verifique salario, beneficios, supervisión, crédito académico o de licencia, compensación laboral y portabilidad.</w:t>
      </w:r>
    </w:p>
    <w:p>
      <w:pPr>
        <w:pStyle w:val="ListBullet"/>
      </w:pPr>
      <w:r>
        <w:t>La mentoría y observación complementan, pero no sustituyen, supervisión o educación obligatoria.</w:t>
      </w:r>
    </w:p>
    <w:p>
      <w:pPr>
        <w:pStyle w:val="ListBullet"/>
      </w:pPr>
      <w:r>
        <w:t>Los beneficios educativos no garantizan ascenso, colocación, horario ni continuidad laboral.</w:t>
      </w:r>
    </w:p>
    <w:p>
      <w:pPr>
        <w:pStyle w:val="Heading1"/>
      </w:pPr>
      <w:r>
        <w:t>9. Derechos laborales, privacidad, ciberseguridad e IA ética</w:t>
      </w:r>
    </w:p>
    <w:p>
      <w:pPr>
        <w:pStyle w:val="Heading2"/>
      </w:pPr>
      <w:r>
        <w:t>Protecciones laborales</w:t>
      </w:r>
    </w:p>
    <w:p>
      <w:r>
        <w:t>Verifique clasificación laboral, salario mínimo, horas extras, descansos, antecedentes, autorización de trabajo, no discriminación, represalias, seguridad y canales de queja. Las reglas varían por jurisdicción.</w:t>
      </w:r>
    </w:p>
    <w:p>
      <w:pPr>
        <w:pStyle w:val="Heading2"/>
      </w:pPr>
      <w:r>
        <w:t>Uso responsable de la tecnología</w:t>
      </w:r>
    </w:p>
    <w:p>
      <w:pPr>
        <w:pStyle w:val="ListBullet"/>
      </w:pPr>
      <w:r>
        <w:t>Proteja información de estudiantes, niños, clientes, huéspedes, participantes, empleados y empleadores según el puesto.</w:t>
      </w:r>
    </w:p>
    <w:p>
      <w:pPr>
        <w:pStyle w:val="ListBullet"/>
      </w:pPr>
      <w:r>
        <w:t>Use autenticación fuerte, dispositivos aprobados y acceso mínimo necesario.</w:t>
      </w:r>
    </w:p>
    <w:p>
      <w:pPr>
        <w:pStyle w:val="ListBullet"/>
      </w:pPr>
      <w:r>
        <w:t>No coloque información confidencial en sistemas públicos de IA ni cuentas personales.</w:t>
      </w:r>
    </w:p>
    <w:p>
      <w:pPr>
        <w:pStyle w:val="ListBullet"/>
      </w:pPr>
      <w:r>
        <w:t>Verifique las respuestas de IA con fuentes oficiales y juicio profesional.</w:t>
      </w:r>
    </w:p>
    <w:p>
      <w:pPr>
        <w:pStyle w:val="ListBullet"/>
      </w:pPr>
      <w:r>
        <w:t>No fabrique credenciales, registros, inspecciones, muestras de trabajo ni logros.</w:t>
      </w:r>
    </w:p>
    <w:p>
      <w:pPr>
        <w:pStyle w:val="Heading1"/>
      </w:pPr>
      <w:r>
        <w:t>10. Crear evidencia y postularse</w:t>
      </w:r>
    </w:p>
    <w:p>
      <w:pPr>
        <w:pStyle w:val="Heading2"/>
      </w:pPr>
      <w:r>
        <w:t>Evidencia ética de portafolio</w:t>
      </w:r>
    </w:p>
    <w:p>
      <w:pPr>
        <w:pStyle w:val="ListBullet"/>
      </w:pPr>
      <w:r>
        <w:t>Use información ficticia, pública o completamente anonimizada.</w:t>
      </w:r>
    </w:p>
    <w:p>
      <w:pPr>
        <w:pStyle w:val="ListBullet"/>
      </w:pPr>
      <w:r>
        <w:t>Cree un mapa de flujo, lista de seguridad, plan de actividad, guion de recuperación del servicio, registro de producción o directorio de recursos apropiado para la ocupación.</w:t>
      </w:r>
    </w:p>
    <w:p>
      <w:pPr>
        <w:pStyle w:val="ListBullet"/>
      </w:pPr>
      <w:r>
        <w:t>Explique qué hizo, qué evidencia utilizó, qué escalaría y qué quedó fuera de su autoridad.</w:t>
      </w:r>
    </w:p>
    <w:p>
      <w:pPr>
        <w:pStyle w:val="ListBullet"/>
      </w:pPr>
      <w:r>
        <w:t>Nunca use registros confidenciales, formularios propietarios, manuales protegidos ni información real sin permiso.</w:t>
      </w:r>
    </w:p>
    <w:p>
      <w:pPr>
        <w:pStyle w:val="Heading2"/>
      </w:pPr>
      <w:r>
        <w:t>Preparación de currículum y entrevista</w:t>
      </w:r>
    </w:p>
    <w:tbl>
      <w:tblPr>
        <w:tblW w:type="auto" w:w="0"/>
        <w:tblLook w:firstColumn="1" w:firstRow="1" w:lastColumn="0" w:lastRow="0" w:noHBand="0" w:noVBand="1" w:val="04A0"/>
      </w:tblPr>
      <w:tblGrid>
        <w:gridCol w:w="5083"/>
        <w:gridCol w:w="5083"/>
      </w:tblGrid>
      <w:tr>
        <w:tc>
          <w:tcPr>
            <w:tcW w:type="dxa" w:w="5083"/>
          </w:tcPr>
          <w:p>
            <w:pPr>
              <w:spacing w:after="0"/>
            </w:pPr>
            <w:r/>
            <w:r>
              <w:rPr>
                <w:b/>
              </w:rPr>
              <w:t>Elemento</w:t>
            </w:r>
          </w:p>
        </w:tc>
        <w:tc>
          <w:tcPr>
            <w:tcW w:type="dxa" w:w="5083"/>
          </w:tcPr>
          <w:p>
            <w:pPr>
              <w:spacing w:after="0"/>
            </w:pPr>
            <w:r/>
            <w:r>
              <w:rPr>
                <w:b/>
              </w:rPr>
              <w:t>Orientación</w:t>
            </w:r>
          </w:p>
        </w:tc>
      </w:tr>
      <w:tr>
        <w:tc>
          <w:tcPr>
            <w:tcW w:type="dxa" w:w="5083"/>
          </w:tcPr>
          <w:p>
            <w:pPr>
              <w:spacing w:after="0"/>
            </w:pPr>
            <w:r/>
            <w:r>
              <w:rPr>
                <w:b w:val="0"/>
              </w:rPr>
              <w:t>Currículum</w:t>
            </w:r>
          </w:p>
        </w:tc>
        <w:tc>
          <w:tcPr>
            <w:tcW w:type="dxa" w:w="5083"/>
          </w:tcPr>
          <w:p>
            <w:pPr>
              <w:spacing w:after="0"/>
            </w:pPr>
            <w:r/>
            <w:r>
              <w:rPr>
                <w:b w:val="0"/>
              </w:rPr>
              <w:t>Describa tarea, método, control de calidad o seguridad y resultado sin exagerar.</w:t>
            </w:r>
          </w:p>
        </w:tc>
      </w:tr>
      <w:tr>
        <w:tc>
          <w:tcPr>
            <w:tcW w:type="dxa" w:w="5083"/>
          </w:tcPr>
          <w:p>
            <w:pPr>
              <w:spacing w:after="0"/>
            </w:pPr>
            <w:r/>
            <w:r>
              <w:rPr>
                <w:b w:val="0"/>
              </w:rPr>
              <w:t>Pregunta</w:t>
            </w:r>
          </w:p>
        </w:tc>
        <w:tc>
          <w:tcPr>
            <w:tcW w:type="dxa" w:w="5083"/>
          </w:tcPr>
          <w:p>
            <w:pPr>
              <w:spacing w:after="0"/>
            </w:pPr>
            <w:r/>
            <w:r>
              <w:rPr>
                <w:b w:val="0"/>
              </w:rPr>
              <w:t>Cuénteme sobre una ocasión en que detectó un problema. Explique qué observó, qué autoridad tenía, cómo documentó y cuándo escaló.</w:t>
            </w:r>
          </w:p>
        </w:tc>
      </w:tr>
      <w:tr>
        <w:tc>
          <w:tcPr>
            <w:tcW w:type="dxa" w:w="5083"/>
          </w:tcPr>
          <w:p>
            <w:pPr>
              <w:spacing w:after="0"/>
            </w:pPr>
            <w:r/>
            <w:r>
              <w:rPr>
                <w:b w:val="0"/>
              </w:rPr>
              <w:t>Pregunta</w:t>
            </w:r>
          </w:p>
        </w:tc>
        <w:tc>
          <w:tcPr>
            <w:tcW w:type="dxa" w:w="5083"/>
          </w:tcPr>
          <w:p>
            <w:pPr>
              <w:spacing w:after="0"/>
            </w:pPr>
            <w:r/>
            <w:r>
              <w:rPr>
                <w:b w:val="0"/>
              </w:rPr>
              <w:t>¿Cómo protege la seguridad y la información confidencial bajo presión? Use un ejemplo específico o escenario realista.</w:t>
            </w:r>
          </w:p>
        </w:tc>
      </w:tr>
    </w:tbl>
    <w:p>
      <w:pPr>
        <w:pStyle w:val="Heading1"/>
      </w:pPr>
      <w:r>
        <w:t>11. Avance, portabilidad y planificación de salida</w:t>
      </w:r>
    </w:p>
    <w:p>
      <w:pPr>
        <w:pStyle w:val="Heading2"/>
      </w:pPr>
      <w:r>
        <w:t>Trayectoria profesional</w:t>
      </w:r>
    </w:p>
    <w:p>
      <w:pPr>
        <w:pStyle w:val="ListBullet"/>
      </w:pPr>
      <w:r>
        <w:t>Auxiliar o sustituto de cuidado infantil.</w:t>
      </w:r>
    </w:p>
    <w:p>
      <w:pPr>
        <w:pStyle w:val="ListBullet"/>
      </w:pPr>
      <w:r>
        <w:t>Asistente docente o auxiliar principal de aula.</w:t>
      </w:r>
    </w:p>
    <w:p>
      <w:pPr>
        <w:pStyle w:val="ListBullet"/>
      </w:pPr>
      <w:r>
        <w:t>Docente de preescolar después de completar la educación requerida.</w:t>
      </w:r>
    </w:p>
    <w:p>
      <w:pPr>
        <w:pStyle w:val="ListBullet"/>
      </w:pPr>
      <w:r>
        <w:t>Proveedor de cuidado infantil familiar, formador o líder de centro con calificaciones adicionales.</w:t>
      </w:r>
    </w:p>
    <w:p>
      <w:pPr>
        <w:pStyle w:val="Heading2"/>
      </w:pPr>
      <w:r>
        <w:t>Opciones de salida y transferencia</w:t>
      </w:r>
    </w:p>
    <w:p>
      <w:pPr>
        <w:pStyle w:val="ListBullet"/>
      </w:pPr>
      <w:r>
        <w:t>Conserve expedientes, licencias, certificados, horas de aprendizaje, evaluaciones, acuerdos de reembolso y decisiones de adaptación.</w:t>
      </w:r>
    </w:p>
    <w:p>
      <w:pPr>
        <w:pStyle w:val="ListBullet"/>
      </w:pPr>
      <w:r>
        <w:t>Identifique ocupaciones relacionadas que utilicen documentación, servicio, seguridad, coordinación, tecnología o habilidades técnicas similares.</w:t>
      </w:r>
    </w:p>
    <w:p>
      <w:pPr>
        <w:pStyle w:val="ListBullet"/>
      </w:pPr>
      <w:r>
        <w:t>Planifique qué ocurrirá si no puede terminar la formación, pierde elegibilidad, desarrolla una limitación de salud o necesita otro horario.</w:t>
      </w:r>
    </w:p>
    <w:p>
      <w:pPr>
        <w:pStyle w:val="Heading1"/>
      </w:pPr>
      <w:r>
        <w:t>12. Antes de matricularse o firmar</w:t>
      </w:r>
    </w:p>
    <w:p>
      <w:pPr>
        <w:pStyle w:val="Heading2"/>
      </w:pPr>
      <w:r>
        <w:t>Lista de verificación</w:t>
      </w:r>
    </w:p>
    <w:p>
      <w:pPr>
        <w:pStyle w:val="ListBullet"/>
      </w:pPr>
      <w:r>
        <w:t>Los requisitos legales y las preferencias del empleador están separados.</w:t>
      </w:r>
    </w:p>
    <w:p>
      <w:pPr>
        <w:pStyle w:val="ListBullet"/>
      </w:pPr>
      <w:r>
        <w:t>Acreditación, aprobación, elegibilidad de examen y portabilidad fueron verificadas.</w:t>
      </w:r>
    </w:p>
    <w:p>
      <w:pPr>
        <w:pStyle w:val="ListBullet"/>
      </w:pPr>
      <w:r>
        <w:t>El costo total incluye herramientas, exámenes, viajes, cuidado infantil, ingresos perdidos y renovaciones.</w:t>
      </w:r>
    </w:p>
    <w:p>
      <w:pPr>
        <w:pStyle w:val="ListBullet"/>
      </w:pPr>
      <w:r>
        <w:t>Las condiciones de práctica o aprendizaje están por escrito.</w:t>
      </w:r>
    </w:p>
    <w:p>
      <w:pPr>
        <w:pStyle w:val="ListBullet"/>
      </w:pPr>
      <w:r>
        <w:t>Asistencia educativa, servicio, reembolso y disposiciones por despido están por escrito.</w:t>
      </w:r>
    </w:p>
    <w:p>
      <w:pPr>
        <w:pStyle w:val="ListBullet"/>
      </w:pPr>
      <w:r>
        <w:t>La accesibilidad se verificó para todo el camino.</w:t>
      </w:r>
    </w:p>
    <w:p>
      <w:pPr>
        <w:pStyle w:val="ListBullet"/>
      </w:pPr>
      <w:r>
        <w:t>Se comprenden quejas, retiro, cierre, acceso a registros y opciones de salida.</w:t>
      </w:r>
    </w:p>
    <w:p>
      <w:pPr>
        <w:pStyle w:val="Heading1"/>
      </w:pPr>
      <w:r>
        <w:t>13. Plan de acción de doce semanas</w:t>
      </w:r>
    </w:p>
    <w:p>
      <w:pPr>
        <w:pStyle w:val="Heading2"/>
      </w:pPr>
      <w:r>
        <w:t>Plan secuencial</w:t>
      </w:r>
    </w:p>
    <w:p>
      <w:pPr>
        <w:pStyle w:val="ListNumber"/>
      </w:pPr>
      <w:r>
        <w:t>Semanas 1-2: Defina fortalezas, restricciones, necesidades de acceso, horario, transporte y condiciones no negociables.</w:t>
      </w:r>
    </w:p>
    <w:p>
      <w:pPr>
        <w:pStyle w:val="ListNumber"/>
      </w:pPr>
      <w:r>
        <w:t>Semanas 3-4: Estudie funciones, entornos, herramientas, riesgos y límites.</w:t>
      </w:r>
    </w:p>
    <w:p>
      <w:pPr>
        <w:pStyle w:val="ListNumber"/>
      </w:pPr>
      <w:r>
        <w:t>Semanas 5-6: Revise vacantes locales, salarios, beneficios y requisitos.</w:t>
      </w:r>
    </w:p>
    <w:p>
      <w:pPr>
        <w:pStyle w:val="ListNumber"/>
      </w:pPr>
      <w:r>
        <w:t>Semanas 7-8: Compare instituciones públicas, aprendizaje, caminos del empleador, credenciales y costo total.</w:t>
      </w:r>
    </w:p>
    <w:p>
      <w:pPr>
        <w:pStyle w:val="ListNumber"/>
      </w:pPr>
      <w:r>
        <w:t>Semanas 9-10: Verifique financiamiento, acuerdos, adaptaciones, licencias y consecuencias de salida.</w:t>
      </w:r>
    </w:p>
    <w:p>
      <w:pPr>
        <w:pStyle w:val="ListNumber"/>
      </w:pPr>
      <w:r>
        <w:t>Semanas 11-12: Complete una muestra ética, prepare evidencia para el currículum, practique entrevistas y decida continuar, pausar o cambiar de dirección.</w:t>
      </w:r>
    </w:p>
    <w:p>
      <w:pPr>
        <w:pStyle w:val="Heading1"/>
      </w:pPr>
      <w:r>
        <w:t>14. Hojas de trabajo</w:t>
      </w:r>
    </w:p>
    <w:p>
      <w:pPr>
        <w:pStyle w:val="Heading2"/>
      </w:pPr>
      <w:r>
        <w:t>Compatibilidad profesional</w:t>
      </w:r>
    </w:p>
    <w:tbl>
      <w:tblPr>
        <w:tblW w:type="auto" w:w="0"/>
        <w:tblLook w:firstColumn="1" w:firstRow="1" w:lastColumn="0" w:lastRow="0" w:noHBand="0" w:noVBand="1" w:val="04A0"/>
      </w:tblPr>
      <w:tblGrid>
        <w:gridCol w:w="5083"/>
        <w:gridCol w:w="5083"/>
      </w:tblGrid>
      <w:tr>
        <w:tc>
          <w:tcPr>
            <w:tcW w:type="dxa" w:w="5083"/>
          </w:tcPr>
          <w:p>
            <w:pPr>
              <w:spacing w:after="0"/>
            </w:pPr>
            <w:r/>
            <w:r>
              <w:rPr>
                <w:b/>
              </w:rPr>
              <w:t>Pregunta</w:t>
            </w:r>
          </w:p>
        </w:tc>
        <w:tc>
          <w:tcPr>
            <w:tcW w:type="dxa" w:w="5083"/>
          </w:tcPr>
          <w:p>
            <w:pPr>
              <w:spacing w:after="0"/>
            </w:pPr>
            <w:r/>
            <w:r>
              <w:rPr>
                <w:b/>
              </w:rPr>
              <w:t>Notas</w:t>
            </w:r>
          </w:p>
        </w:tc>
      </w:tr>
      <w:tr>
        <w:tc>
          <w:tcPr>
            <w:tcW w:type="dxa" w:w="5083"/>
          </w:tcPr>
          <w:p>
            <w:pPr>
              <w:spacing w:after="0"/>
            </w:pPr>
            <w:r/>
            <w:r>
              <w:rPr>
                <w:b w:val="0"/>
              </w:rPr>
              <w:t>Tareas diarias que me convienen</w:t>
            </w:r>
          </w:p>
        </w:tc>
        <w:tc>
          <w:tcPr>
            <w:tcW w:type="dxa" w:w="5083"/>
          </w:tcPr>
          <w:p>
            <w:pPr>
              <w:spacing w:after="0"/>
            </w:pPr>
            <w:r/>
            <w:r>
              <w:rPr>
                <w:b w:val="0"/>
              </w:rPr>
            </w:r>
          </w:p>
        </w:tc>
      </w:tr>
      <w:tr>
        <w:tc>
          <w:tcPr>
            <w:tcW w:type="dxa" w:w="5083"/>
          </w:tcPr>
          <w:p>
            <w:pPr>
              <w:spacing w:after="0"/>
            </w:pPr>
            <w:r/>
            <w:r>
              <w:rPr>
                <w:b w:val="0"/>
              </w:rPr>
              <w:t>Condiciones o riesgos que debo evitar</w:t>
            </w:r>
          </w:p>
        </w:tc>
        <w:tc>
          <w:tcPr>
            <w:tcW w:type="dxa" w:w="5083"/>
          </w:tcPr>
          <w:p>
            <w:pPr>
              <w:spacing w:after="0"/>
            </w:pPr>
            <w:r/>
            <w:r>
              <w:rPr>
                <w:b w:val="0"/>
              </w:rPr>
            </w:r>
          </w:p>
        </w:tc>
      </w:tr>
      <w:tr>
        <w:tc>
          <w:tcPr>
            <w:tcW w:type="dxa" w:w="5083"/>
          </w:tcPr>
          <w:p>
            <w:pPr>
              <w:spacing w:after="0"/>
            </w:pPr>
            <w:r/>
            <w:r>
              <w:rPr>
                <w:b w:val="0"/>
              </w:rPr>
              <w:t>Límites de horario, viaje y transporte</w:t>
            </w:r>
          </w:p>
        </w:tc>
        <w:tc>
          <w:tcPr>
            <w:tcW w:type="dxa" w:w="5083"/>
          </w:tcPr>
          <w:p>
            <w:pPr>
              <w:spacing w:after="0"/>
            </w:pPr>
            <w:r/>
            <w:r>
              <w:rPr>
                <w:b w:val="0"/>
              </w:rPr>
            </w:r>
          </w:p>
        </w:tc>
      </w:tr>
      <w:tr>
        <w:tc>
          <w:tcPr>
            <w:tcW w:type="dxa" w:w="5083"/>
          </w:tcPr>
          <w:p>
            <w:pPr>
              <w:spacing w:after="0"/>
            </w:pPr>
            <w:r/>
            <w:r>
              <w:rPr>
                <w:b w:val="0"/>
              </w:rPr>
              <w:t>Necesidades de accesibilidad y adaptación</w:t>
            </w:r>
          </w:p>
        </w:tc>
        <w:tc>
          <w:tcPr>
            <w:tcW w:type="dxa" w:w="5083"/>
          </w:tcPr>
          <w:p>
            <w:pPr>
              <w:spacing w:after="0"/>
            </w:pPr>
            <w:r/>
            <w:r>
              <w:rPr>
                <w:b w:val="0"/>
              </w:rPr>
            </w:r>
          </w:p>
        </w:tc>
      </w:tr>
    </w:tbl>
    <w:p>
      <w:pPr>
        <w:pStyle w:val="Heading2"/>
      </w:pPr>
      <w:r>
        <w:t>Costo educativo y acuerdo del empleador</w:t>
      </w:r>
    </w:p>
    <w:tbl>
      <w:tblPr>
        <w:tblW w:type="auto" w:w="0"/>
        <w:tblLook w:firstColumn="1" w:firstRow="1" w:lastColumn="0" w:lastRow="0" w:noHBand="0" w:noVBand="1" w:val="04A0"/>
      </w:tblPr>
      <w:tblGrid>
        <w:gridCol w:w="5083"/>
        <w:gridCol w:w="5083"/>
      </w:tblGrid>
      <w:tr>
        <w:tc>
          <w:tcPr>
            <w:tcW w:type="dxa" w:w="5083"/>
          </w:tcPr>
          <w:p>
            <w:pPr>
              <w:spacing w:after="0"/>
            </w:pPr>
            <w:r/>
            <w:r>
              <w:rPr>
                <w:b/>
              </w:rPr>
              <w:t>Elemento</w:t>
            </w:r>
          </w:p>
        </w:tc>
        <w:tc>
          <w:tcPr>
            <w:tcW w:type="dxa" w:w="5083"/>
          </w:tcPr>
          <w:p>
            <w:pPr>
              <w:spacing w:after="0"/>
            </w:pPr>
            <w:r/>
            <w:r>
              <w:rPr>
                <w:b/>
              </w:rPr>
              <w:t>Cantidad o condición</w:t>
            </w:r>
          </w:p>
        </w:tc>
      </w:tr>
      <w:tr>
        <w:tc>
          <w:tcPr>
            <w:tcW w:type="dxa" w:w="5083"/>
          </w:tcPr>
          <w:p>
            <w:pPr>
              <w:spacing w:after="0"/>
            </w:pPr>
            <w:r/>
            <w:r>
              <w:rPr>
                <w:b w:val="0"/>
              </w:rPr>
              <w:t>Matrícula y cuotas</w:t>
            </w:r>
          </w:p>
        </w:tc>
        <w:tc>
          <w:tcPr>
            <w:tcW w:type="dxa" w:w="5083"/>
          </w:tcPr>
          <w:p>
            <w:pPr>
              <w:spacing w:after="0"/>
            </w:pPr>
            <w:r/>
            <w:r>
              <w:rPr>
                <w:b w:val="0"/>
              </w:rPr>
            </w:r>
          </w:p>
        </w:tc>
      </w:tr>
      <w:tr>
        <w:tc>
          <w:tcPr>
            <w:tcW w:type="dxa" w:w="5083"/>
          </w:tcPr>
          <w:p>
            <w:pPr>
              <w:spacing w:after="0"/>
            </w:pPr>
            <w:r/>
            <w:r>
              <w:rPr>
                <w:b w:val="0"/>
              </w:rPr>
              <w:t>Libros, herramientas y exámenes</w:t>
            </w:r>
          </w:p>
        </w:tc>
        <w:tc>
          <w:tcPr>
            <w:tcW w:type="dxa" w:w="5083"/>
          </w:tcPr>
          <w:p>
            <w:pPr>
              <w:spacing w:after="0"/>
            </w:pPr>
            <w:r/>
            <w:r>
              <w:rPr>
                <w:b w:val="0"/>
              </w:rPr>
            </w:r>
          </w:p>
        </w:tc>
      </w:tr>
      <w:tr>
        <w:tc>
          <w:tcPr>
            <w:tcW w:type="dxa" w:w="5083"/>
          </w:tcPr>
          <w:p>
            <w:pPr>
              <w:spacing w:after="0"/>
            </w:pPr>
            <w:r/>
            <w:r>
              <w:rPr>
                <w:b w:val="0"/>
              </w:rPr>
              <w:t>Viajes, cuidado y pérdida de ingresos</w:t>
            </w:r>
          </w:p>
        </w:tc>
        <w:tc>
          <w:tcPr>
            <w:tcW w:type="dxa" w:w="5083"/>
          </w:tcPr>
          <w:p>
            <w:pPr>
              <w:spacing w:after="0"/>
            </w:pPr>
            <w:r/>
            <w:r>
              <w:rPr>
                <w:b w:val="0"/>
              </w:rPr>
            </w:r>
          </w:p>
        </w:tc>
      </w:tr>
      <w:tr>
        <w:tc>
          <w:tcPr>
            <w:tcW w:type="dxa" w:w="5083"/>
          </w:tcPr>
          <w:p>
            <w:pPr>
              <w:spacing w:after="0"/>
            </w:pPr>
            <w:r/>
            <w:r>
              <w:rPr>
                <w:b w:val="0"/>
              </w:rPr>
              <w:t>Apoyo del empleador o sindicato</w:t>
            </w:r>
          </w:p>
        </w:tc>
        <w:tc>
          <w:tcPr>
            <w:tcW w:type="dxa" w:w="5083"/>
          </w:tcPr>
          <w:p>
            <w:pPr>
              <w:spacing w:after="0"/>
            </w:pPr>
            <w:r/>
            <w:r>
              <w:rPr>
                <w:b w:val="0"/>
              </w:rPr>
            </w:r>
          </w:p>
        </w:tc>
      </w:tr>
      <w:tr>
        <w:tc>
          <w:tcPr>
            <w:tcW w:type="dxa" w:w="5083"/>
          </w:tcPr>
          <w:p>
            <w:pPr>
              <w:spacing w:after="0"/>
            </w:pPr>
            <w:r/>
            <w:r>
              <w:rPr>
                <w:b w:val="0"/>
              </w:rPr>
              <w:t>Servicio y reembolso</w:t>
            </w:r>
          </w:p>
        </w:tc>
        <w:tc>
          <w:tcPr>
            <w:tcW w:type="dxa" w:w="5083"/>
          </w:tcPr>
          <w:p>
            <w:pPr>
              <w:spacing w:after="0"/>
            </w:pPr>
            <w:r/>
            <w:r>
              <w:rPr>
                <w:b w:val="0"/>
              </w:rPr>
            </w:r>
          </w:p>
        </w:tc>
      </w:tr>
      <w:tr>
        <w:tc>
          <w:tcPr>
            <w:tcW w:type="dxa" w:w="5083"/>
          </w:tcPr>
          <w:p>
            <w:pPr>
              <w:spacing w:after="0"/>
            </w:pPr>
            <w:r/>
            <w:r>
              <w:rPr>
                <w:b w:val="0"/>
              </w:rPr>
              <w:t>Opción de salida si no termino</w:t>
            </w:r>
          </w:p>
        </w:tc>
        <w:tc>
          <w:tcPr>
            <w:tcW w:type="dxa" w:w="5083"/>
          </w:tcPr>
          <w:p>
            <w:pPr>
              <w:spacing w:after="0"/>
            </w:pPr>
            <w:r/>
            <w:r>
              <w:rPr>
                <w:b w:val="0"/>
              </w:rPr>
            </w:r>
          </w:p>
        </w:tc>
      </w:tr>
    </w:tbl>
    <w:p>
      <w:pPr>
        <w:pStyle w:val="Heading1"/>
      </w:pPr>
      <w:r>
        <w:t>15. Fuentes, versión y mantenimiento</w:t>
      </w:r>
    </w:p>
    <w:p>
      <w:pPr>
        <w:pStyle w:val="Heading2"/>
      </w:pPr>
      <w:r>
        <w:t>Fuentes oficiales iniciales</w:t>
      </w:r>
    </w:p>
    <w:p>
      <w:pPr>
        <w:pStyle w:val="ListBullet"/>
      </w:pPr>
      <w:r>
        <w:t>https://www.bls.gov/ooh/personal-care-and-service/childcare-workers.htm</w:t>
      </w:r>
    </w:p>
    <w:p>
      <w:pPr>
        <w:pStyle w:val="ListBullet"/>
      </w:pPr>
      <w:r>
        <w:t>https://www.bls.gov/ooh/education-training-and-library/preschool-teachers.htm</w:t>
      </w:r>
    </w:p>
    <w:p>
      <w:pPr>
        <w:pStyle w:val="ListBullet"/>
      </w:pPr>
      <w:r>
        <w:t>https://childcare.gov/consumer-education/child-care-licensing-and-regulations</w:t>
      </w:r>
    </w:p>
    <w:p>
      <w:pPr>
        <w:pStyle w:val="ListBullet"/>
      </w:pPr>
      <w:r>
        <w:t>https://www.irs.gov/credits-deductions/individuals/education-credits-aotc-and-llc</w:t>
      </w:r>
    </w:p>
    <w:p>
      <w:pPr>
        <w:pStyle w:val="ListBullet"/>
      </w:pPr>
      <w:r>
        <w:t>https://www.irs.gov/newsroom/irs-updates-frequently-asked-questions-about-section-127-educational-assistance-programs</w:t>
      </w:r>
    </w:p>
    <w:p>
      <w:pPr>
        <w:pStyle w:val="ListBullet"/>
      </w:pPr>
      <w:r>
        <w:t>https://www.apprenticeship.gov/</w:t>
      </w:r>
    </w:p>
    <w:p>
      <w:pPr>
        <w:pStyle w:val="ListBullet"/>
      </w:pPr>
      <w:r>
        <w:t>https://www.ed.gov/laws-and-policy/civil-rights-laws/disability-discrimination</w:t>
      </w:r>
    </w:p>
    <w:p>
      <w:pPr>
        <w:pStyle w:val="ListBullet"/>
      </w:pPr>
      <w:r>
        <w:t>https://www.dol.gov/agencies/whd</w:t>
      </w:r>
    </w:p>
    <w:p>
      <w:pPr>
        <w:pStyle w:val="Heading2"/>
      </w:pPr>
      <w:r>
        <w:t>Política de publicación y corrección</w:t>
      </w:r>
    </w:p>
    <w:p>
      <w:pPr>
        <w:pStyle w:val="ListBullet"/>
      </w:pPr>
      <w:r>
        <w:t>Estado: candidato de publicación pendiente de revisión del propietario.</w:t>
      </w:r>
    </w:p>
    <w:p>
      <w:pPr>
        <w:pStyle w:val="ListBullet"/>
      </w:pPr>
      <w:r>
        <w:t>Versión: v1.0, primera edición pública después de aprobación.</w:t>
      </w:r>
    </w:p>
    <w:p>
      <w:pPr>
        <w:pStyle w:val="ListBullet"/>
      </w:pPr>
      <w:r>
        <w:t>Los datos de salarios, perspectivas, impuestos, licencias, acreditación, aprendizaje y financiamiento deben revisarse al menos una vez al año.</w:t>
      </w:r>
    </w:p>
    <w:p>
      <w:pPr>
        <w:pStyle w:val="ListBullet"/>
      </w:pPr>
      <w:r>
        <w:t>Errores materiales, enlaces rotos, barreras de accesibilidad y preocupaciones de seguridad deben corregirse rápidamente mediante el proceso de incidencias del repositorio.</w:t>
      </w:r>
    </w:p>
    <w:sectPr w:rsidR="00FC693F" w:rsidRPr="0006063C" w:rsidSect="00034616">
      <w:headerReference w:type="default" r:id="rId9"/>
      <w:footerReference w:type="default" r:id="rId10"/>
      <w:pgSz w:w="12240" w:h="15840"/>
      <w:pgMar w:top="893" w:right="1037" w:bottom="893"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Guías de Oportunidades para Toda la Vida | Asistente de preescolar y trabajador de cuidado infantil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4" w:line="240"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4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80" w:after="20"/>
      <w:outlineLvl w:val="1"/>
    </w:pPr>
    <w:rPr>
      <w:rFonts w:asciiTheme="majorHAnsi" w:eastAsiaTheme="majorEastAsia" w:hAnsiTheme="majorHAnsi" w:cstheme="majorBidi" w:ascii="Aptos" w:hAnsi="Apto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ptos" w:hAnsi="Aptos"/>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14" w:line="240" w:lineRule="auto"/>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14" w:line="240" w:lineRule="auto"/>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