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OPORTUNIDADES AO LONGO DA VIDA</w:t>
      </w:r>
    </w:p>
    <w:p>
      <w:pPr>
        <w:pStyle w:val="Title"/>
        <w:jc w:val="center"/>
      </w:pPr>
      <w:r>
        <w:t>COORDENADOR DE PROJETOS DE TECNOLOGIA DA INFORMAÇÃO</w:t>
      </w:r>
    </w:p>
    <w:p>
      <w:pPr>
        <w:jc w:val="center"/>
      </w:pPr>
      <w:r>
        <w:t>Guia gratuita sobre compatibilidade profissional, educação acessível, acessibilidade, trabalho ético e reinvenção ao longo da vida</w:t>
      </w:r>
    </w:p>
    <w:p>
      <w:pPr>
        <w:jc w:val="center"/>
      </w:pPr>
      <w:r>
        <w:rPr>
          <w:b/>
        </w:rPr>
        <w:t>Alberto (Al) Leiva</w:t>
      </w:r>
    </w:p>
    <w:p>
      <w:pPr>
        <w:jc w:val="center"/>
      </w:pPr>
      <w:r>
        <w:t>Criada e dirigida por Alberto (Al) Leiva</w:t>
        <w:br/>
        <w:t>Pesquisa, organização e edição com assistência do ChatGPT, OpenAI</w:t>
        <w:br/>
        <w:t>Português brasileiro • Versão 1.0 • Julho de 2026</w:t>
      </w:r>
    </w:p>
    <w:p>
      <w:pPr>
        <w:pStyle w:val="Heading1"/>
      </w:pPr>
      <w:r>
        <w:t>A promessa deste guia</w:t>
      </w:r>
    </w:p>
    <w:p>
      <w:r>
        <w:t>Este guia não garante que o trabalho de coordenador de projetos de tecnologia da informação seja adequado para todas as pessoas, nem que educação ou credencial resulte em emprego, salário, promoção, turno ou trabalho remoto. Ele ajuda a compreender o trabalho, verificar requisitos e comparar caminhos com cautela.</w:t>
      </w:r>
    </w:p>
    <w:p>
      <w:pPr>
        <w:pStyle w:val="Heading1"/>
      </w:pPr>
      <w:r>
        <w:t>Por que criei este guia</w:t>
      </w:r>
    </w:p>
    <w:p>
      <w:r>
        <w:t>Criei as Guias de Oportunidades ao Longo da Vida para ampliar acesso à educação e à reinvenção profissional. Vivo com disgrafia e estou no espectro autista; iniciei este projeto aos 70 anos. Isso fortaleceu meu compromisso com linguagem clara, acessibilidade, dignidade, recursos gratuitos primeiro e uso ético da inteligência artificial.</w:t>
      </w:r>
    </w:p>
    <w:p>
      <w:pPr>
        <w:pStyle w:val="Heading1"/>
      </w:pPr>
      <w:r>
        <w:t>Reconhecimento da assistência de IA</w:t>
      </w:r>
    </w:p>
    <w:p>
      <w:r>
        <w:t>Concebi, dirigi e assumo a responsabilidade por esta guia. Usei o ChatGPT da OpenAI para apoiar pesquisa, organização, edição e preparação do documento. A assistência de IA não substitui fontes oficiais, profissionais qualificados nem revisão humana.</w:t>
      </w:r>
    </w:p>
    <w:p>
      <w:pPr>
        <w:pStyle w:val="ListBullet"/>
      </w:pPr>
      <w:r>
        <w:t>Requisitos variam por empregador e jurisdição.</w:t>
      </w:r>
    </w:p>
    <w:p>
      <w:pPr>
        <w:pStyle w:val="ListBullet"/>
      </w:pPr>
      <w:r>
        <w:t>Atue somente dentro de treinamento, autorização, licença, supervisão e política.</w:t>
      </w:r>
    </w:p>
    <w:p>
      <w:pPr>
        <w:pStyle w:val="ListBullet"/>
      </w:pPr>
      <w:r>
        <w:t>Verifique informações atuais antes de gastar dinheiro ou assumir dívida.</w:t>
      </w:r>
    </w:p>
    <w:p>
      <w:pPr>
        <w:pStyle w:val="ListBullet"/>
      </w:pPr>
      <w:r>
        <w:t>Esta guia é educacional e não oferece aconselhamento jurídico, médico, tributário, migratório ou financeiro.</w:t>
      </w:r>
    </w:p>
    <w:p>
      <w:r>
        <w:br w:type="page"/>
      </w:r>
    </w:p>
    <w:p>
      <w:r>
        <w:rPr>
          <w:b/>
          <w:sz w:val="28"/>
        </w:rPr>
        <w:t>Sumário</w:t>
      </w:r>
    </w:p>
    <w:p>
      <w:pPr>
        <w:tabs>
          <w:tab w:pos="9504" w:val="right" w:leader="dot"/>
          <w:tab w:pos="9504" w:val="right" w:leader="dot"/>
        </w:tabs>
        <w:spacing w:after="0"/>
      </w:pPr>
      <w:r>
        <w:t>1. Como usar este guia</w:t>
        <w:tab/>
        <w:t>2</w:t>
      </w:r>
    </w:p>
    <w:p>
      <w:pPr>
        <w:tabs>
          <w:tab w:pos="9504" w:val="right" w:leader="dot"/>
          <w:tab w:pos="9504" w:val="right" w:leader="dot"/>
        </w:tabs>
        <w:spacing w:after="0"/>
        <w:ind w:left="259"/>
      </w:pPr>
      <w:r>
        <w:t>Processo de decisão cuidadoso</w:t>
        <w:tab/>
        <w:t>2</w:t>
      </w:r>
    </w:p>
    <w:p>
      <w:pPr>
        <w:tabs>
          <w:tab w:pos="9504" w:val="right" w:leader="dot"/>
          <w:tab w:pos="9504" w:val="right" w:leader="dot"/>
        </w:tabs>
        <w:spacing w:after="0"/>
      </w:pPr>
      <w:r>
        <w:t>2. O que o trabalho envolve</w:t>
        <w:tab/>
        <w:t>2</w:t>
      </w:r>
    </w:p>
    <w:p>
      <w:pPr>
        <w:tabs>
          <w:tab w:pos="9504" w:val="right" w:leader="dot"/>
          <w:tab w:pos="9504" w:val="right" w:leader="dot"/>
        </w:tabs>
        <w:spacing w:after="0"/>
        <w:ind w:left="259"/>
      </w:pPr>
      <w:r>
        <w:t>Finalidade e ambientes</w:t>
        <w:tab/>
        <w:t>2</w:t>
      </w:r>
    </w:p>
    <w:p>
      <w:pPr>
        <w:tabs>
          <w:tab w:pos="9504" w:val="right" w:leader="dot"/>
          <w:tab w:pos="9504" w:val="right" w:leader="dot"/>
        </w:tabs>
        <w:spacing w:after="0"/>
        <w:ind w:left="259"/>
      </w:pPr>
      <w:r>
        <w:t>Rotina e ciclos de trabalho</w:t>
        <w:tab/>
        <w:t>2</w:t>
      </w:r>
    </w:p>
    <w:p>
      <w:pPr>
        <w:tabs>
          <w:tab w:pos="9504" w:val="right" w:leader="dot"/>
          <w:tab w:pos="9504" w:val="right" w:leader="dot"/>
        </w:tabs>
        <w:spacing w:after="0"/>
      </w:pPr>
      <w:r>
        <w:t>3. Funções, ferramentas e terminologia</w:t>
        <w:tab/>
        <w:t>2</w:t>
      </w:r>
    </w:p>
    <w:p>
      <w:pPr>
        <w:tabs>
          <w:tab w:pos="9504" w:val="right" w:leader="dot"/>
          <w:tab w:pos="9504" w:val="right" w:leader="dot"/>
        </w:tabs>
        <w:spacing w:after="0"/>
        <w:ind w:left="259"/>
      </w:pPr>
      <w:r>
        <w:t>Funções comuns</w:t>
        <w:tab/>
        <w:t>2</w:t>
      </w:r>
    </w:p>
    <w:p>
      <w:pPr>
        <w:tabs>
          <w:tab w:pos="9504" w:val="right" w:leader="dot"/>
          <w:tab w:pos="9504" w:val="right" w:leader="dot"/>
        </w:tabs>
        <w:spacing w:after="0"/>
        <w:ind w:left="259"/>
      </w:pPr>
      <w:r>
        <w:t>Ferramentas e registros</w:t>
        <w:tab/>
        <w:t>2</w:t>
      </w:r>
    </w:p>
    <w:p>
      <w:pPr>
        <w:tabs>
          <w:tab w:pos="9504" w:val="right" w:leader="dot"/>
          <w:tab w:pos="9504" w:val="right" w:leader="dot"/>
        </w:tabs>
        <w:spacing w:after="0"/>
        <w:ind w:left="259"/>
      </w:pPr>
      <w:r>
        <w:t>Definições</w:t>
        <w:tab/>
        <w:t>2</w:t>
      </w:r>
    </w:p>
    <w:p>
      <w:pPr>
        <w:tabs>
          <w:tab w:pos="9504" w:val="right" w:leader="dot"/>
          <w:tab w:pos="9504" w:val="right" w:leader="dot"/>
        </w:tabs>
        <w:spacing w:after="0"/>
      </w:pPr>
      <w:r>
        <w:t>4. Compatibilidade e acessibilidade</w:t>
        <w:tab/>
        <w:t>2</w:t>
      </w:r>
    </w:p>
    <w:p>
      <w:pPr>
        <w:tabs>
          <w:tab w:pos="9504" w:val="right" w:leader="dot"/>
          <w:tab w:pos="9504" w:val="right" w:leader="dot"/>
        </w:tabs>
        <w:spacing w:after="0"/>
        <w:ind w:left="259"/>
      </w:pPr>
      <w:r>
        <w:t>Perguntas de compatibilidade</w:t>
        <w:tab/>
        <w:t>2</w:t>
      </w:r>
    </w:p>
    <w:p>
      <w:pPr>
        <w:tabs>
          <w:tab w:pos="9504" w:val="right" w:leader="dot"/>
          <w:tab w:pos="9504" w:val="right" w:leader="dot"/>
        </w:tabs>
        <w:spacing w:after="0"/>
        <w:ind w:left="259"/>
      </w:pPr>
      <w:r>
        <w:t>Adaptações</w:t>
        <w:tab/>
        <w:t>2</w:t>
      </w:r>
    </w:p>
    <w:p>
      <w:pPr>
        <w:tabs>
          <w:tab w:pos="9504" w:val="right" w:leader="dot"/>
          <w:tab w:pos="9504" w:val="right" w:leader="dot"/>
        </w:tabs>
        <w:spacing w:after="0"/>
      </w:pPr>
      <w:r>
        <w:t>5. Ética, segurança e limites</w:t>
        <w:tab/>
        <w:t>2</w:t>
      </w:r>
    </w:p>
    <w:p>
      <w:pPr>
        <w:tabs>
          <w:tab w:pos="9504" w:val="right" w:leader="dot"/>
          <w:tab w:pos="9504" w:val="right" w:leader="dot"/>
        </w:tabs>
        <w:spacing w:after="0"/>
        <w:ind w:left="259"/>
      </w:pPr>
      <w:r>
        <w:t>Regras para interromper e escalar</w:t>
        <w:tab/>
        <w:t>2</w:t>
      </w:r>
    </w:p>
    <w:p>
      <w:pPr>
        <w:tabs>
          <w:tab w:pos="9504" w:val="right" w:leader="dot"/>
          <w:tab w:pos="9504" w:val="right" w:leader="dot"/>
        </w:tabs>
        <w:spacing w:after="0"/>
      </w:pPr>
      <w:r>
        <w:t>6. Remuneração e pesquisa local</w:t>
        <w:tab/>
        <w:t>2</w:t>
      </w:r>
    </w:p>
    <w:p>
      <w:pPr>
        <w:tabs>
          <w:tab w:pos="9504" w:val="right" w:leader="dot"/>
          <w:tab w:pos="9504" w:val="right" w:leader="dot"/>
        </w:tabs>
        <w:spacing w:after="0"/>
        <w:ind w:left="259"/>
      </w:pPr>
      <w:r>
        <w:t>Pesquisa de mercado</w:t>
        <w:tab/>
        <w:t>2</w:t>
      </w:r>
    </w:p>
    <w:p>
      <w:pPr>
        <w:tabs>
          <w:tab w:pos="9504" w:val="right" w:leader="dot"/>
          <w:tab w:pos="9504" w:val="right" w:leader="dot"/>
        </w:tabs>
        <w:spacing w:after="0"/>
      </w:pPr>
      <w:r>
        <w:t>7. Educação e credenciais</w:t>
        <w:tab/>
        <w:t>2</w:t>
      </w:r>
    </w:p>
    <w:p>
      <w:pPr>
        <w:tabs>
          <w:tab w:pos="9504" w:val="right" w:leader="dot"/>
          <w:tab w:pos="9504" w:val="right" w:leader="dot"/>
        </w:tabs>
        <w:spacing w:after="0"/>
        <w:ind w:left="259"/>
      </w:pPr>
      <w:r>
        <w:t>Verificação antes de pagar</w:t>
        <w:tab/>
        <w:t>2</w:t>
      </w:r>
    </w:p>
    <w:p>
      <w:pPr>
        <w:tabs>
          <w:tab w:pos="9504" w:val="right" w:leader="dot"/>
          <w:tab w:pos="9504" w:val="right" w:leader="dot"/>
        </w:tabs>
        <w:spacing w:after="0"/>
      </w:pPr>
      <w:r>
        <w:t>8. Aprendizagem apoiada pelo empregador</w:t>
        <w:tab/>
        <w:t>2</w:t>
      </w:r>
    </w:p>
    <w:p>
      <w:pPr>
        <w:tabs>
          <w:tab w:pos="9504" w:val="right" w:leader="dot"/>
          <w:tab w:pos="9504" w:val="right" w:leader="dot"/>
        </w:tabs>
        <w:spacing w:after="0"/>
        <w:ind w:left="259"/>
      </w:pPr>
      <w:r>
        <w:t>Acordos de reembolso</w:t>
        <w:tab/>
        <w:t>2</w:t>
      </w:r>
    </w:p>
    <w:p>
      <w:pPr>
        <w:tabs>
          <w:tab w:pos="9504" w:val="right" w:leader="dot"/>
          <w:tab w:pos="9504" w:val="right" w:leader="dot"/>
        </w:tabs>
        <w:spacing w:after="0"/>
      </w:pPr>
      <w:r>
        <w:t>9. Direitos, privacidade, cibersegurança e IA ética</w:t>
        <w:tab/>
        <w:t>2</w:t>
      </w:r>
    </w:p>
    <w:p>
      <w:pPr>
        <w:tabs>
          <w:tab w:pos="9504" w:val="right" w:leader="dot"/>
          <w:tab w:pos="9504" w:val="right" w:leader="dot"/>
        </w:tabs>
        <w:spacing w:after="0"/>
        <w:ind w:left="259"/>
      </w:pPr>
      <w:r>
        <w:t>Uso responsável</w:t>
        <w:tab/>
        <w:t>2</w:t>
      </w:r>
    </w:p>
    <w:p>
      <w:pPr>
        <w:tabs>
          <w:tab w:pos="9504" w:val="right" w:leader="dot"/>
          <w:tab w:pos="9504" w:val="right" w:leader="dot"/>
        </w:tabs>
        <w:spacing w:after="0"/>
      </w:pPr>
      <w:r>
        <w:t>10. Portfólio, currículo e entrevista</w:t>
        <w:tab/>
        <w:t>2</w:t>
      </w:r>
    </w:p>
    <w:p>
      <w:pPr>
        <w:tabs>
          <w:tab w:pos="9504" w:val="right" w:leader="dot"/>
          <w:tab w:pos="9504" w:val="right" w:leader="dot"/>
        </w:tabs>
        <w:spacing w:after="0"/>
        <w:ind w:left="259"/>
      </w:pPr>
      <w:r>
        <w:t>Evidência ética</w:t>
        <w:tab/>
        <w:t>2</w:t>
      </w:r>
    </w:p>
    <w:p>
      <w:pPr>
        <w:tabs>
          <w:tab w:pos="9504" w:val="right" w:leader="dot"/>
          <w:tab w:pos="9504" w:val="right" w:leader="dot"/>
        </w:tabs>
        <w:spacing w:after="0"/>
      </w:pPr>
      <w:r>
        <w:t>11. Avanço e saída</w:t>
        <w:tab/>
        <w:t>2</w:t>
      </w:r>
    </w:p>
    <w:p>
      <w:pPr>
        <w:tabs>
          <w:tab w:pos="9504" w:val="right" w:leader="dot"/>
          <w:tab w:pos="9504" w:val="right" w:leader="dot"/>
        </w:tabs>
        <w:spacing w:after="0"/>
        <w:ind w:left="259"/>
      </w:pPr>
      <w:r>
        <w:t>Trajetória e portabilidade</w:t>
        <w:tab/>
        <w:t>2</w:t>
      </w:r>
    </w:p>
    <w:p>
      <w:pPr>
        <w:tabs>
          <w:tab w:pos="9504" w:val="right" w:leader="dot"/>
          <w:tab w:pos="9504" w:val="right" w:leader="dot"/>
        </w:tabs>
        <w:spacing w:after="0"/>
      </w:pPr>
      <w:r>
        <w:t>12. Antes de matricular-se</w:t>
        <w:tab/>
        <w:t>2</w:t>
      </w:r>
    </w:p>
    <w:p>
      <w:pPr>
        <w:tabs>
          <w:tab w:pos="9504" w:val="right" w:leader="dot"/>
          <w:tab w:pos="9504" w:val="right" w:leader="dot"/>
        </w:tabs>
        <w:spacing w:after="0"/>
        <w:ind w:left="259"/>
      </w:pPr>
      <w:r>
        <w:t>Lista de verificação</w:t>
        <w:tab/>
        <w:t>2</w:t>
      </w:r>
    </w:p>
    <w:p>
      <w:pPr>
        <w:tabs>
          <w:tab w:pos="9504" w:val="right" w:leader="dot"/>
          <w:tab w:pos="9504" w:val="right" w:leader="dot"/>
        </w:tabs>
        <w:spacing w:after="0"/>
      </w:pPr>
      <w:r>
        <w:t>13. Plano de doze semanas</w:t>
        <w:tab/>
        <w:t>2</w:t>
      </w:r>
    </w:p>
    <w:p>
      <w:pPr>
        <w:tabs>
          <w:tab w:pos="9504" w:val="right" w:leader="dot"/>
          <w:tab w:pos="9504" w:val="right" w:leader="dot"/>
        </w:tabs>
        <w:spacing w:after="0"/>
        <w:ind w:left="259"/>
      </w:pPr>
      <w:r>
        <w:t>Plano sequencial</w:t>
        <w:tab/>
        <w:t>2</w:t>
      </w:r>
    </w:p>
    <w:p>
      <w:pPr>
        <w:tabs>
          <w:tab w:pos="9504" w:val="right" w:leader="dot"/>
          <w:tab w:pos="9504" w:val="right" w:leader="dot"/>
        </w:tabs>
        <w:spacing w:after="0"/>
      </w:pPr>
      <w:r>
        <w:t>14. Planilhas de trabalho</w:t>
        <w:tab/>
        <w:t>2</w:t>
      </w:r>
    </w:p>
    <w:p>
      <w:pPr>
        <w:tabs>
          <w:tab w:pos="9504" w:val="right" w:leader="dot"/>
          <w:tab w:pos="9504" w:val="right" w:leader="dot"/>
        </w:tabs>
        <w:spacing w:after="0"/>
        <w:ind w:left="259"/>
      </w:pPr>
      <w:r>
        <w:t>Compatibilidade e custo</w:t>
        <w:tab/>
        <w:t>2</w:t>
      </w:r>
    </w:p>
    <w:p>
      <w:pPr>
        <w:tabs>
          <w:tab w:pos="9504" w:val="right" w:leader="dot"/>
          <w:tab w:pos="9504" w:val="right" w:leader="dot"/>
        </w:tabs>
        <w:spacing w:after="0"/>
      </w:pPr>
      <w:r>
        <w:t>15. Fontes, versão e manutenção</w:t>
        <w:tab/>
        <w:t>2</w:t>
      </w:r>
    </w:p>
    <w:p>
      <w:pPr>
        <w:tabs>
          <w:tab w:pos="9504" w:val="right" w:leader="dot"/>
          <w:tab w:pos="9504" w:val="right" w:leader="dot"/>
        </w:tabs>
        <w:spacing w:after="0"/>
        <w:ind w:left="259"/>
      </w:pPr>
      <w:r>
        <w:t>Política de publicação</w:t>
        <w:tab/>
        <w:t>2</w:t>
      </w:r>
    </w:p>
    <w:p>
      <w:r>
        <w:br w:type="page"/>
      </w:r>
    </w:p>
    <w:p>
      <w:pPr>
        <w:pStyle w:val="Heading1"/>
      </w:pPr>
      <w:r>
        <w:t>1. Como usar este guia</w:t>
      </w:r>
    </w:p>
    <w:p>
      <w:pPr>
        <w:pStyle w:val="Heading2"/>
      </w:pPr>
      <w:r>
        <w:t>Processo de decisão cuidadoso</w:t>
      </w:r>
    </w:p>
    <w:p>
      <w:pPr>
        <w:pStyle w:val="ListBullet"/>
      </w:pPr>
      <w:r>
        <w:t>Comece pelo trabalho real, não pela escola.</w:t>
      </w:r>
    </w:p>
    <w:p>
      <w:pPr>
        <w:pStyle w:val="ListBullet"/>
      </w:pPr>
      <w:r>
        <w:t>Verifique requisitos locais antes de pagar.</w:t>
      </w:r>
    </w:p>
    <w:p>
      <w:pPr>
        <w:pStyle w:val="ListBullet"/>
      </w:pPr>
      <w:r>
        <w:t>Teste interesse com atividades públicas, fictícias ou supervisionadas.</w:t>
      </w:r>
    </w:p>
    <w:p>
      <w:pPr>
        <w:pStyle w:val="ListBullet"/>
      </w:pPr>
      <w:r>
        <w:t>Guarde custos, promessas, adaptações e acordos por escrito.</w:t>
      </w:r>
    </w:p>
    <w:p>
      <w:pPr>
        <w:pStyle w:val="ListBullet"/>
      </w:pPr>
      <w:r>
        <w:t>Pare quando houver risco importante não resolvido.</w:t>
      </w:r>
    </w:p>
    <w:p>
      <w:pPr>
        <w:pStyle w:val="Heading1"/>
      </w:pPr>
      <w:r>
        <w:t>2. O que o trabalho envolve</w:t>
      </w:r>
    </w:p>
    <w:p>
      <w:pPr>
        <w:pStyle w:val="Heading2"/>
      </w:pPr>
      <w:r>
        <w:t>Finalidade e ambientes</w:t>
      </w:r>
    </w:p>
    <w:p>
      <w:r>
        <w:t>O trabalho de coordenador de projetos de tecnologia da informação combina coordenação, documentação, comunicação, tecnologia, controle de qualidade e resposta a exceções. Os ambientes podem incluir organizações públicas, privadas, sem fins lucrativos, agências, fornecedores, clientes e trabalho híbrido ou presencial, conforme a função.</w:t>
      </w:r>
    </w:p>
    <w:p>
      <w:pPr>
        <w:pStyle w:val="Heading2"/>
      </w:pPr>
      <w:r>
        <w:t>Rotina e ciclos de trabalho</w:t>
      </w:r>
    </w:p>
    <w:p>
      <w:pPr>
        <w:pStyle w:val="ListBullet"/>
      </w:pPr>
      <w:r>
        <w:t>Manter cronogramas, marcos, dependências e ações de projetos de TI.</w:t>
      </w:r>
    </w:p>
    <w:p>
      <w:pPr>
        <w:pStyle w:val="ListBullet"/>
      </w:pPr>
      <w:r>
        <w:t>Coordenar reuniões, decisões, riscos, mudanças e comunicação.</w:t>
      </w:r>
    </w:p>
    <w:p>
      <w:pPr>
        <w:pStyle w:val="ListBullet"/>
      </w:pPr>
      <w:r>
        <w:t>Acompanhar fornecedores, orçamento, licenças, ambientes e entregas.</w:t>
      </w:r>
    </w:p>
    <w:p>
      <w:pPr>
        <w:pStyle w:val="ListBullet"/>
      </w:pPr>
      <w:r>
        <w:t>Organizar documentação técnica, aprovações e evidências.</w:t>
      </w:r>
    </w:p>
    <w:p>
      <w:pPr>
        <w:pStyle w:val="ListBullet"/>
      </w:pPr>
      <w:r>
        <w:t>Apoiar testes, implantação, treinamento e transição operacional.</w:t>
      </w:r>
    </w:p>
    <w:p>
      <w:pPr>
        <w:pStyle w:val="ListBullet"/>
      </w:pPr>
      <w:r>
        <w:t>Escalar segurança, recursos, qualidade e bloqueios críticos.</w:t>
      </w:r>
    </w:p>
    <w:p>
      <w:r>
        <w:t>Ciclo 1 - planejamento e preparação: receber a demanda, esclarecer requisitos, organizar recursos, confirmar aprovações e registrar riscos. Ciclo 2 - execução e encerramento: realizar ou acompanhar o trabalho, controlar qualidade, resolver exceções, obter aceite, arquivar evidências e registrar melhorias.</w:t>
      </w:r>
    </w:p>
    <w:p>
      <w:pPr>
        <w:pStyle w:val="Heading1"/>
      </w:pPr>
      <w:r>
        <w:t>3. Funções, ferramentas e terminologia</w:t>
      </w:r>
    </w:p>
    <w:p>
      <w:pPr>
        <w:pStyle w:val="Heading2"/>
      </w:pPr>
      <w:r>
        <w:t>Funções comuns</w:t>
      </w:r>
    </w:p>
    <w:p>
      <w:pPr>
        <w:pStyle w:val="ListBullet"/>
      </w:pPr>
      <w:r>
        <w:t>Manter cronogramas, marcos, dependências e ações de projetos de TI.</w:t>
      </w:r>
    </w:p>
    <w:p>
      <w:pPr>
        <w:pStyle w:val="ListBullet"/>
      </w:pPr>
      <w:r>
        <w:t>Coordenar reuniões, decisões, riscos, mudanças e comunicação.</w:t>
      </w:r>
    </w:p>
    <w:p>
      <w:pPr>
        <w:pStyle w:val="ListBullet"/>
      </w:pPr>
      <w:r>
        <w:t>Acompanhar fornecedores, orçamento, licenças, ambientes e entregas.</w:t>
      </w:r>
    </w:p>
    <w:p>
      <w:pPr>
        <w:pStyle w:val="ListBullet"/>
      </w:pPr>
      <w:r>
        <w:t>Organizar documentação técnica, aprovações e evidências.</w:t>
      </w:r>
    </w:p>
    <w:p>
      <w:pPr>
        <w:pStyle w:val="ListBullet"/>
      </w:pPr>
      <w:r>
        <w:t>Apoiar testes, implantação, treinamento e transição operacional.</w:t>
      </w:r>
    </w:p>
    <w:p>
      <w:pPr>
        <w:pStyle w:val="ListBullet"/>
      </w:pPr>
      <w:r>
        <w:t>Escalar segurança, recursos, qualidade e bloqueios críticos.</w:t>
      </w:r>
    </w:p>
    <w:p>
      <w:pPr>
        <w:pStyle w:val="Heading2"/>
      </w:pPr>
      <w:r>
        <w:t>Ferramentas e registros</w:t>
      </w:r>
    </w:p>
    <w:p>
      <w:pPr>
        <w:pStyle w:val="ListBullet"/>
      </w:pPr>
      <w:r>
        <w:t>software de gestão de projetos e tickets</w:t>
      </w:r>
    </w:p>
    <w:p>
      <w:pPr>
        <w:pStyle w:val="ListBullet"/>
      </w:pPr>
      <w:r>
        <w:t>planilhas, calendários e repositórios de documentos</w:t>
      </w:r>
    </w:p>
    <w:p>
      <w:pPr>
        <w:pStyle w:val="ListBullet"/>
      </w:pPr>
      <w:r>
        <w:t>registros de risco, problema, decisão e mudança</w:t>
      </w:r>
    </w:p>
    <w:p>
      <w:pPr>
        <w:pStyle w:val="ListBullet"/>
      </w:pPr>
      <w:r>
        <w:t>sistemas de compras, orçamento e fornecedores</w:t>
      </w:r>
    </w:p>
    <w:p>
      <w:pPr>
        <w:pStyle w:val="ListBullet"/>
      </w:pPr>
      <w:r>
        <w:t>ferramentas de colaboração, testes e implantação</w:t>
      </w:r>
    </w:p>
    <w:p>
      <w:pPr>
        <w:pStyle w:val="Heading2"/>
      </w:pPr>
      <w:r>
        <w:t>Definições</w:t>
      </w:r>
    </w:p>
    <w:tbl>
      <w:tblPr>
        <w:tblW w:type="auto" w:w="0"/>
        <w:jc w:val="center"/>
        <w:tblLook w:firstColumn="1" w:firstRow="1" w:lastColumn="0" w:lastRow="0" w:noHBand="0" w:noVBand="1" w:val="04A0"/>
      </w:tblPr>
      <w:tblGrid>
        <w:gridCol w:w="5083"/>
        <w:gridCol w:w="5083"/>
      </w:tblGrid>
      <w:tr>
        <w:tc>
          <w:tcPr>
            <w:tcW w:type="dxa" w:w="5083"/>
          </w:tcPr>
          <w:p>
            <w:r>
              <w:t>Termo</w:t>
            </w:r>
          </w:p>
        </w:tc>
        <w:tc>
          <w:tcPr>
            <w:tcW w:type="dxa" w:w="5083"/>
          </w:tcPr>
          <w:p>
            <w:r>
              <w:t>Significado</w:t>
            </w:r>
          </w:p>
        </w:tc>
      </w:tr>
      <w:tr>
        <w:tc>
          <w:tcPr>
            <w:tcW w:type="dxa" w:w="5083"/>
          </w:tcPr>
          <w:p>
            <w:r>
              <w:t>Escopo</w:t>
            </w:r>
          </w:p>
        </w:tc>
        <w:tc>
          <w:tcPr>
            <w:tcW w:type="dxa" w:w="5083"/>
          </w:tcPr>
          <w:p>
            <w:r>
              <w:t>Tarefas permitidas por treinamento, autoridade, contrato e política.</w:t>
            </w:r>
          </w:p>
        </w:tc>
      </w:tr>
      <w:tr>
        <w:tc>
          <w:tcPr>
            <w:tcW w:type="dxa" w:w="5083"/>
          </w:tcPr>
          <w:p>
            <w:r>
              <w:t>Escalonamento</w:t>
            </w:r>
          </w:p>
        </w:tc>
        <w:tc>
          <w:tcPr>
            <w:tcW w:type="dxa" w:w="5083"/>
          </w:tcPr>
          <w:p>
            <w:r>
              <w:t>Encaminhar situação a quem possui autoridade ou competência.</w:t>
            </w:r>
          </w:p>
        </w:tc>
      </w:tr>
      <w:tr>
        <w:tc>
          <w:tcPr>
            <w:tcW w:type="dxa" w:w="5083"/>
          </w:tcPr>
          <w:p>
            <w:r>
              <w:t>Rastreabilidade</w:t>
            </w:r>
          </w:p>
        </w:tc>
        <w:tc>
          <w:tcPr>
            <w:tcW w:type="dxa" w:w="5083"/>
          </w:tcPr>
          <w:p>
            <w:r>
              <w:t>Capacidade de reconstruir origem, alteração, aprovação e resultado.</w:t>
            </w:r>
          </w:p>
        </w:tc>
      </w:tr>
      <w:tr>
        <w:tc>
          <w:tcPr>
            <w:tcW w:type="dxa" w:w="5083"/>
          </w:tcPr>
          <w:p>
            <w:r>
              <w:t>Controle de versão</w:t>
            </w:r>
          </w:p>
        </w:tc>
        <w:tc>
          <w:tcPr>
            <w:tcW w:type="dxa" w:w="5083"/>
          </w:tcPr>
          <w:p>
            <w:r>
              <w:t>Método para identificar qual conteúdo ou arquivo está vigente.</w:t>
            </w:r>
          </w:p>
        </w:tc>
      </w:tr>
    </w:tbl>
    <w:p>
      <w:pPr>
        <w:pStyle w:val="Heading1"/>
      </w:pPr>
      <w:r>
        <w:t>4. Compatibilidade e acessibilidade</w:t>
      </w:r>
    </w:p>
    <w:p>
      <w:pPr>
        <w:pStyle w:val="Heading2"/>
      </w:pPr>
      <w:r>
        <w:t>Perguntas de compatibilidade</w:t>
      </w:r>
    </w:p>
    <w:p>
      <w:pPr>
        <w:pStyle w:val="ListBullet"/>
      </w:pPr>
      <w:r>
        <w:t>Consigo realizar ou adaptar as tarefas essenciais com segurança?</w:t>
      </w:r>
    </w:p>
    <w:p>
      <w:pPr>
        <w:pStyle w:val="ListBullet"/>
      </w:pPr>
      <w:r>
        <w:t>Tolero ritmo, prazos, contato humano, tela e mudanças de prioridade?</w:t>
      </w:r>
    </w:p>
    <w:p>
      <w:pPr>
        <w:pStyle w:val="ListBullet"/>
      </w:pPr>
      <w:r>
        <w:t>Horário, transporte e responsabilidades familiares são compatíveis?</w:t>
      </w:r>
    </w:p>
    <w:p>
      <w:pPr>
        <w:pStyle w:val="ListBullet"/>
      </w:pPr>
      <w:r>
        <w:t>A remuneração provável justifica o custo de formação?</w:t>
      </w:r>
    </w:p>
    <w:p>
      <w:pPr>
        <w:pStyle w:val="Heading2"/>
      </w:pPr>
      <w:r>
        <w:t>Adaptações</w:t>
      </w:r>
    </w:p>
    <w:p>
      <w:r>
        <w:t>Pergunte separadamente sobre adaptações na admissão, aulas, prática, emprego e exames. Considere tecnologia assistiva, ergonomia, comunicação acessível, legendas, intérprete, pausas, espaço silencioso e métodos alternativos permitidos.</w:t>
      </w:r>
    </w:p>
    <w:p>
      <w:pPr>
        <w:pStyle w:val="Heading1"/>
      </w:pPr>
      <w:r>
        <w:t>5. Ética, segurança e limites</w:t>
      </w:r>
    </w:p>
    <w:p>
      <w:pPr>
        <w:pStyle w:val="Heading2"/>
      </w:pPr>
      <w:r>
        <w:t>Regras para interromper e escalar</w:t>
      </w:r>
    </w:p>
    <w:p>
      <w:pPr>
        <w:pStyle w:val="ListBullet"/>
      </w:pPr>
      <w:r>
        <w:t>Não declarar marco concluído sem evidência.</w:t>
      </w:r>
    </w:p>
    <w:p>
      <w:pPr>
        <w:pStyle w:val="ListBullet"/>
      </w:pPr>
      <w:r>
        <w:t>Não alterar escopo, orçamento ou produção sem aprovação.</w:t>
      </w:r>
    </w:p>
    <w:p>
      <w:pPr>
        <w:pStyle w:val="ListBullet"/>
      </w:pPr>
      <w:r>
        <w:t>Não divulgar informações técnicas sensíveis.</w:t>
      </w:r>
    </w:p>
    <w:p>
      <w:pPr>
        <w:pStyle w:val="ListBullet"/>
      </w:pPr>
      <w:r>
        <w:t>Escalar incidente de segurança, risco de continuidade e dependência crítica.</w:t>
      </w:r>
    </w:p>
    <w:p>
      <w:r>
        <w:t>Considere riscos de violência, fadiga, estresse moral, ergonomia, deslocamento, trabalho isolado, conteúdo perturbador, assédio e pressão por metas. Documente fatos e preserve evidências sem retaliar ou alterar registros.</w:t>
      </w:r>
    </w:p>
    <w:p>
      <w:pPr>
        <w:pStyle w:val="Heading1"/>
      </w:pPr>
      <w:r>
        <w:t>6. Remuneração e pesquisa local</w:t>
      </w:r>
    </w:p>
    <w:p>
      <w:pPr>
        <w:pStyle w:val="Heading2"/>
      </w:pPr>
      <w:r>
        <w:t>Pesquisa de mercado</w:t>
      </w:r>
    </w:p>
    <w:p>
      <w:r>
        <w:t>Consulte o Occupational Outlook Handbook do Bureau of Labor Statistics dos Estados Unidos e fontes locais. Títulos próximos podem ter salários e requisitos diferentes. Analise pelo menos 25 vagas e compare salário, horas extras, comissões, benefícios, estabilidade, ferramentas, transporte e custos não pagos.</w:t>
      </w:r>
    </w:p>
    <w:p>
      <w:pPr>
        <w:pStyle w:val="Heading1"/>
      </w:pPr>
      <w:r>
        <w:t>7. Educação e credenciais</w:t>
      </w:r>
    </w:p>
    <w:p>
      <w:pPr>
        <w:pStyle w:val="Heading2"/>
      </w:pPr>
      <w:r>
        <w:t>Verificação antes de pagar</w:t>
      </w:r>
    </w:p>
    <w:p>
      <w:pPr>
        <w:pStyle w:val="ListBullet"/>
      </w:pPr>
      <w:r>
        <w:t>Separar exigência legal de preferência do empregador.</w:t>
      </w:r>
    </w:p>
    <w:p>
      <w:pPr>
        <w:pStyle w:val="ListBullet"/>
      </w:pPr>
      <w:r>
        <w:t>Confirmar acreditação e aprovação quando aplicável.</w:t>
      </w:r>
    </w:p>
    <w:p>
      <w:pPr>
        <w:pStyle w:val="ListBullet"/>
      </w:pPr>
      <w:r>
        <w:t>Verificar transferência de créditos, portabilidade e reconhecimento.</w:t>
      </w:r>
    </w:p>
    <w:p>
      <w:pPr>
        <w:pStyle w:val="ListBullet"/>
      </w:pPr>
      <w:r>
        <w:t>Comparar conclusão, dívida, colocação, reembolso, fechamento e reclamações.</w:t>
      </w:r>
    </w:p>
    <w:p>
      <w:pPr>
        <w:pStyle w:val="ListBullet"/>
      </w:pPr>
      <w:r>
        <w:t>Priorizar faculdade pública, escola técnica pública, empregador, sindicato e aprendizagem registrada.</w:t>
      </w:r>
    </w:p>
    <w:p>
      <w:pPr>
        <w:pStyle w:val="Heading1"/>
      </w:pPr>
      <w:r>
        <w:t>8. Aprendizagem apoiada pelo empregador</w:t>
      </w:r>
    </w:p>
    <w:p>
      <w:pPr>
        <w:pStyle w:val="Heading2"/>
      </w:pPr>
      <w:r>
        <w:t>Acordos de reembolso</w:t>
      </w:r>
    </w:p>
    <w:p>
      <w:pPr>
        <w:pStyle w:val="ListBullet"/>
      </w:pPr>
      <w:r>
        <w:t>Obtenha por escrito o que será pago e quais notas ou aprovações são exigidas.</w:t>
      </w:r>
    </w:p>
    <w:p>
      <w:pPr>
        <w:pStyle w:val="ListBullet"/>
      </w:pPr>
      <w:r>
        <w:t>O compromisso pode exigir até dois anos de serviço e reembolso proporcional.</w:t>
      </w:r>
    </w:p>
    <w:p>
      <w:pPr>
        <w:pStyle w:val="ListBullet"/>
      </w:pPr>
      <w:r>
        <w:t>Negocie dispensa em caso de demissão, eliminação do cargo, fechamento ou reestruturação.</w:t>
      </w:r>
    </w:p>
    <w:p>
      <w:pPr>
        <w:pStyle w:val="ListBullet"/>
      </w:pPr>
      <w:r>
        <w:t>A lei local controla deduções e validade do acordo.</w:t>
      </w:r>
    </w:p>
    <w:p>
      <w:pPr>
        <w:pStyle w:val="ListBullet"/>
      </w:pPr>
      <w:r>
        <w:t>Benefício educacional não garante promoção, salário ou continuidade.</w:t>
      </w:r>
    </w:p>
    <w:p>
      <w:pPr>
        <w:pStyle w:val="Heading1"/>
      </w:pPr>
      <w:r>
        <w:t>9. Direitos, privacidade, cibersegurança e IA ética</w:t>
      </w:r>
    </w:p>
    <w:p>
      <w:pPr>
        <w:pStyle w:val="Heading2"/>
      </w:pPr>
      <w:r>
        <w:t>Uso responsável</w:t>
      </w:r>
    </w:p>
    <w:p>
      <w:pPr>
        <w:pStyle w:val="ListBullet"/>
      </w:pPr>
      <w:r>
        <w:t>Proteja dados pessoais, comerciais e do empregador.</w:t>
      </w:r>
    </w:p>
    <w:p>
      <w:pPr>
        <w:pStyle w:val="ListBullet"/>
      </w:pPr>
      <w:r>
        <w:t>Use autenticação forte e acesso mínimo necessário.</w:t>
      </w:r>
    </w:p>
    <w:p>
      <w:pPr>
        <w:pStyle w:val="ListBullet"/>
      </w:pPr>
      <w:r>
        <w:t>Não copie dados confidenciais para IA pública, e-mail pessoal ou dispositivo não aprovado.</w:t>
      </w:r>
    </w:p>
    <w:p>
      <w:pPr>
        <w:pStyle w:val="ListBullet"/>
      </w:pPr>
      <w:r>
        <w:t>Verifique resultados de IA e documente revisão humana.</w:t>
      </w:r>
    </w:p>
    <w:p>
      <w:pPr>
        <w:pStyle w:val="ListBullet"/>
      </w:pPr>
      <w:r>
        <w:t>Não invente credenciais, registros, referências, métricas ou resultados.</w:t>
      </w:r>
    </w:p>
    <w:p>
      <w:pPr>
        <w:pStyle w:val="Heading1"/>
      </w:pPr>
      <w:r>
        <w:t>10. Portfólio, currículo e entrevista</w:t>
      </w:r>
    </w:p>
    <w:p>
      <w:pPr>
        <w:pStyle w:val="Heading2"/>
      </w:pPr>
      <w:r>
        <w:t>Evidência ética</w:t>
      </w:r>
    </w:p>
    <w:p>
      <w:pPr>
        <w:pStyle w:val="ListBullet"/>
      </w:pPr>
      <w:r>
        <w:t>Crie amostra fictícia apropriada à ocupação.</w:t>
      </w:r>
    </w:p>
    <w:p>
      <w:pPr>
        <w:pStyle w:val="ListBullet"/>
      </w:pPr>
      <w:r>
        <w:t>Use apenas dados públicos, fictícios ou totalmente anonimizados.</w:t>
      </w:r>
    </w:p>
    <w:p>
      <w:pPr>
        <w:pStyle w:val="ListBullet"/>
      </w:pPr>
      <w:r>
        <w:t>Explique tarefa, método, controle, resultado e escalonamento.</w:t>
      </w:r>
    </w:p>
    <w:p>
      <w:pPr>
        <w:pStyle w:val="ListBullet"/>
      </w:pPr>
      <w:r>
        <w:t>No currículo, descreva somente experiência e credenciais comprováveis.</w:t>
      </w:r>
    </w:p>
    <w:p>
      <w:pPr>
        <w:pStyle w:val="Heading1"/>
      </w:pPr>
      <w:r>
        <w:t>11. Avanço e saída</w:t>
      </w:r>
    </w:p>
    <w:p>
      <w:pPr>
        <w:pStyle w:val="Heading2"/>
      </w:pPr>
      <w:r>
        <w:t>Trajetória e portabilidade</w:t>
      </w:r>
    </w:p>
    <w:p>
      <w:r>
        <w:t>A progressão pode incluir função inicial, especialização, coordenação sênior, qualidade, treinamento, gestão ou ocupação adjacente. Guarde certificados, projetos, avaliações e acordos. Planeje alternativas caso saúde, família, mercado, tecnologia ou requisitos mudem.</w:t>
      </w:r>
    </w:p>
    <w:p>
      <w:pPr>
        <w:pStyle w:val="Heading1"/>
      </w:pPr>
      <w:r>
        <w:t>12. Antes de matricular-se</w:t>
      </w:r>
    </w:p>
    <w:p>
      <w:pPr>
        <w:pStyle w:val="Heading2"/>
      </w:pPr>
      <w:r>
        <w:t>Lista de verificação</w:t>
      </w:r>
    </w:p>
    <w:p>
      <w:pPr>
        <w:pStyle w:val="ListBullet"/>
      </w:pPr>
      <w:r>
        <w:t>Requisitos legais verificados.</w:t>
      </w:r>
    </w:p>
    <w:p>
      <w:pPr>
        <w:pStyle w:val="ListBullet"/>
      </w:pPr>
      <w:r>
        <w:t>Custo total calculado.</w:t>
      </w:r>
    </w:p>
    <w:p>
      <w:pPr>
        <w:pStyle w:val="ListBullet"/>
      </w:pPr>
      <w:r>
        <w:t>Acessibilidade confirmada.</w:t>
      </w:r>
    </w:p>
    <w:p>
      <w:pPr>
        <w:pStyle w:val="ListBullet"/>
      </w:pPr>
      <w:r>
        <w:t>Prática, supervisão e seguro por escrito.</w:t>
      </w:r>
    </w:p>
    <w:p>
      <w:pPr>
        <w:pStyle w:val="ListBullet"/>
      </w:pPr>
      <w:r>
        <w:t>Reembolso, saída e acesso a registros compreendidos.</w:t>
      </w:r>
    </w:p>
    <w:p>
      <w:pPr>
        <w:pStyle w:val="ListBullet"/>
      </w:pPr>
      <w:r>
        <w:t>Nenhuma promessa de emprego tratada como garantia.</w:t>
      </w:r>
    </w:p>
    <w:p>
      <w:pPr>
        <w:pStyle w:val="Heading1"/>
      </w:pPr>
      <w:r>
        <w:t>13. Plano de doze semanas</w:t>
      </w:r>
    </w:p>
    <w:p>
      <w:pPr>
        <w:pStyle w:val="Heading2"/>
      </w:pPr>
      <w:r>
        <w:t>Plano sequencial</w:t>
      </w:r>
    </w:p>
    <w:p>
      <w:pPr>
        <w:pStyle w:val="ListNumber"/>
      </w:pPr>
      <w:r>
        <w:t>Semanas 1-2: Defina objetivos, limites, acessibilidade, horário e transporte.</w:t>
      </w:r>
    </w:p>
    <w:p>
      <w:pPr>
        <w:pStyle w:val="ListNumber"/>
      </w:pPr>
      <w:r>
        <w:t>Semanas 3-4: Estude funções, ferramentas, riscos e escopo.</w:t>
      </w:r>
    </w:p>
    <w:p>
      <w:pPr>
        <w:pStyle w:val="ListNumber"/>
      </w:pPr>
      <w:r>
        <w:t>Semanas 5-6: Analise vagas, salários, benefícios e requisitos locais.</w:t>
      </w:r>
    </w:p>
    <w:p>
      <w:pPr>
        <w:pStyle w:val="ListNumber"/>
      </w:pPr>
      <w:r>
        <w:t>Semanas 7-8: Compare caminhos públicos, empregadores, aprendizagem e credenciais.</w:t>
      </w:r>
    </w:p>
    <w:p>
      <w:pPr>
        <w:pStyle w:val="ListNumber"/>
      </w:pPr>
      <w:r>
        <w:t>Semanas 9-10: Verifique financiamento, acordos, licenças e consequências de saída.</w:t>
      </w:r>
    </w:p>
    <w:p>
      <w:pPr>
        <w:pStyle w:val="ListNumber"/>
      </w:pPr>
      <w:r>
        <w:t>Semanas 11-12: Produza amostra ética, atualize currículo, pratique entrevista e decida.</w:t>
      </w:r>
    </w:p>
    <w:p>
      <w:pPr>
        <w:pStyle w:val="Heading1"/>
      </w:pPr>
      <w:r>
        <w:t>14. Planilhas de trabalho</w:t>
      </w:r>
    </w:p>
    <w:p>
      <w:pPr>
        <w:pStyle w:val="Heading2"/>
      </w:pPr>
      <w:r>
        <w:t>Compatibilidade e custo</w:t>
      </w:r>
    </w:p>
    <w:tbl>
      <w:tblPr>
        <w:tblW w:type="auto" w:w="0"/>
        <w:jc w:val="center"/>
        <w:tblLook w:firstColumn="1" w:firstRow="1" w:lastColumn="0" w:lastRow="0" w:noHBand="0" w:noVBand="1" w:val="04A0"/>
      </w:tblPr>
      <w:tblGrid>
        <w:gridCol w:w="5083"/>
        <w:gridCol w:w="5083"/>
      </w:tblGrid>
      <w:tr>
        <w:tc>
          <w:tcPr>
            <w:tcW w:type="dxa" w:w="5083"/>
          </w:tcPr>
          <w:p>
            <w:r>
              <w:t>Pergunta</w:t>
            </w:r>
          </w:p>
        </w:tc>
        <w:tc>
          <w:tcPr>
            <w:tcW w:type="dxa" w:w="5083"/>
          </w:tcPr>
          <w:p>
            <w:r>
              <w:t>Anotações</w:t>
            </w:r>
          </w:p>
        </w:tc>
      </w:tr>
      <w:tr>
        <w:tc>
          <w:tcPr>
            <w:tcW w:type="dxa" w:w="5083"/>
          </w:tcPr>
          <w:p>
            <w:r>
              <w:t>Tarefas compatíveis</w:t>
            </w:r>
          </w:p>
        </w:tc>
        <w:tc>
          <w:tcPr>
            <w:tcW w:type="dxa" w:w="5083"/>
          </w:tcPr>
          <w:p>
            <w:r/>
          </w:p>
        </w:tc>
      </w:tr>
      <w:tr>
        <w:tc>
          <w:tcPr>
            <w:tcW w:type="dxa" w:w="5083"/>
          </w:tcPr>
          <w:p>
            <w:r>
              <w:t>Riscos ou condições a evitar</w:t>
            </w:r>
          </w:p>
        </w:tc>
        <w:tc>
          <w:tcPr>
            <w:tcW w:type="dxa" w:w="5083"/>
          </w:tcPr>
          <w:p>
            <w:r/>
          </w:p>
        </w:tc>
      </w:tr>
      <w:tr>
        <w:tc>
          <w:tcPr>
            <w:tcW w:type="dxa" w:w="5083"/>
          </w:tcPr>
          <w:p>
            <w:r>
              <w:t>Necessidades de adaptação</w:t>
            </w:r>
          </w:p>
        </w:tc>
        <w:tc>
          <w:tcPr>
            <w:tcW w:type="dxa" w:w="5083"/>
          </w:tcPr>
          <w:p>
            <w:r/>
          </w:p>
        </w:tc>
      </w:tr>
      <w:tr>
        <w:tc>
          <w:tcPr>
            <w:tcW w:type="dxa" w:w="5083"/>
          </w:tcPr>
          <w:p>
            <w:r>
              <w:t>Custo total e financiamento</w:t>
            </w:r>
          </w:p>
        </w:tc>
        <w:tc>
          <w:tcPr>
            <w:tcW w:type="dxa" w:w="5083"/>
          </w:tcPr>
          <w:p>
            <w:r/>
          </w:p>
        </w:tc>
      </w:tr>
      <w:tr>
        <w:tc>
          <w:tcPr>
            <w:tcW w:type="dxa" w:w="5083"/>
          </w:tcPr>
          <w:p>
            <w:r>
              <w:t>Plano de saída</w:t>
            </w:r>
          </w:p>
        </w:tc>
        <w:tc>
          <w:tcPr>
            <w:tcW w:type="dxa" w:w="5083"/>
          </w:tcPr>
          <w:p>
            <w:r/>
          </w:p>
        </w:tc>
      </w:tr>
    </w:tbl>
    <w:p>
      <w:pPr>
        <w:pStyle w:val="Heading1"/>
      </w:pPr>
      <w:r>
        <w:t>15. Fontes, versão e manutenção</w:t>
      </w:r>
    </w:p>
    <w:p>
      <w:pPr>
        <w:pStyle w:val="Heading2"/>
      </w:pPr>
      <w:r>
        <w:t>Política de publicação</w:t>
      </w:r>
    </w:p>
    <w:p>
      <w:pPr>
        <w:pStyle w:val="ListBullet"/>
      </w:pPr>
      <w:r>
        <w:t>https://www.bls.gov/ooh/</w:t>
      </w:r>
    </w:p>
    <w:p>
      <w:pPr>
        <w:pStyle w:val="ListBullet"/>
      </w:pPr>
      <w:r>
        <w:t>https://www.apprenticeship.gov/</w:t>
      </w:r>
    </w:p>
    <w:p>
      <w:pPr>
        <w:pStyle w:val="ListBullet"/>
      </w:pPr>
      <w:r>
        <w:t>https://www.ed.gov/</w:t>
      </w:r>
    </w:p>
    <w:p>
      <w:pPr>
        <w:pStyle w:val="ListBullet"/>
      </w:pPr>
      <w:r>
        <w:t>https://www.dol.gov/agencies/whd</w:t>
      </w:r>
    </w:p>
    <w:p>
      <w:pPr>
        <w:pStyle w:val="ListBullet"/>
      </w:pPr>
      <w:r>
        <w:t>https://www.irs.gov/credits-deductions/individuals/education-credits-aotc-and-llc</w:t>
      </w:r>
    </w:p>
    <w:p>
      <w:pPr>
        <w:pStyle w:val="ListBullet"/>
      </w:pPr>
      <w:r>
        <w:t>https://www.irs.gov/newsroom/irs-updates-frequently-asked-questions-about-section-127-educational-assistance-programs</w:t>
      </w:r>
    </w:p>
    <w:p>
      <w:r>
        <w:t>Status: candidato a publicação, pendente de revisão do proprietário. Versão 1.0. Revisar anualmente salários, perspectivas, licenças, acreditação, impostos, aprendizagem e financiamento. Licença CC BY-NC-SA 4.0.</w:t>
      </w:r>
    </w:p>
    <w:sectPr w:rsidR="00FC693F" w:rsidRPr="0006063C" w:rsidSect="00034616">
      <w:headerReference w:type="default" r:id="rId9"/>
      <w:footerReference w:type="default" r:id="rId10"/>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Guias de Oportunidades ao Longo da Vida | Coordenador de Projetos de Tecnologia da Informação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40" w:lineRule="auto"/>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4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40"/>
      <w:outlineLvl w:val="1"/>
    </w:pPr>
    <w:rPr>
      <w:rFonts w:asciiTheme="majorHAnsi" w:eastAsiaTheme="majorEastAsia" w:hAnsiTheme="majorHAnsi" w:cstheme="majorBidi" w:ascii="Aptos" w:hAnsi="Aptos"/>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40" w:line="240" w:lineRule="auto"/>
      <w:contextualSpacing/>
    </w:pPr>
    <w:rPr>
      <w:rFonts w:asciiTheme="majorHAnsi" w:eastAsiaTheme="majorEastAsia" w:hAnsiTheme="majorHAnsi" w:cstheme="majorBidi" w:ascii="Aptos" w:hAnsi="Aptos"/>
      <w:b/>
      <w:color w:val="17365D" w:themeColor="text2" w:themeShade="BF"/>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4"/>
      <w:contextualSpacing/>
    </w:pPr>
    <w:rPr>
      <w:rFonts w:ascii="Aptos" w:hAnsi="Aptos"/>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4"/>
      <w:contextualSpacing/>
    </w:pPr>
    <w:rPr>
      <w:rFonts w:ascii="Aptos" w:hAnsi="Aptos"/>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