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guía-01--trabajador-comunitario-de-salud"/>
    <w:p>
      <w:pPr>
        <w:pStyle w:val="Heading1"/>
      </w:pPr>
      <w:r>
        <w:t xml:space="preserve">Guía 01 — Trabajador comunitario de salud</w:t>
      </w:r>
    </w:p>
    <w:p>
      <w:pPr>
        <w:pStyle w:val="FirstParagraph"/>
      </w:pPr>
      <w:r>
        <w:rPr>
          <w:bCs/>
          <w:b/>
        </w:rPr>
        <w:t xml:space="preserve">Maestro de trabajo controlado en español latinoamericano neutro — versión 1.1-borrador</w:t>
      </w:r>
      <w:r>
        <w:br/>
      </w:r>
      <w:r>
        <w:rPr>
          <w:bCs/>
          <w:b/>
        </w:rPr>
        <w:t xml:space="preserve">Fecha de revisión:</w:t>
      </w:r>
      <w:r>
        <w:t xml:space="preserve"> </w:t>
      </w:r>
      <w:r>
        <w:t xml:space="preserve">5 de agosto de 2026</w:t>
      </w:r>
      <w:r>
        <w:t xml:space="preserve"> </w:t>
      </w:r>
      <w:r>
        <w:rPr>
          <w:bCs/>
          <w:b/>
        </w:rPr>
        <w:t xml:space="preserve">Audiencia:</w:t>
      </w:r>
      <w:r>
        <w:t xml:space="preserve"> </w:t>
      </w:r>
      <w:r>
        <w:t xml:space="preserve">Personas adultas que exploran vías de ingreso, transición o avance en el trabajo comunitario de salud</w:t>
      </w:r>
      <w:r>
        <w:br/>
      </w:r>
      <w:r>
        <w:rPr>
          <w:bCs/>
          <w:b/>
        </w:rPr>
        <w:t xml:space="preserve">Estado:</w:t>
      </w:r>
      <w:r>
        <w:t xml:space="preserve"> </w:t>
      </w:r>
      <w:r>
        <w:t xml:space="preserve">Maestro sustantivo en español es-419 completado a partir del maestro controlado en inglés y del registro terminológico trilingüe. La integración trilingüe, la revisión editorial oración por oración, la revisión de paridad estructural y seguridad, la normalización terminológica, la conciliación de estimaciones de ingresos y la revisión controlada de enlaces están registradas. La congelación editorial y terminológica trilingüe está completa. Aún están pendientes la validación final de enlaces en vivo y estimaciones de mercado fechadas, la generación de DOCX/PDF, los metadatos, las sumas de comprobación, la representación de páginas y el control de calidad de publicación.</w:t>
      </w:r>
    </w:p>
    <w:p>
      <w:pPr>
        <w:pStyle w:val="BlockText"/>
      </w:pPr>
      <w:r>
        <w:t xml:space="preserve">Esta guía ofrece información general sobre carreras y educación. Los requisitos varían según el país, estado, provincia, territorio, empleador, programa de financiación y nombre del puesto. No proporciona asesoría médica, jurídica, migratoria, de licenciamiento, acreditación o financiera. Completar un curso, certificado, pasantía, aprendizaje formal o servicio voluntario no garantiza empleo, certificación, registro, licencia, ascenso ni ingresos.</w:t>
      </w:r>
    </w:p>
    <w:bookmarkStart w:id="20" w:name="Xa1e8637bbba3171967e63a105bac48d22b2aa6c"/>
    <w:p>
      <w:pPr>
        <w:pStyle w:val="Heading2"/>
      </w:pPr>
      <w:r>
        <w:t xml:space="preserve">1. Qué hace un trabajador comunitario de salud</w:t>
      </w:r>
    </w:p>
    <w:p>
      <w:pPr>
        <w:pStyle w:val="FirstParagraph"/>
      </w:pPr>
      <w:r>
        <w:t xml:space="preserve">Un trabajador comunitario de salud ayuda a las personas a conectarse con la atención sanitaria, los programas de salud pública, los servicios sociales y los recursos prácticos de la comunidad. El cargo se basa en la confianza, la comprensión cultural, la comunicación y el conocimiento de la comunidad atendida.</w:t>
      </w:r>
    </w:p>
    <w:p>
      <w:pPr>
        <w:pStyle w:val="BodyText"/>
      </w:pPr>
      <w:r>
        <w:t xml:space="preserve">Los títulos comunes incluyen:</w:t>
      </w:r>
    </w:p>
    <w:p>
      <w:pPr>
        <w:numPr>
          <w:ilvl w:val="0"/>
          <w:numId w:val="1001"/>
        </w:numPr>
        <w:pStyle w:val="Compact"/>
      </w:pPr>
      <w:r>
        <w:t xml:space="preserve">trabajador comunitario de salud;</w:t>
      </w:r>
    </w:p>
    <w:p>
      <w:pPr>
        <w:numPr>
          <w:ilvl w:val="0"/>
          <w:numId w:val="1001"/>
        </w:numPr>
        <w:pStyle w:val="Compact"/>
      </w:pPr>
      <w:r>
        <w:t xml:space="preserve">promotora o promotor de salud;</w:t>
      </w:r>
    </w:p>
    <w:p>
      <w:pPr>
        <w:numPr>
          <w:ilvl w:val="0"/>
          <w:numId w:val="1001"/>
        </w:numPr>
        <w:pStyle w:val="Compact"/>
      </w:pPr>
      <w:r>
        <w:t xml:space="preserve">navegador de pares;</w:t>
      </w:r>
    </w:p>
    <w:p>
      <w:pPr>
        <w:numPr>
          <w:ilvl w:val="0"/>
          <w:numId w:val="1001"/>
        </w:numPr>
        <w:pStyle w:val="Compact"/>
      </w:pPr>
      <w:r>
        <w:t xml:space="preserve">navegador de pacientes;</w:t>
      </w:r>
    </w:p>
    <w:p>
      <w:pPr>
        <w:numPr>
          <w:ilvl w:val="0"/>
          <w:numId w:val="1001"/>
        </w:numPr>
        <w:pStyle w:val="Compact"/>
      </w:pPr>
      <w:r>
        <w:t xml:space="preserve">trabajador de alcance comunitario;</w:t>
      </w:r>
    </w:p>
    <w:p>
      <w:pPr>
        <w:numPr>
          <w:ilvl w:val="0"/>
          <w:numId w:val="1001"/>
        </w:numPr>
        <w:pStyle w:val="Compact"/>
      </w:pPr>
      <w:r>
        <w:t xml:space="preserve">representante comunitario de salud;</w:t>
      </w:r>
    </w:p>
    <w:p>
      <w:pPr>
        <w:numPr>
          <w:ilvl w:val="0"/>
          <w:numId w:val="1001"/>
        </w:numPr>
        <w:pStyle w:val="Compact"/>
      </w:pPr>
      <w:r>
        <w:t xml:space="preserve">asesor comunitario de salud;</w:t>
      </w:r>
    </w:p>
    <w:p>
      <w:pPr>
        <w:numPr>
          <w:ilvl w:val="0"/>
          <w:numId w:val="1001"/>
        </w:numPr>
        <w:pStyle w:val="Compact"/>
      </w:pPr>
      <w:r>
        <w:t xml:space="preserve">orientador de salud;</w:t>
      </w:r>
    </w:p>
    <w:p>
      <w:pPr>
        <w:numPr>
          <w:ilvl w:val="0"/>
          <w:numId w:val="1001"/>
        </w:numPr>
        <w:pStyle w:val="Compact"/>
      </w:pPr>
      <w:r>
        <w:t xml:space="preserve">trabajador de apoyo familiar o comunitario.</w:t>
      </w:r>
    </w:p>
    <w:p>
      <w:pPr>
        <w:pStyle w:val="FirstParagraph"/>
      </w:pPr>
      <w:r>
        <w:t xml:space="preserve">Los títulos no son uniformes. Dos empleadores pueden usar el mismo título para funciones diferentes, y dos trabajadores pueden desempeñar tareas similares con títulos distintos. Siempre lea la descripción del puesto y verifique los requisitos locales.</w:t>
      </w:r>
    </w:p>
    <w:p>
      <w:pPr>
        <w:pStyle w:val="BodyText"/>
      </w:pPr>
      <w:r>
        <w:t xml:space="preserve">Las responsabilidades habituales pueden incluir:</w:t>
      </w:r>
    </w:p>
    <w:p>
      <w:pPr>
        <w:numPr>
          <w:ilvl w:val="0"/>
          <w:numId w:val="1002"/>
        </w:numPr>
        <w:pStyle w:val="Compact"/>
      </w:pPr>
      <w:r>
        <w:t xml:space="preserve">explicar información sanitaria y de servicios sociales en lenguaje claro;</w:t>
      </w:r>
    </w:p>
    <w:p>
      <w:pPr>
        <w:numPr>
          <w:ilvl w:val="0"/>
          <w:numId w:val="1002"/>
        </w:numPr>
        <w:pStyle w:val="Compact"/>
      </w:pPr>
      <w:r>
        <w:t xml:space="preserve">ayudar a las personas a programar citas y comprender remisiones;</w:t>
      </w:r>
    </w:p>
    <w:p>
      <w:pPr>
        <w:numPr>
          <w:ilvl w:val="0"/>
          <w:numId w:val="1002"/>
        </w:numPr>
        <w:pStyle w:val="Compact"/>
      </w:pPr>
      <w:r>
        <w:t xml:space="preserve">conectar a personas y familias con transporte, alimentos, vivienda, beneficios o apoyo lingüístico;</w:t>
      </w:r>
    </w:p>
    <w:p>
      <w:pPr>
        <w:numPr>
          <w:ilvl w:val="0"/>
          <w:numId w:val="1002"/>
        </w:numPr>
        <w:pStyle w:val="Compact"/>
      </w:pPr>
      <w:r>
        <w:t xml:space="preserve">apoyar actividades de prevención, detección, educación sobre enfermedades crónicas y seguimiento dentro de un programa autorizado;</w:t>
      </w:r>
    </w:p>
    <w:p>
      <w:pPr>
        <w:numPr>
          <w:ilvl w:val="0"/>
          <w:numId w:val="1002"/>
        </w:numPr>
        <w:pStyle w:val="Compact"/>
      </w:pPr>
      <w:r>
        <w:t xml:space="preserve">realizar actividades de alcance en hogares, escuelas, clínicas, comunidades religiosas, refugios, lugares de trabajo o eventos comunitarios;</w:t>
      </w:r>
    </w:p>
    <w:p>
      <w:pPr>
        <w:numPr>
          <w:ilvl w:val="0"/>
          <w:numId w:val="1002"/>
        </w:numPr>
        <w:pStyle w:val="Compact"/>
      </w:pPr>
      <w:r>
        <w:t xml:space="preserve">documentar servicios y resultados;</w:t>
      </w:r>
    </w:p>
    <w:p>
      <w:pPr>
        <w:numPr>
          <w:ilvl w:val="0"/>
          <w:numId w:val="1002"/>
        </w:numPr>
        <w:pStyle w:val="Compact"/>
      </w:pPr>
      <w:r>
        <w:t xml:space="preserve">identificar barreras relacionadas con los determinantes sociales de la salud;</w:t>
      </w:r>
    </w:p>
    <w:p>
      <w:pPr>
        <w:numPr>
          <w:ilvl w:val="0"/>
          <w:numId w:val="1002"/>
        </w:numPr>
        <w:pStyle w:val="Compact"/>
      </w:pPr>
      <w:r>
        <w:t xml:space="preserve">generar confianza entre las comunidades y las organizaciones sanitarias o de servicios sociales;</w:t>
      </w:r>
    </w:p>
    <w:p>
      <w:pPr>
        <w:numPr>
          <w:ilvl w:val="0"/>
          <w:numId w:val="1002"/>
        </w:numPr>
        <w:pStyle w:val="Compact"/>
      </w:pPr>
      <w:r>
        <w:t xml:space="preserve">remitir de inmediato al personal calificado las inquietudes urgentes o relacionadas con asuntos clínicos, de protección o de privacidad.</w:t>
      </w:r>
    </w:p>
    <w:p>
      <w:pPr>
        <w:pStyle w:val="FirstParagraph"/>
      </w:pPr>
      <w:r>
        <w:t xml:space="preserve">Un trabajador comunitario de salud no es automáticamente enfermero, médico, psicólogo, trabajador social, terapeuta ni otro profesional clínico con licencia. Debe mantenerse dentro de las funciones autorizadas por su empleador, programa, formación, supervisión y legislación local.</w:t>
      </w:r>
    </w:p>
    <w:bookmarkEnd w:id="20"/>
    <w:bookmarkStart w:id="21" w:name="X2cd0eed7960dc8eea24f82e28eb3cdb78ffe5e0"/>
    <w:p>
      <w:pPr>
        <w:pStyle w:val="Heading2"/>
      </w:pPr>
      <w:r>
        <w:t xml:space="preserve">2. Quién puede tener un buen perfil para este trabajo</w:t>
      </w:r>
    </w:p>
    <w:p>
      <w:pPr>
        <w:pStyle w:val="FirstParagraph"/>
      </w:pPr>
      <w:r>
        <w:t xml:space="preserve">El trabajo comunitario de salud puede ser adecuado para personas pacientes, confiables, respetuosas de las diferencias culturales y cómodas ayudando a otras personas a navegar sistemas complejos. La experiencia de vida, la credibilidad en la comunidad, el bilingüismo y el conocimiento de los recursos locales pueden ser fortalezas importantes.</w:t>
      </w:r>
    </w:p>
    <w:p>
      <w:pPr>
        <w:pStyle w:val="BodyText"/>
      </w:pPr>
      <w:r>
        <w:t xml:space="preserve">Entre las cualidades útiles se encuentran:</w:t>
      </w:r>
    </w:p>
    <w:p>
      <w:pPr>
        <w:numPr>
          <w:ilvl w:val="0"/>
          <w:numId w:val="1003"/>
        </w:numPr>
        <w:pStyle w:val="Compact"/>
      </w:pPr>
      <w:r>
        <w:t xml:space="preserve">escucha activa y empatía;</w:t>
      </w:r>
    </w:p>
    <w:p>
      <w:pPr>
        <w:numPr>
          <w:ilvl w:val="0"/>
          <w:numId w:val="1003"/>
        </w:numPr>
        <w:pStyle w:val="Compact"/>
      </w:pPr>
      <w:r>
        <w:t xml:space="preserve">comunicación oral y escrita clara;</w:t>
      </w:r>
    </w:p>
    <w:p>
      <w:pPr>
        <w:numPr>
          <w:ilvl w:val="0"/>
          <w:numId w:val="1003"/>
        </w:numPr>
        <w:pStyle w:val="Compact"/>
      </w:pPr>
      <w:r>
        <w:t xml:space="preserve">respeto por la privacidad y la elección informada;</w:t>
      </w:r>
    </w:p>
    <w:p>
      <w:pPr>
        <w:numPr>
          <w:ilvl w:val="0"/>
          <w:numId w:val="1003"/>
        </w:numPr>
        <w:pStyle w:val="Compact"/>
      </w:pPr>
      <w:r>
        <w:t xml:space="preserve">confiabilidad y registro preciso de la información;</w:t>
      </w:r>
    </w:p>
    <w:p>
      <w:pPr>
        <w:numPr>
          <w:ilvl w:val="0"/>
          <w:numId w:val="1003"/>
        </w:numPr>
        <w:pStyle w:val="Compact"/>
      </w:pPr>
      <w:r>
        <w:t xml:space="preserve">capacidad para reducir la tensión y manejar conflictos de forma segura;</w:t>
      </w:r>
    </w:p>
    <w:p>
      <w:pPr>
        <w:numPr>
          <w:ilvl w:val="0"/>
          <w:numId w:val="1003"/>
        </w:numPr>
        <w:pStyle w:val="Compact"/>
      </w:pPr>
      <w:r>
        <w:t xml:space="preserve">humildad cultural;</w:t>
      </w:r>
    </w:p>
    <w:p>
      <w:pPr>
        <w:numPr>
          <w:ilvl w:val="0"/>
          <w:numId w:val="1003"/>
        </w:numPr>
        <w:pStyle w:val="Compact"/>
      </w:pPr>
      <w:r>
        <w:t xml:space="preserve">habilidades digitales básicas;</w:t>
      </w:r>
    </w:p>
    <w:p>
      <w:pPr>
        <w:numPr>
          <w:ilvl w:val="0"/>
          <w:numId w:val="1003"/>
        </w:numPr>
        <w:pStyle w:val="Compact"/>
      </w:pPr>
      <w:r>
        <w:t xml:space="preserve">disposición para trabajar con equipos multidisciplinarios;</w:t>
      </w:r>
    </w:p>
    <w:p>
      <w:pPr>
        <w:numPr>
          <w:ilvl w:val="0"/>
          <w:numId w:val="1003"/>
        </w:numPr>
        <w:pStyle w:val="Compact"/>
      </w:pPr>
      <w:r>
        <w:t xml:space="preserve">capacidad para mantener límites profesionales;</w:t>
      </w:r>
    </w:p>
    <w:p>
      <w:pPr>
        <w:numPr>
          <w:ilvl w:val="0"/>
          <w:numId w:val="1003"/>
        </w:numPr>
        <w:pStyle w:val="Compact"/>
      </w:pPr>
      <w:r>
        <w:t xml:space="preserve">disponibilidad para desplazarse localmente o trabajar fuera de una oficina tradicional.</w:t>
      </w:r>
    </w:p>
    <w:p>
      <w:pPr>
        <w:pStyle w:val="FirstParagraph"/>
      </w:pPr>
      <w:r>
        <w:t xml:space="preserve">El trabajo puede ser emocionalmente exigente. Los empleadores deben proporcionar supervisión, procedimientos de seguridad, vías claras para remitir situaciones que excedan las funciones del trabajador y apoyo para casos difíciles.</w:t>
      </w:r>
    </w:p>
    <w:bookmarkEnd w:id="21"/>
    <w:bookmarkStart w:id="26" w:name="Xb757206f78302692e9f165a2cf2fd71f5062b91"/>
    <w:p>
      <w:pPr>
        <w:pStyle w:val="Heading2"/>
      </w:pPr>
      <w:r>
        <w:t xml:space="preserve">3. Educación, formación y credenciales</w:t>
      </w:r>
    </w:p>
    <w:p>
      <w:pPr>
        <w:pStyle w:val="FirstParagraph"/>
      </w:pPr>
      <w:r>
        <w:t xml:space="preserve">No existe una única cualificación mundial para este trabajo. Los requisitos varían según la jurisdicción y el empleador.</w:t>
      </w:r>
    </w:p>
    <w:bookmarkStart w:id="22" w:name="estados-unidos"/>
    <w:p>
      <w:pPr>
        <w:pStyle w:val="Heading3"/>
      </w:pPr>
      <w:r>
        <w:t xml:space="preserve">Estados Unidos</w:t>
      </w:r>
    </w:p>
    <w:p>
      <w:pPr>
        <w:pStyle w:val="FirstParagraph"/>
      </w:pPr>
      <w:r>
        <w:t xml:space="preserve">La Oficina de Estadísticas Laborales de Estados Unidos identifica el diploma de escuela secundaria o equivalente como la educación típica de entrada y la capacitación de corta duración en el puesto de trabajo como preparación habitual. Este perfil nacional no reemplaza las reglas estatales de certificación ni los requisitos del empleador.</w:t>
      </w:r>
    </w:p>
    <w:p>
      <w:pPr>
        <w:pStyle w:val="BodyText"/>
      </w:pPr>
      <w:r>
        <w:t xml:space="preserve">Algunos estados cuentan con certificación formal, programas de formación aprobados, normas de competencia, registros o requisitos vinculados con Medicaid. Otros dependen más de la formación del empleador o de credenciales voluntarias. Antes de inscribirse, verifique:</w:t>
      </w:r>
    </w:p>
    <w:p>
      <w:pPr>
        <w:numPr>
          <w:ilvl w:val="0"/>
          <w:numId w:val="1004"/>
        </w:numPr>
        <w:pStyle w:val="Compact"/>
      </w:pPr>
      <w:r>
        <w:t xml:space="preserve">si el programa es reconocido por el estado o empleador al que se dirige;</w:t>
      </w:r>
    </w:p>
    <w:p>
      <w:pPr>
        <w:numPr>
          <w:ilvl w:val="0"/>
          <w:numId w:val="1004"/>
        </w:numPr>
        <w:pStyle w:val="Compact"/>
      </w:pPr>
      <w:r>
        <w:t xml:space="preserve">si se exige experiencia de campo supervisada;</w:t>
      </w:r>
    </w:p>
    <w:p>
      <w:pPr>
        <w:numPr>
          <w:ilvl w:val="0"/>
          <w:numId w:val="1004"/>
        </w:numPr>
        <w:pStyle w:val="Compact"/>
      </w:pPr>
      <w:r>
        <w:t xml:space="preserve">si se aplican verificaciones de antecedentes, inmunizaciones, conducción, idioma o tecnología;</w:t>
      </w:r>
    </w:p>
    <w:p>
      <w:pPr>
        <w:numPr>
          <w:ilvl w:val="0"/>
          <w:numId w:val="1004"/>
        </w:numPr>
        <w:pStyle w:val="Compact"/>
      </w:pPr>
      <w:r>
        <w:t xml:space="preserve">si la credencial es voluntaria, específica del empleador, reconocida por el estado o necesaria para el reembolso de servicios.</w:t>
      </w:r>
    </w:p>
    <w:bookmarkEnd w:id="22"/>
    <w:bookmarkStart w:id="23" w:name="canadá"/>
    <w:p>
      <w:pPr>
        <w:pStyle w:val="Heading3"/>
      </w:pPr>
      <w:r>
        <w:t xml:space="preserve">Canadá</w:t>
      </w:r>
    </w:p>
    <w:p>
      <w:pPr>
        <w:pStyle w:val="FirstParagraph"/>
      </w:pPr>
      <w:r>
        <w:t xml:space="preserve">Job Bank del Gobierno de Canadá vincula el título “community health worker” con</w:t>
      </w:r>
      <w:r>
        <w:t xml:space="preserve"> </w:t>
      </w:r>
      <w:r>
        <w:rPr>
          <w:bCs/>
          <w:b/>
        </w:rPr>
        <w:t xml:space="preserve">NOC 42201, trabajadores de servicios sociales y comunitarios</w:t>
      </w:r>
      <w:r>
        <w:t xml:space="preserve">, un grupo ocupacional más amplio que la categoría estadounidense. Job Bank informa que normalmente se requiere un programa universitario o técnico en trabajo social, atención a niños y jóvenes, psicología u otro campo relacionado con las ciencias sociales o la salud, aunque en algunos puestos la experiencia pertinente de voluntariado o apoyo puede sustituir la educación formal.</w:t>
      </w:r>
    </w:p>
    <w:p>
      <w:pPr>
        <w:pStyle w:val="BodyText"/>
      </w:pPr>
      <w:r>
        <w:t xml:space="preserve">Los requisitos varían según la provincia, territorio, autoridad sanitaria, organización indígena y empleador. La enfermería comunitaria es una profesión regulada distinta y no debe confundirse con los cargos de trabajador comunitario de salud o apoyo comunitario.</w:t>
      </w:r>
    </w:p>
    <w:bookmarkEnd w:id="23"/>
    <w:bookmarkStart w:id="24" w:name="colombia"/>
    <w:p>
      <w:pPr>
        <w:pStyle w:val="Heading3"/>
      </w:pPr>
      <w:r>
        <w:t xml:space="preserve">Colombia</w:t>
      </w:r>
    </w:p>
    <w:p>
      <w:pPr>
        <w:pStyle w:val="FirstParagraph"/>
      </w:pPr>
      <w:r>
        <w:t xml:space="preserve">Las posibles vías incluyen trabajo con:</w:t>
      </w:r>
    </w:p>
    <w:p>
      <w:pPr>
        <w:numPr>
          <w:ilvl w:val="0"/>
          <w:numId w:val="1005"/>
        </w:numPr>
        <w:pStyle w:val="Compact"/>
      </w:pPr>
      <w:r>
        <w:t xml:space="preserve">Empresas Promotoras de Salud (EPS);</w:t>
      </w:r>
    </w:p>
    <w:p>
      <w:pPr>
        <w:numPr>
          <w:ilvl w:val="0"/>
          <w:numId w:val="1005"/>
        </w:numPr>
        <w:pStyle w:val="Compact"/>
      </w:pPr>
      <w:r>
        <w:t xml:space="preserve">Instituciones Prestadoras de Servicios de Salud (IPS);</w:t>
      </w:r>
    </w:p>
    <w:p>
      <w:pPr>
        <w:numPr>
          <w:ilvl w:val="0"/>
          <w:numId w:val="1005"/>
        </w:numPr>
        <w:pStyle w:val="Compact"/>
      </w:pPr>
      <w:r>
        <w:t xml:space="preserve">Empresas Sociales del Estado (ESE);</w:t>
      </w:r>
    </w:p>
    <w:p>
      <w:pPr>
        <w:numPr>
          <w:ilvl w:val="0"/>
          <w:numId w:val="1005"/>
        </w:numPr>
        <w:pStyle w:val="Compact"/>
      </w:pPr>
      <w:r>
        <w:t xml:space="preserve">secretarías municipales o departamentales de salud;</w:t>
      </w:r>
    </w:p>
    <w:p>
      <w:pPr>
        <w:numPr>
          <w:ilvl w:val="0"/>
          <w:numId w:val="1005"/>
        </w:numPr>
        <w:pStyle w:val="Compact"/>
      </w:pPr>
      <w:r>
        <w:t xml:space="preserve">universidades y proyectos de salud pública;</w:t>
      </w:r>
    </w:p>
    <w:p>
      <w:pPr>
        <w:numPr>
          <w:ilvl w:val="0"/>
          <w:numId w:val="1005"/>
        </w:numPr>
        <w:pStyle w:val="Compact"/>
      </w:pPr>
      <w:r>
        <w:t xml:space="preserve">organizaciones no gubernamentales;</w:t>
      </w:r>
    </w:p>
    <w:p>
      <w:pPr>
        <w:numPr>
          <w:ilvl w:val="0"/>
          <w:numId w:val="1005"/>
        </w:numPr>
        <w:pStyle w:val="Compact"/>
      </w:pPr>
      <w:r>
        <w:t xml:space="preserve">organizaciones comunitarias;</w:t>
      </w:r>
    </w:p>
    <w:p>
      <w:pPr>
        <w:numPr>
          <w:ilvl w:val="0"/>
          <w:numId w:val="1005"/>
        </w:numPr>
        <w:pStyle w:val="Compact"/>
      </w:pPr>
      <w:r>
        <w:t xml:space="preserve">programas humanitarios o de desarrollo social.</w:t>
      </w:r>
    </w:p>
    <w:p>
      <w:pPr>
        <w:pStyle w:val="FirstParagraph"/>
      </w:pPr>
      <w:r>
        <w:t xml:space="preserve">Las rutas integrales de atención y las políticas de participación social en salud de Colombia incluyen acciones comunitarias e intersectoriales. Los requisitos dependen del empleador, contrato, programa, autoridad territorial y funciones asignadas. La autorización de una organización comunitaria no crea automáticamente una licencia profesional individual para cada trabajador.</w:t>
      </w:r>
    </w:p>
    <w:p>
      <w:pPr>
        <w:pStyle w:val="BodyText"/>
      </w:pPr>
      <w:r>
        <w:t xml:space="preserve">El SENA, las autoridades territoriales de salud, las universidades, los empleadores y las organizaciones comunitarias reconocidas son lugares apropiados para consultar formación vigente y vías de aprendizaje basado en el trabajo.</w:t>
      </w:r>
    </w:p>
    <w:bookmarkEnd w:id="24"/>
    <w:bookmarkStart w:id="25" w:name="otros-países-de-américa-latina"/>
    <w:p>
      <w:pPr>
        <w:pStyle w:val="Heading3"/>
      </w:pPr>
      <w:r>
        <w:t xml:space="preserve">Otros países de América Latina</w:t>
      </w:r>
    </w:p>
    <w:p>
      <w:pPr>
        <w:pStyle w:val="FirstParagraph"/>
      </w:pPr>
      <w:r>
        <w:t xml:space="preserve">Los cargos comunitarios de salud pueden aparecer en ministerios de salud, programas municipales, redes de atención primaria, ONG, universidades, organizaciones humanitarias o proyectos financiados por donantes. Títulos como</w:t>
      </w:r>
      <w:r>
        <w:t xml:space="preserve"> </w:t>
      </w:r>
      <w:r>
        <w:rPr>
          <w:iCs/>
          <w:i/>
        </w:rPr>
        <w:t xml:space="preserve">promotor de salud</w:t>
      </w:r>
      <w:r>
        <w:t xml:space="preserve">,</w:t>
      </w:r>
      <w:r>
        <w:t xml:space="preserve"> </w:t>
      </w:r>
      <w:r>
        <w:rPr>
          <w:iCs/>
          <w:i/>
        </w:rPr>
        <w:t xml:space="preserve">agente comunitario de salud</w:t>
      </w:r>
      <w:r>
        <w:t xml:space="preserve">,</w:t>
      </w:r>
      <w:r>
        <w:t xml:space="preserve"> </w:t>
      </w:r>
      <w:r>
        <w:rPr>
          <w:iCs/>
          <w:i/>
        </w:rPr>
        <w:t xml:space="preserve">facilitador comunitario</w:t>
      </w:r>
      <w:r>
        <w:t xml:space="preserve"> </w:t>
      </w:r>
      <w:r>
        <w:t xml:space="preserve">y</w:t>
      </w:r>
      <w:r>
        <w:t xml:space="preserve"> </w:t>
      </w:r>
      <w:r>
        <w:rPr>
          <w:iCs/>
          <w:i/>
        </w:rPr>
        <w:t xml:space="preserve">navegador de pacientes</w:t>
      </w:r>
      <w:r>
        <w:t xml:space="preserve"> </w:t>
      </w:r>
      <w:r>
        <w:t xml:space="preserve">pueden no ser equivalentes entre países.</w:t>
      </w:r>
    </w:p>
    <w:p>
      <w:pPr>
        <w:pStyle w:val="BodyText"/>
      </w:pPr>
      <w:r>
        <w:t xml:space="preserve">Verifique:</w:t>
      </w:r>
    </w:p>
    <w:p>
      <w:pPr>
        <w:numPr>
          <w:ilvl w:val="0"/>
          <w:numId w:val="1006"/>
        </w:numPr>
        <w:pStyle w:val="Compact"/>
      </w:pPr>
      <w:r>
        <w:t xml:space="preserve">la situación jurídica e institucional del cargo;</w:t>
      </w:r>
    </w:p>
    <w:p>
      <w:pPr>
        <w:numPr>
          <w:ilvl w:val="0"/>
          <w:numId w:val="1006"/>
        </w:numPr>
        <w:pStyle w:val="Compact"/>
      </w:pPr>
      <w:r>
        <w:t xml:space="preserve">si el trabajo es empleo remunerado, contratación por servicios, voluntariado o proyecto con estipendio;</w:t>
      </w:r>
    </w:p>
    <w:p>
      <w:pPr>
        <w:numPr>
          <w:ilvl w:val="0"/>
          <w:numId w:val="1006"/>
        </w:numPr>
        <w:pStyle w:val="Compact"/>
      </w:pPr>
      <w:r>
        <w:t xml:space="preserve">si se requiere una credencial sanitaria, de trabajo social, técnica o de desarrollo comunitario;</w:t>
      </w:r>
    </w:p>
    <w:p>
      <w:pPr>
        <w:numPr>
          <w:ilvl w:val="0"/>
          <w:numId w:val="1006"/>
        </w:numPr>
        <w:pStyle w:val="Compact"/>
      </w:pPr>
      <w:r>
        <w:t xml:space="preserve">si se aplican requisitos de idioma local, idioma indígena, conducción, residencia o trabajo de campo.</w:t>
      </w:r>
    </w:p>
    <w:bookmarkEnd w:id="25"/>
    <w:bookmarkEnd w:id="26"/>
    <w:bookmarkStart w:id="33" w:name="X9635b1b14c3084f4faca82051cdff843a5edfb7"/>
    <w:p>
      <w:pPr>
        <w:pStyle w:val="Heading2"/>
      </w:pPr>
      <w:r>
        <w:t xml:space="preserve">4. Primero, aprendizaje gratuito y de bajo costo</w:t>
      </w:r>
    </w:p>
    <w:p>
      <w:pPr>
        <w:pStyle w:val="FirstParagraph"/>
      </w:pPr>
      <w:r>
        <w:t xml:space="preserve">Antes de pagar por un programa privado, use recursos oficiales gratuitos para confirmar que la ocupación se ajusta a sus objetivos.</w:t>
      </w:r>
    </w:p>
    <w:bookmarkStart w:id="30" w:name="recursos-de-estados-unidos"/>
    <w:p>
      <w:pPr>
        <w:pStyle w:val="Heading3"/>
      </w:pPr>
      <w:r>
        <w:t xml:space="preserve">Recursos de Estados Unidos</w:t>
      </w:r>
    </w:p>
    <w:p>
      <w:pPr>
        <w:numPr>
          <w:ilvl w:val="0"/>
          <w:numId w:val="1007"/>
        </w:numPr>
        <w:pStyle w:val="Compact"/>
      </w:pPr>
      <w:r>
        <w:rPr>
          <w:bCs/>
          <w:b/>
        </w:rPr>
        <w:t xml:space="preserve">Recursos de los CDC para trabajadores comunitarios de salud:</w:t>
      </w:r>
      <w:r>
        <w:t xml:space="preserve"> </w:t>
      </w:r>
      <w:r>
        <w:t xml:space="preserve">información sobre el cargo, herramientas y recursos de salud pública.</w:t>
      </w:r>
      <w:r>
        <w:br/>
      </w:r>
      <w:hyperlink r:id="rId27">
        <w:r>
          <w:rPr>
            <w:rStyle w:val="Hyperlink"/>
          </w:rPr>
          <w:t xml:space="preserve">https://www.cdc.gov/chronic-disease/php/community-health-worker-resources/index.html</w:t>
        </w:r>
      </w:hyperlink>
    </w:p>
    <w:p>
      <w:pPr>
        <w:numPr>
          <w:ilvl w:val="0"/>
          <w:numId w:val="1007"/>
        </w:numPr>
        <w:pStyle w:val="Compact"/>
      </w:pPr>
      <w:r>
        <w:rPr>
          <w:bCs/>
          <w:b/>
        </w:rPr>
        <w:t xml:space="preserve">Recurso de formación cardiovascular de los CDC:</w:t>
      </w:r>
      <w:r>
        <w:t xml:space="preserve"> </w:t>
      </w:r>
      <w:r>
        <w:t xml:space="preserve">material gratuito para trabajadores con cierta experiencia; no sustituye la formación básica ni constituye una credencial universal.</w:t>
      </w:r>
      <w:r>
        <w:br/>
      </w:r>
      <w:hyperlink r:id="rId28">
        <w:r>
          <w:rPr>
            <w:rStyle w:val="Hyperlink"/>
          </w:rPr>
          <w:t xml:space="preserve">https://archive.cdc.gov/www_cdc_gov/dhdsp/programs/spha/chw_training/index.htm</w:t>
        </w:r>
      </w:hyperlink>
    </w:p>
    <w:p>
      <w:pPr>
        <w:numPr>
          <w:ilvl w:val="0"/>
          <w:numId w:val="1007"/>
        </w:numPr>
        <w:pStyle w:val="Compact"/>
      </w:pPr>
      <w:r>
        <w:rPr>
          <w:bCs/>
          <w:b/>
        </w:rPr>
        <w:t xml:space="preserve">American Job Centers:</w:t>
      </w:r>
      <w:r>
        <w:t xml:space="preserve"> </w:t>
      </w:r>
      <w:r>
        <w:t xml:space="preserve">orientación laboral local, elegibilidad para formación y conexión con empleadores.</w:t>
      </w:r>
      <w:r>
        <w:br/>
      </w:r>
      <w:hyperlink r:id="rId29">
        <w:r>
          <w:rPr>
            <w:rStyle w:val="Hyperlink"/>
          </w:rPr>
          <w:t xml:space="preserve">https://www.careeronestop.org/LocalHelp/AmericanJobCenters/american-job-centers.aspx</w:t>
        </w:r>
      </w:hyperlink>
    </w:p>
    <w:p>
      <w:pPr>
        <w:numPr>
          <w:ilvl w:val="0"/>
          <w:numId w:val="1007"/>
        </w:numPr>
        <w:pStyle w:val="Compact"/>
      </w:pPr>
      <w:r>
        <w:t xml:space="preserve">Los departamentos estatales de salud, las asociaciones estatales de trabajadores comunitarios, los</w:t>
      </w:r>
      <w:r>
        <w:t xml:space="preserve"> </w:t>
      </w:r>
      <w:r>
        <w:rPr>
          <w:iCs/>
          <w:i/>
        </w:rPr>
        <w:t xml:space="preserve">community colleges</w:t>
      </w:r>
      <w:r>
        <w:t xml:space="preserve">, los centros de salud calificados federalmente y los departamentos de salud pública pueden publicar programas aprobados o vinculados con empleadores.</w:t>
      </w:r>
    </w:p>
    <w:bookmarkEnd w:id="30"/>
    <w:bookmarkStart w:id="31" w:name="recursos-de-canadá"/>
    <w:p>
      <w:pPr>
        <w:pStyle w:val="Heading3"/>
      </w:pPr>
      <w:r>
        <w:t xml:space="preserve">Recursos de Canadá</w:t>
      </w:r>
    </w:p>
    <w:p>
      <w:pPr>
        <w:pStyle w:val="FirstParagraph"/>
      </w:pPr>
      <w:r>
        <w:t xml:space="preserve">Consulte:</w:t>
      </w:r>
    </w:p>
    <w:p>
      <w:pPr>
        <w:numPr>
          <w:ilvl w:val="0"/>
          <w:numId w:val="1008"/>
        </w:numPr>
        <w:pStyle w:val="Compact"/>
      </w:pPr>
      <w:r>
        <w:t xml:space="preserve">servicios provinciales o territoriales de empleo;</w:t>
      </w:r>
    </w:p>
    <w:p>
      <w:pPr>
        <w:numPr>
          <w:ilvl w:val="0"/>
          <w:numId w:val="1008"/>
        </w:numPr>
        <w:pStyle w:val="Compact"/>
      </w:pPr>
      <w:r>
        <w:t xml:space="preserve">instituciones públicas de educación superior;</w:t>
      </w:r>
    </w:p>
    <w:p>
      <w:pPr>
        <w:numPr>
          <w:ilvl w:val="0"/>
          <w:numId w:val="1008"/>
        </w:numPr>
        <w:pStyle w:val="Compact"/>
      </w:pPr>
      <w:r>
        <w:t xml:space="preserve">autoridades sanitarias;</w:t>
      </w:r>
    </w:p>
    <w:p>
      <w:pPr>
        <w:numPr>
          <w:ilvl w:val="0"/>
          <w:numId w:val="1008"/>
        </w:numPr>
        <w:pStyle w:val="Compact"/>
      </w:pPr>
      <w:r>
        <w:t xml:space="preserve">organizaciones indígenas de salud;</w:t>
      </w:r>
    </w:p>
    <w:p>
      <w:pPr>
        <w:numPr>
          <w:ilvl w:val="0"/>
          <w:numId w:val="1008"/>
        </w:numPr>
        <w:pStyle w:val="Compact"/>
      </w:pPr>
      <w:r>
        <w:t xml:space="preserve">organizaciones de asentamiento y servicios comunitarios;</w:t>
      </w:r>
    </w:p>
    <w:p>
      <w:pPr>
        <w:numPr>
          <w:ilvl w:val="0"/>
          <w:numId w:val="1008"/>
        </w:numPr>
        <w:pStyle w:val="Compact"/>
      </w:pPr>
      <w:r>
        <w:t xml:space="preserve">formación patrocinada por empleadores.</w:t>
      </w:r>
    </w:p>
    <w:p>
      <w:pPr>
        <w:pStyle w:val="FirstParagraph"/>
      </w:pPr>
      <w:r>
        <w:t xml:space="preserve">Comience con las páginas ocupacionales de Job Bank del Gobierno de Canadá y después verifique los requisitos regionales.</w:t>
      </w:r>
    </w:p>
    <w:bookmarkEnd w:id="31"/>
    <w:bookmarkStart w:id="32" w:name="recursos-de-colombia"/>
    <w:p>
      <w:pPr>
        <w:pStyle w:val="Heading3"/>
      </w:pPr>
      <w:r>
        <w:t xml:space="preserve">Recursos de Colombia</w:t>
      </w:r>
    </w:p>
    <w:p>
      <w:pPr>
        <w:pStyle w:val="FirstParagraph"/>
      </w:pPr>
      <w:r>
        <w:t xml:space="preserve">Consulte:</w:t>
      </w:r>
    </w:p>
    <w:p>
      <w:pPr>
        <w:numPr>
          <w:ilvl w:val="0"/>
          <w:numId w:val="1009"/>
        </w:numPr>
        <w:pStyle w:val="Compact"/>
      </w:pPr>
      <w:r>
        <w:t xml:space="preserve">cursos y servicios de empleo del SENA;</w:t>
      </w:r>
    </w:p>
    <w:p>
      <w:pPr>
        <w:numPr>
          <w:ilvl w:val="0"/>
          <w:numId w:val="1009"/>
        </w:numPr>
        <w:pStyle w:val="Compact"/>
      </w:pPr>
      <w:r>
        <w:t xml:space="preserve">Servicio Público de Empleo;</w:t>
      </w:r>
    </w:p>
    <w:p>
      <w:pPr>
        <w:numPr>
          <w:ilvl w:val="0"/>
          <w:numId w:val="1009"/>
        </w:numPr>
        <w:pStyle w:val="Compact"/>
      </w:pPr>
      <w:r>
        <w:t xml:space="preserve">secretarías territoriales de salud;</w:t>
      </w:r>
    </w:p>
    <w:p>
      <w:pPr>
        <w:numPr>
          <w:ilvl w:val="0"/>
          <w:numId w:val="1009"/>
        </w:numPr>
        <w:pStyle w:val="Compact"/>
      </w:pPr>
      <w:r>
        <w:t xml:space="preserve">páginas de vacantes y formación de EPS, IPS y ESE;</w:t>
      </w:r>
    </w:p>
    <w:p>
      <w:pPr>
        <w:numPr>
          <w:ilvl w:val="0"/>
          <w:numId w:val="1009"/>
        </w:numPr>
        <w:pStyle w:val="Compact"/>
      </w:pPr>
      <w:r>
        <w:t xml:space="preserve">universidades públicas;</w:t>
      </w:r>
    </w:p>
    <w:p>
      <w:pPr>
        <w:numPr>
          <w:ilvl w:val="0"/>
          <w:numId w:val="1009"/>
        </w:numPr>
        <w:pStyle w:val="Compact"/>
      </w:pPr>
      <w:r>
        <w:t xml:space="preserve">ONG y organizaciones comunitarias reconocidas.</w:t>
      </w:r>
    </w:p>
    <w:p>
      <w:pPr>
        <w:pStyle w:val="FirstParagraph"/>
      </w:pPr>
      <w:r>
        <w:t xml:space="preserve">No suponga que todos los cursos cortos en línea son reconocidos por empleadores o autoridades.</w:t>
      </w:r>
    </w:p>
    <w:bookmarkEnd w:id="32"/>
    <w:bookmarkEnd w:id="33"/>
    <w:bookmarkStart w:id="34" w:name="X50733922deaf3af272c2a69d6d35a41ee0df83b"/>
    <w:p>
      <w:pPr>
        <w:pStyle w:val="Heading2"/>
      </w:pPr>
      <w:r>
        <w:t xml:space="preserve">5. Financiación, becas y apoyo del empleador</w:t>
      </w:r>
    </w:p>
    <w:p>
      <w:pPr>
        <w:pStyle w:val="FirstParagraph"/>
      </w:pPr>
      <w:r>
        <w:t xml:space="preserve">La financiación depende de la elegibilidad y cambia con frecuencia. Solicite las condiciones por escrito antes de inscribirse.</w:t>
      </w:r>
    </w:p>
    <w:p>
      <w:pPr>
        <w:pStyle w:val="BodyText"/>
      </w:pPr>
      <w:r>
        <w:t xml:space="preserve">El apoyo posible incluye:</w:t>
      </w:r>
    </w:p>
    <w:p>
      <w:pPr>
        <w:numPr>
          <w:ilvl w:val="0"/>
          <w:numId w:val="1010"/>
        </w:numPr>
        <w:pStyle w:val="Compact"/>
      </w:pPr>
      <w:r>
        <w:t xml:space="preserve">fondos públicos para formación laboral;</w:t>
      </w:r>
    </w:p>
    <w:p>
      <w:pPr>
        <w:numPr>
          <w:ilvl w:val="0"/>
          <w:numId w:val="1010"/>
        </w:numPr>
        <w:pStyle w:val="Compact"/>
      </w:pPr>
      <w:r>
        <w:t xml:space="preserve">subvenciones o exenciones de matrícula en instituciones públicas;</w:t>
      </w:r>
    </w:p>
    <w:p>
      <w:pPr>
        <w:numPr>
          <w:ilvl w:val="0"/>
          <w:numId w:val="1010"/>
        </w:numPr>
        <w:pStyle w:val="Compact"/>
      </w:pPr>
      <w:r>
        <w:t xml:space="preserve">inducción o certificación pagada por el empleador;</w:t>
      </w:r>
    </w:p>
    <w:p>
      <w:pPr>
        <w:numPr>
          <w:ilvl w:val="0"/>
          <w:numId w:val="1010"/>
        </w:numPr>
        <w:pStyle w:val="Compact"/>
      </w:pPr>
      <w:r>
        <w:t xml:space="preserve">reembolso de matrícula;</w:t>
      </w:r>
    </w:p>
    <w:p>
      <w:pPr>
        <w:numPr>
          <w:ilvl w:val="0"/>
          <w:numId w:val="1010"/>
        </w:numPr>
        <w:pStyle w:val="Compact"/>
      </w:pPr>
      <w:r>
        <w:t xml:space="preserve">becas de sistemas de salud, fundaciones, sindicatos u organizaciones comunitarias;</w:t>
      </w:r>
    </w:p>
    <w:p>
      <w:pPr>
        <w:numPr>
          <w:ilvl w:val="0"/>
          <w:numId w:val="1010"/>
        </w:numPr>
        <w:pStyle w:val="Compact"/>
      </w:pPr>
      <w:r>
        <w:t xml:space="preserve">pasantías, programas de formación, aprendizajes formales o servicios remunerados;</w:t>
      </w:r>
    </w:p>
    <w:p>
      <w:pPr>
        <w:numPr>
          <w:ilvl w:val="0"/>
          <w:numId w:val="1010"/>
        </w:numPr>
        <w:pStyle w:val="Compact"/>
      </w:pPr>
      <w:r>
        <w:t xml:space="preserve">ayuda para transporte, cuidado infantil, equipos o exámenes;</w:t>
      </w:r>
    </w:p>
    <w:p>
      <w:pPr>
        <w:numPr>
          <w:ilvl w:val="0"/>
          <w:numId w:val="1010"/>
        </w:numPr>
        <w:pStyle w:val="Compact"/>
      </w:pPr>
      <w:r>
        <w:t xml:space="preserve">estipendios por participación en proyectos.</w:t>
      </w:r>
    </w:p>
    <w:p>
      <w:pPr>
        <w:pStyle w:val="FirstParagraph"/>
      </w:pPr>
      <w:r>
        <w:t xml:space="preserve">Mantenga separadas las categorías:</w:t>
      </w:r>
    </w:p>
    <w:p>
      <w:pPr>
        <w:numPr>
          <w:ilvl w:val="0"/>
          <w:numId w:val="1011"/>
        </w:numPr>
        <w:pStyle w:val="Compact"/>
      </w:pPr>
      <w:r>
        <w:rPr>
          <w:bCs/>
          <w:b/>
        </w:rPr>
        <w:t xml:space="preserve">salario:</w:t>
      </w:r>
      <w:r>
        <w:t xml:space="preserve"> </w:t>
      </w:r>
      <w:r>
        <w:t xml:space="preserve">pago por empleo;</w:t>
      </w:r>
    </w:p>
    <w:p>
      <w:pPr>
        <w:numPr>
          <w:ilvl w:val="0"/>
          <w:numId w:val="1011"/>
        </w:numPr>
        <w:pStyle w:val="Compact"/>
      </w:pPr>
      <w:r>
        <w:rPr>
          <w:bCs/>
          <w:b/>
        </w:rPr>
        <w:t xml:space="preserve">estipendio:</w:t>
      </w:r>
      <w:r>
        <w:t xml:space="preserve"> </w:t>
      </w:r>
      <w:r>
        <w:t xml:space="preserve">apoyo fijo que puede no crear una relación laboral;</w:t>
      </w:r>
    </w:p>
    <w:p>
      <w:pPr>
        <w:numPr>
          <w:ilvl w:val="0"/>
          <w:numId w:val="1011"/>
        </w:numPr>
        <w:pStyle w:val="Compact"/>
      </w:pPr>
      <w:r>
        <w:rPr>
          <w:bCs/>
          <w:b/>
        </w:rPr>
        <w:t xml:space="preserve">beca o subvención:</w:t>
      </w:r>
      <w:r>
        <w:t xml:space="preserve"> </w:t>
      </w:r>
      <w:r>
        <w:t xml:space="preserve">financiación educativa que puede tener condiciones;</w:t>
      </w:r>
    </w:p>
    <w:p>
      <w:pPr>
        <w:numPr>
          <w:ilvl w:val="0"/>
          <w:numId w:val="1011"/>
        </w:numPr>
        <w:pStyle w:val="Compact"/>
      </w:pPr>
      <w:r>
        <w:rPr>
          <w:bCs/>
          <w:b/>
        </w:rPr>
        <w:t xml:space="preserve">préstamo:</w:t>
      </w:r>
      <w:r>
        <w:t xml:space="preserve"> </w:t>
      </w:r>
      <w:r>
        <w:t xml:space="preserve">dinero que normalmente debe devolverse;</w:t>
      </w:r>
    </w:p>
    <w:p>
      <w:pPr>
        <w:numPr>
          <w:ilvl w:val="0"/>
          <w:numId w:val="1011"/>
        </w:numPr>
        <w:pStyle w:val="Compact"/>
      </w:pPr>
      <w:r>
        <w:rPr>
          <w:bCs/>
          <w:b/>
        </w:rPr>
        <w:t xml:space="preserve">reembolso:</w:t>
      </w:r>
      <w:r>
        <w:t xml:space="preserve"> </w:t>
      </w:r>
      <w:r>
        <w:t xml:space="preserve">pago posterior de un gasto aprobado;</w:t>
      </w:r>
    </w:p>
    <w:p>
      <w:pPr>
        <w:numPr>
          <w:ilvl w:val="0"/>
          <w:numId w:val="1011"/>
        </w:numPr>
        <w:pStyle w:val="Compact"/>
      </w:pPr>
      <w:r>
        <w:rPr>
          <w:bCs/>
          <w:b/>
        </w:rPr>
        <w:t xml:space="preserve">aprendizaje formal remunerado:</w:t>
      </w:r>
      <w:r>
        <w:t xml:space="preserve"> </w:t>
      </w:r>
      <w:r>
        <w:t xml:space="preserve">trabajo remunerado estructurado y formación relacionada cuando existe un programa formalmente establecido;</w:t>
      </w:r>
    </w:p>
    <w:p>
      <w:pPr>
        <w:numPr>
          <w:ilvl w:val="0"/>
          <w:numId w:val="1011"/>
        </w:numPr>
        <w:pStyle w:val="Compact"/>
      </w:pPr>
      <w:r>
        <w:rPr>
          <w:bCs/>
          <w:b/>
        </w:rPr>
        <w:t xml:space="preserve">certificado de finalización:</w:t>
      </w:r>
      <w:r>
        <w:t xml:space="preserve"> </w:t>
      </w:r>
      <w:r>
        <w:t xml:space="preserve">evidencia de haber completado un curso; no equivale automáticamente a una licencia profesional ni a un título académico.</w:t>
      </w:r>
    </w:p>
    <w:p>
      <w:pPr>
        <w:pStyle w:val="FirstParagraph"/>
      </w:pPr>
      <w:r>
        <w:t xml:space="preserve">Nunca pague a un reclutador por una oferta de trabajo. Desconfíe de los programas que garantizan empleo, certificación, resultados migratorios o ingresos inusualmente altos.</w:t>
      </w:r>
    </w:p>
    <w:bookmarkEnd w:id="34"/>
    <w:bookmarkStart w:id="36" w:name="X73fc322ce8c381c7924b57fe3c432a1a4a1d29d"/>
    <w:p>
      <w:pPr>
        <w:pStyle w:val="Heading2"/>
      </w:pPr>
      <w:r>
        <w:t xml:space="preserve">6. Aprendizajes y formación remunerada en el trabajo</w:t>
      </w:r>
    </w:p>
    <w:p>
      <w:pPr>
        <w:pStyle w:val="FirstParagraph"/>
      </w:pPr>
      <w:r>
        <w:t xml:space="preserve">Existen aprendizajes formales para trabajadores comunitarios de salud en algunas zonas de Estados Unidos, pero la disponibilidad es regional. Busque en el localizador oficial de Apprenticeship.gov y verifique el patrocinador, ocupación, ubicación, remuneración, elegibilidad y formación relacionada.</w:t>
      </w:r>
    </w:p>
    <w:p>
      <w:pPr>
        <w:pStyle w:val="BodyText"/>
      </w:pPr>
      <w:hyperlink r:id="rId35">
        <w:r>
          <w:rPr>
            <w:rStyle w:val="Hyperlink"/>
          </w:rPr>
          <w:t xml:space="preserve">https://www.apprenticeship.gov/apprenticeship-job-finder</w:t>
        </w:r>
      </w:hyperlink>
    </w:p>
    <w:p>
      <w:pPr>
        <w:pStyle w:val="BodyText"/>
      </w:pPr>
      <w:r>
        <w:t xml:space="preserve">Otras opciones legítimas de aprendizaje basado en el trabajo pueden incluir:</w:t>
      </w:r>
    </w:p>
    <w:p>
      <w:pPr>
        <w:numPr>
          <w:ilvl w:val="0"/>
          <w:numId w:val="1012"/>
        </w:numPr>
        <w:pStyle w:val="Compact"/>
      </w:pPr>
      <w:r>
        <w:t xml:space="preserve">cargos de formación pagados por el empleador;</w:t>
      </w:r>
    </w:p>
    <w:p>
      <w:pPr>
        <w:numPr>
          <w:ilvl w:val="0"/>
          <w:numId w:val="1012"/>
        </w:numPr>
        <w:pStyle w:val="Compact"/>
      </w:pPr>
      <w:r>
        <w:t xml:space="preserve">pasantías de salud pública;</w:t>
      </w:r>
    </w:p>
    <w:p>
      <w:pPr>
        <w:numPr>
          <w:ilvl w:val="0"/>
          <w:numId w:val="1012"/>
        </w:numPr>
        <w:pStyle w:val="Compact"/>
      </w:pPr>
      <w:r>
        <w:t xml:space="preserve">prácticas de servicio comunitario;</w:t>
      </w:r>
    </w:p>
    <w:p>
      <w:pPr>
        <w:numPr>
          <w:ilvl w:val="0"/>
          <w:numId w:val="1012"/>
        </w:numPr>
        <w:pStyle w:val="Compact"/>
      </w:pPr>
      <w:r>
        <w:t xml:space="preserve">experiencia práctica supervisada;</w:t>
      </w:r>
    </w:p>
    <w:p>
      <w:pPr>
        <w:numPr>
          <w:ilvl w:val="0"/>
          <w:numId w:val="1012"/>
        </w:numPr>
        <w:pStyle w:val="Compact"/>
      </w:pPr>
      <w:r>
        <w:t xml:space="preserve">trayectorias profesionales de sindicatos o sistemas de salud;</w:t>
      </w:r>
    </w:p>
    <w:p>
      <w:pPr>
        <w:numPr>
          <w:ilvl w:val="0"/>
          <w:numId w:val="1012"/>
        </w:numPr>
        <w:pStyle w:val="Compact"/>
      </w:pPr>
      <w:r>
        <w:t xml:space="preserve">proyectos remunerados de investigación o alcance comunitario.</w:t>
      </w:r>
    </w:p>
    <w:p>
      <w:pPr>
        <w:pStyle w:val="FirstParagraph"/>
      </w:pPr>
      <w:r>
        <w:t xml:space="preserve">En Canadá y América Latina, el término “aprendizaje” puede no usarse para estas vías. Busque prácticas supervisadas, programas de formación, pasantías, formación del empleador o cargos remunerados en programas comunitarios, y verifique si el acuerdo crea una condición de empleado, estudiante, contratista, voluntario o beneficiario de estipendio.</w:t>
      </w:r>
    </w:p>
    <w:bookmarkEnd w:id="36"/>
    <w:bookmarkStart w:id="43" w:name="X0f74cba9fa1c1744ac84732776ada68bb086d7b"/>
    <w:p>
      <w:pPr>
        <w:pStyle w:val="Heading2"/>
      </w:pPr>
      <w:r>
        <w:t xml:space="preserve">7. Ingresos y perspectivas de empleo</w:t>
      </w:r>
    </w:p>
    <w:p>
      <w:pPr>
        <w:pStyle w:val="FirstParagraph"/>
      </w:pPr>
      <w:r>
        <w:t xml:space="preserve">Las cifras de ingresos son puntos de referencia, no promesas.</w:t>
      </w:r>
    </w:p>
    <w:bookmarkStart w:id="38" w:name="datos-oficiales-de-estados-unidos"/>
    <w:p>
      <w:pPr>
        <w:pStyle w:val="Heading3"/>
      </w:pPr>
      <w:r>
        <w:t xml:space="preserve">Datos oficiales de Estados Unidos</w:t>
      </w:r>
    </w:p>
    <w:p>
      <w:pPr>
        <w:pStyle w:val="FirstParagraph"/>
      </w:pPr>
      <w:r>
        <w:t xml:space="preserve">El</w:t>
      </w:r>
      <w:r>
        <w:t xml:space="preserve"> </w:t>
      </w:r>
      <w:r>
        <w:rPr>
          <w:iCs/>
          <w:i/>
        </w:rPr>
        <w:t xml:space="preserve">Occupational Outlook Handbook</w:t>
      </w:r>
      <w:r>
        <w:t xml:space="preserve"> </w:t>
      </w:r>
      <w:r>
        <w:t xml:space="preserve">de la Oficina de Estadísticas Laborales de Estados Unidos, modificado por última vez el 28 de agosto de 2025, informa para los trabajadores comunitarios de salud:</w:t>
      </w:r>
    </w:p>
    <w:p>
      <w:pPr>
        <w:numPr>
          <w:ilvl w:val="0"/>
          <w:numId w:val="1013"/>
        </w:numPr>
        <w:pStyle w:val="Compact"/>
      </w:pPr>
      <w:r>
        <w:t xml:space="preserve">salario anual mediano en mayo de 2024:</w:t>
      </w:r>
      <w:r>
        <w:t xml:space="preserve"> </w:t>
      </w:r>
      <w:r>
        <w:rPr>
          <w:bCs/>
          <w:b/>
        </w:rPr>
        <w:t xml:space="preserve">USD 51.030</w:t>
      </w:r>
      <w:r>
        <w:t xml:space="preserve">;</w:t>
      </w:r>
    </w:p>
    <w:p>
      <w:pPr>
        <w:numPr>
          <w:ilvl w:val="0"/>
          <w:numId w:val="1013"/>
        </w:numPr>
        <w:pStyle w:val="Compact"/>
      </w:pPr>
      <w:r>
        <w:t xml:space="preserve">salario por hora mediano:</w:t>
      </w:r>
      <w:r>
        <w:t xml:space="preserve"> </w:t>
      </w:r>
      <w:r>
        <w:rPr>
          <w:bCs/>
          <w:b/>
        </w:rPr>
        <w:t xml:space="preserve">USD 24,54</w:t>
      </w:r>
      <w:r>
        <w:t xml:space="preserve">;</w:t>
      </w:r>
    </w:p>
    <w:p>
      <w:pPr>
        <w:numPr>
          <w:ilvl w:val="0"/>
          <w:numId w:val="1013"/>
        </w:numPr>
        <w:pStyle w:val="Compact"/>
      </w:pPr>
      <w:r>
        <w:t xml:space="preserve">empleo en 2024:</w:t>
      </w:r>
      <w:r>
        <w:t xml:space="preserve"> </w:t>
      </w:r>
      <w:r>
        <w:rPr>
          <w:bCs/>
          <w:b/>
        </w:rPr>
        <w:t xml:space="preserve">65.100 puestos</w:t>
      </w:r>
      <w:r>
        <w:t xml:space="preserve">;</w:t>
      </w:r>
    </w:p>
    <w:p>
      <w:pPr>
        <w:numPr>
          <w:ilvl w:val="0"/>
          <w:numId w:val="1013"/>
        </w:numPr>
        <w:pStyle w:val="Compact"/>
      </w:pPr>
      <w:r>
        <w:t xml:space="preserve">crecimiento proyectado entre 2024 y 2034:</w:t>
      </w:r>
      <w:r>
        <w:t xml:space="preserve"> </w:t>
      </w:r>
      <w:r>
        <w:rPr>
          <w:bCs/>
          <w:b/>
        </w:rPr>
        <w:t xml:space="preserve">11 %</w:t>
      </w:r>
      <w:r>
        <w:t xml:space="preserve">, mucho más rápido que el promedio;</w:t>
      </w:r>
    </w:p>
    <w:p>
      <w:pPr>
        <w:numPr>
          <w:ilvl w:val="0"/>
          <w:numId w:val="1013"/>
        </w:numPr>
        <w:pStyle w:val="Compact"/>
      </w:pPr>
      <w:r>
        <w:t xml:space="preserve">aproximadamente</w:t>
      </w:r>
      <w:r>
        <w:t xml:space="preserve"> </w:t>
      </w:r>
      <w:r>
        <w:rPr>
          <w:bCs/>
          <w:b/>
        </w:rPr>
        <w:t xml:space="preserve">7.800 vacantes por año</w:t>
      </w:r>
      <w:r>
        <w:t xml:space="preserve"> </w:t>
      </w:r>
      <w:r>
        <w:t xml:space="preserve">en promedio, según la proyección narrativa.</w:t>
      </w:r>
    </w:p>
    <w:p>
      <w:pPr>
        <w:pStyle w:val="FirstParagraph"/>
      </w:pPr>
      <w:r>
        <w:t xml:space="preserve">Fuente:</w:t>
      </w:r>
      <w:r>
        <w:t xml:space="preserve"> </w:t>
      </w:r>
      <w:hyperlink r:id="rId37">
        <w:r>
          <w:rPr>
            <w:rStyle w:val="Hyperlink"/>
          </w:rPr>
          <w:t xml:space="preserve">https://www.bls.gov/ooh/community-and-social-service/community-health-workers.htm</w:t>
        </w:r>
      </w:hyperlink>
    </w:p>
    <w:p>
      <w:pPr>
        <w:pStyle w:val="BodyText"/>
      </w:pPr>
      <w:r>
        <w:t xml:space="preserve">La remuneración varía según el estado, área metropolitana, empleador, horario, cobertura sindical, funciones, idiomas, experiencia y requisitos de certificación. La mediana no es un salario inicial.</w:t>
      </w:r>
    </w:p>
    <w:bookmarkEnd w:id="38"/>
    <w:bookmarkStart w:id="39" w:name="X7a4dcd5d7561dc10253cc33f61593a482301b2b"/>
    <w:p>
      <w:pPr>
        <w:pStyle w:val="Heading3"/>
      </w:pPr>
      <w:r>
        <w:t xml:space="preserve">Estimaciones complementarias del mercado de Estados Unidos</w:t>
      </w:r>
    </w:p>
    <w:p>
      <w:pPr>
        <w:pStyle w:val="FirstParagraph"/>
      </w:pPr>
      <w:r>
        <w:t xml:space="preserve">Las estimaciones no gubernamentales actuales aportan contexto adicional, pero no son estadísticas oficiales ni deben reemplazar las cifras de la Oficina de Estadísticas Laborales indicadas anteriormente. Glassdoor mostró una</w:t>
      </w:r>
      <w:r>
        <w:t xml:space="preserve"> </w:t>
      </w:r>
      <w:r>
        <w:rPr>
          <w:bCs/>
          <w:b/>
        </w:rPr>
        <w:t xml:space="preserve">remuneración total mediana estimada de USD 52.000</w:t>
      </w:r>
      <w:r>
        <w:t xml:space="preserve"> </w:t>
      </w:r>
      <w:r>
        <w:t xml:space="preserve">para trabajadores comunitarios de salud en Estados Unidos, con un rango típico de remuneración total de aproximadamente</w:t>
      </w:r>
      <w:r>
        <w:t xml:space="preserve"> </w:t>
      </w:r>
      <w:r>
        <w:rPr>
          <w:bCs/>
          <w:b/>
        </w:rPr>
        <w:t xml:space="preserve">USD 44.000 a USD 63.000</w:t>
      </w:r>
      <w:r>
        <w:t xml:space="preserve">, al revalidarse el 6 de agosto de 2026. ZipRecruiter informó una remuneración anual promedio estimada de</w:t>
      </w:r>
      <w:r>
        <w:t xml:space="preserve"> </w:t>
      </w:r>
      <w:r>
        <w:rPr>
          <w:bCs/>
          <w:b/>
        </w:rPr>
        <w:t xml:space="preserve">USD 44.925</w:t>
      </w:r>
      <w:r>
        <w:t xml:space="preserve"> </w:t>
      </w:r>
      <w:r>
        <w:t xml:space="preserve">al 27 de julio de 2026, utilizando anuncios de empleo de empleadores y datos de terceros.</w:t>
      </w:r>
    </w:p>
    <w:p>
      <w:pPr>
        <w:pStyle w:val="BodyText"/>
      </w:pPr>
      <w:r>
        <w:t xml:space="preserve">Estas estimaciones usan métodos, muestras y ciclos de actualización distintos. No las promedie entre sí, no las interprete como ofertas garantizadas ni suponga que se aplican a un estado, empleador, nivel de experiencia o modalidad de empleo específicos.</w:t>
      </w:r>
    </w:p>
    <w:bookmarkEnd w:id="39"/>
    <w:bookmarkStart w:id="41" w:name="datos-oficiales-de-canadá"/>
    <w:p>
      <w:pPr>
        <w:pStyle w:val="Heading3"/>
      </w:pPr>
      <w:r>
        <w:t xml:space="preserve">Datos oficiales de Canadá</w:t>
      </w:r>
    </w:p>
    <w:p>
      <w:pPr>
        <w:pStyle w:val="FirstParagraph"/>
      </w:pPr>
      <w:r>
        <w:t xml:space="preserve">La tabla salarial nacional de Job Bank del Gobierno de Canadá para NOC 42201, actualizada el 19 de noviembre de 2025 y mostrada en una página modificada el 2 de junio de 2026, informa:</w:t>
      </w:r>
    </w:p>
    <w:p>
      <w:pPr>
        <w:numPr>
          <w:ilvl w:val="0"/>
          <w:numId w:val="1014"/>
        </w:numPr>
        <w:pStyle w:val="Compact"/>
      </w:pPr>
      <w:r>
        <w:t xml:space="preserve">nivel bajo:</w:t>
      </w:r>
      <w:r>
        <w:t xml:space="preserve"> </w:t>
      </w:r>
      <w:r>
        <w:rPr>
          <w:bCs/>
          <w:b/>
        </w:rPr>
        <w:t xml:space="preserve">CAD 19,00 por hora</w:t>
      </w:r>
      <w:r>
        <w:t xml:space="preserve">;</w:t>
      </w:r>
    </w:p>
    <w:p>
      <w:pPr>
        <w:numPr>
          <w:ilvl w:val="0"/>
          <w:numId w:val="1014"/>
        </w:numPr>
        <w:pStyle w:val="Compact"/>
      </w:pPr>
      <w:r>
        <w:t xml:space="preserve">mediana:</w:t>
      </w:r>
      <w:r>
        <w:t xml:space="preserve"> </w:t>
      </w:r>
      <w:r>
        <w:rPr>
          <w:bCs/>
          <w:b/>
        </w:rPr>
        <w:t xml:space="preserve">CAD 26,00 por hora</w:t>
      </w:r>
      <w:r>
        <w:t xml:space="preserve">;</w:t>
      </w:r>
    </w:p>
    <w:p>
      <w:pPr>
        <w:numPr>
          <w:ilvl w:val="0"/>
          <w:numId w:val="1014"/>
        </w:numPr>
        <w:pStyle w:val="Compact"/>
      </w:pPr>
      <w:r>
        <w:t xml:space="preserve">nivel alto:</w:t>
      </w:r>
      <w:r>
        <w:t xml:space="preserve"> </w:t>
      </w:r>
      <w:r>
        <w:rPr>
          <w:bCs/>
          <w:b/>
        </w:rPr>
        <w:t xml:space="preserve">CAD 36,06 por hora</w:t>
      </w:r>
      <w:r>
        <w:t xml:space="preserve">;</w:t>
      </w:r>
    </w:p>
    <w:p>
      <w:pPr>
        <w:numPr>
          <w:ilvl w:val="0"/>
          <w:numId w:val="1014"/>
        </w:numPr>
        <w:pStyle w:val="Compact"/>
      </w:pPr>
      <w:r>
        <w:rPr>
          <w:bCs/>
          <w:b/>
        </w:rPr>
        <w:t xml:space="preserve">83,6 %</w:t>
      </w:r>
      <w:r>
        <w:t xml:space="preserve"> </w:t>
      </w:r>
      <w:r>
        <w:t xml:space="preserve">recibe al menos un beneficio no salarial.</w:t>
      </w:r>
    </w:p>
    <w:p>
      <w:pPr>
        <w:pStyle w:val="FirstParagraph"/>
      </w:pPr>
      <w:r>
        <w:t xml:space="preserve">Fuente:</w:t>
      </w:r>
      <w:r>
        <w:t xml:space="preserve"> </w:t>
      </w:r>
      <w:hyperlink r:id="rId40">
        <w:r>
          <w:rPr>
            <w:rStyle w:val="Hyperlink"/>
          </w:rPr>
          <w:t xml:space="preserve">https://www.jobbank.gc.ca/marketreport/wages-occupation/296075/ca</w:t>
        </w:r>
      </w:hyperlink>
    </w:p>
    <w:p>
      <w:pPr>
        <w:pStyle w:val="BodyText"/>
      </w:pPr>
      <w:r>
        <w:t xml:space="preserve">Estas cifras cubren el grupo más amplio NOC 42201. No garantizan ofertas específicas para trabajadores comunitarios de salud. Revise la provincia, territorio y región aplicable.</w:t>
      </w:r>
    </w:p>
    <w:bookmarkEnd w:id="41"/>
    <w:bookmarkStart w:id="42" w:name="colombia-y-américa-latina"/>
    <w:p>
      <w:pPr>
        <w:pStyle w:val="Heading3"/>
      </w:pPr>
      <w:r>
        <w:t xml:space="preserve">Colombia y América Latina</w:t>
      </w:r>
    </w:p>
    <w:p>
      <w:pPr>
        <w:pStyle w:val="FirstParagraph"/>
      </w:pPr>
      <w:r>
        <w:t xml:space="preserve">En este lote no se verificó una serie salarial colombiana directamente equivalente a la ocupación de la Oficina de Estadísticas Laborales de Estados Unidos. No convierta salarios estadounidenses o canadienses en expectativas salariales colombianas.</w:t>
      </w:r>
    </w:p>
    <w:p>
      <w:pPr>
        <w:pStyle w:val="BodyText"/>
      </w:pPr>
      <w:r>
        <w:t xml:space="preserve">Para una estimación local, identifique el empleador exacto, ubicación, tipo de contrato, horario, funciones y educación exigida. Dé mayor peso a:</w:t>
      </w:r>
    </w:p>
    <w:p>
      <w:pPr>
        <w:numPr>
          <w:ilvl w:val="0"/>
          <w:numId w:val="1015"/>
        </w:numPr>
        <w:pStyle w:val="Compact"/>
      </w:pPr>
      <w:r>
        <w:t xml:space="preserve">escalas salariales oficiales del sector público;</w:t>
      </w:r>
    </w:p>
    <w:p>
      <w:pPr>
        <w:numPr>
          <w:ilvl w:val="0"/>
          <w:numId w:val="1015"/>
        </w:numPr>
        <w:pStyle w:val="Compact"/>
      </w:pPr>
      <w:r>
        <w:t xml:space="preserve">vacantes de empleadores que divulguen la remuneración;</w:t>
      </w:r>
    </w:p>
    <w:p>
      <w:pPr>
        <w:numPr>
          <w:ilvl w:val="0"/>
          <w:numId w:val="1015"/>
        </w:numPr>
        <w:pStyle w:val="Compact"/>
      </w:pPr>
      <w:r>
        <w:t xml:space="preserve">fuentes reconocidas del mercado laboral;</w:t>
      </w:r>
    </w:p>
    <w:p>
      <w:pPr>
        <w:numPr>
          <w:ilvl w:val="0"/>
          <w:numId w:val="1015"/>
        </w:numPr>
        <w:pStyle w:val="Compact"/>
      </w:pPr>
      <w:r>
        <w:t xml:space="preserve">estimaciones de mercado claramente identificadas, con geografía y limitaciones de muestra.</w:t>
      </w:r>
    </w:p>
    <w:p>
      <w:pPr>
        <w:pStyle w:val="FirstParagraph"/>
      </w:pPr>
      <w:r>
        <w:t xml:space="preserve">Mantenga los salarios separados del voluntariado, estipendios, pagos por proyecto, subvenciones y reembolsos.</w:t>
      </w:r>
    </w:p>
    <w:bookmarkEnd w:id="42"/>
    <w:bookmarkEnd w:id="43"/>
    <w:bookmarkStart w:id="44" w:name="Xe26e8e5e41d1eae65d5c4e68b7293ca4c70d9aa"/>
    <w:p>
      <w:pPr>
        <w:pStyle w:val="Heading2"/>
      </w:pPr>
      <w:r>
        <w:t xml:space="preserve">8. Cómo desarrollar experiencia de manera ética</w:t>
      </w:r>
    </w:p>
    <w:p>
      <w:pPr>
        <w:pStyle w:val="FirstParagraph"/>
      </w:pPr>
      <w:r>
        <w:t xml:space="preserve">Un portafolio inicial puede demostrar habilidades de comunicación, orientación y conocimiento de recursos comunitarios sin exponer información privada.</w:t>
      </w:r>
    </w:p>
    <w:p>
      <w:pPr>
        <w:pStyle w:val="BodyText"/>
      </w:pPr>
      <w:r>
        <w:t xml:space="preserve">Ejemplos seguros:</w:t>
      </w:r>
    </w:p>
    <w:p>
      <w:pPr>
        <w:numPr>
          <w:ilvl w:val="0"/>
          <w:numId w:val="1016"/>
        </w:numPr>
        <w:pStyle w:val="Compact"/>
      </w:pPr>
      <w:r>
        <w:t xml:space="preserve">un directorio de recursos públicos con enlaces oficiales;</w:t>
      </w:r>
    </w:p>
    <w:p>
      <w:pPr>
        <w:numPr>
          <w:ilvl w:val="0"/>
          <w:numId w:val="1016"/>
        </w:numPr>
        <w:pStyle w:val="Compact"/>
      </w:pPr>
      <w:r>
        <w:t xml:space="preserve">una hoja informativa en lenguaje claro sobre navegación sanitaria, revisada contra una fuente oficial;</w:t>
      </w:r>
    </w:p>
    <w:p>
      <w:pPr>
        <w:numPr>
          <w:ilvl w:val="0"/>
          <w:numId w:val="1016"/>
        </w:numPr>
        <w:pStyle w:val="Compact"/>
      </w:pPr>
      <w:r>
        <w:t xml:space="preserve">un plan simulado de alcance comunitario con personas y organizaciones ficticias;</w:t>
      </w:r>
    </w:p>
    <w:p>
      <w:pPr>
        <w:numPr>
          <w:ilvl w:val="0"/>
          <w:numId w:val="1016"/>
        </w:numPr>
        <w:pStyle w:val="Compact"/>
      </w:pPr>
      <w:r>
        <w:t xml:space="preserve">un glosario bilingüe de términos no clínicos de orientación;</w:t>
      </w:r>
    </w:p>
    <w:p>
      <w:pPr>
        <w:numPr>
          <w:ilvl w:val="0"/>
          <w:numId w:val="1016"/>
        </w:numPr>
        <w:pStyle w:val="Compact"/>
      </w:pPr>
      <w:r>
        <w:t xml:space="preserve">un diagrama de flujo de remisiones sin datos reales de pacientes;</w:t>
      </w:r>
    </w:p>
    <w:p>
      <w:pPr>
        <w:numPr>
          <w:ilvl w:val="0"/>
          <w:numId w:val="1016"/>
        </w:numPr>
        <w:pStyle w:val="Compact"/>
      </w:pPr>
      <w:r>
        <w:t xml:space="preserve">una reflexión sobre humildad cultural, límites y escalamiento.</w:t>
      </w:r>
    </w:p>
    <w:p>
      <w:pPr>
        <w:pStyle w:val="FirstParagraph"/>
      </w:pPr>
      <w:r>
        <w:t xml:space="preserve">No incluya nombres, historiales médicos, direcciones, fotografías, números de identificación, detalles de citas, notas de casos ni otra información identificable de personas reales.</w:t>
      </w:r>
    </w:p>
    <w:bookmarkEnd w:id="44"/>
    <w:bookmarkStart w:id="45" w:name="X7dbac2cb6164f5e9396426fddfa47c30df7cea1"/>
    <w:p>
      <w:pPr>
        <w:pStyle w:val="Heading2"/>
      </w:pPr>
      <w:r>
        <w:t xml:space="preserve">9. Uso responsable de la inteligencia artificial</w:t>
      </w:r>
    </w:p>
    <w:p>
      <w:pPr>
        <w:pStyle w:val="FirstParagraph"/>
      </w:pPr>
      <w:r>
        <w:t xml:space="preserve">La inteligencia artificial puede ayudar a organizar información pública, mejorar la legibilidad, traducir un borrador para revisión posterior o generar escenarios de práctica. No debe sustituir el juicio profesional, las políticas locales, la asesoría clínica, los controles de privacidad ni la traducción calificada cuando la exactitud sea crítica.</w:t>
      </w:r>
    </w:p>
    <w:p>
      <w:pPr>
        <w:pStyle w:val="BodyText"/>
      </w:pPr>
      <w:r>
        <w:t xml:space="preserve">Aplique estas salvaguardas:</w:t>
      </w:r>
    </w:p>
    <w:p>
      <w:pPr>
        <w:numPr>
          <w:ilvl w:val="0"/>
          <w:numId w:val="1017"/>
        </w:numPr>
        <w:pStyle w:val="Compact"/>
      </w:pPr>
      <w:r>
        <w:t xml:space="preserve">nunca ingrese información personal de pacientes, clientes, solicitantes, empleados o miembros de la comunidad en un servicio de inteligencia artificial no autorizado;</w:t>
      </w:r>
    </w:p>
    <w:p>
      <w:pPr>
        <w:numPr>
          <w:ilvl w:val="0"/>
          <w:numId w:val="1017"/>
        </w:numPr>
        <w:pStyle w:val="Compact"/>
      </w:pPr>
      <w:r>
        <w:t xml:space="preserve">verifique la información sanitaria y de beneficios con fuentes oficiales vigentes;</w:t>
      </w:r>
    </w:p>
    <w:p>
      <w:pPr>
        <w:numPr>
          <w:ilvl w:val="0"/>
          <w:numId w:val="1017"/>
        </w:numPr>
        <w:pStyle w:val="Compact"/>
      </w:pPr>
      <w:r>
        <w:t xml:space="preserve">revele el uso de inteligencia artificial cuando lo exijan el empleador, institución educativa, financiador o política de publicación;</w:t>
      </w:r>
    </w:p>
    <w:p>
      <w:pPr>
        <w:numPr>
          <w:ilvl w:val="0"/>
          <w:numId w:val="1017"/>
        </w:numPr>
        <w:pStyle w:val="Compact"/>
      </w:pPr>
      <w:r>
        <w:t xml:space="preserve">haga que revisores calificados verifiquen material traducido o clínicamente sensible;</w:t>
      </w:r>
    </w:p>
    <w:p>
      <w:pPr>
        <w:numPr>
          <w:ilvl w:val="0"/>
          <w:numId w:val="1017"/>
        </w:numPr>
        <w:pStyle w:val="Compact"/>
      </w:pPr>
      <w:r>
        <w:t xml:space="preserve">no use inteligencia artificial para diagnosticar, prescribir, determinar elegibilidad ni tomar decisiones de emergencia;</w:t>
      </w:r>
    </w:p>
    <w:p>
      <w:pPr>
        <w:numPr>
          <w:ilvl w:val="0"/>
          <w:numId w:val="1017"/>
        </w:numPr>
        <w:pStyle w:val="Compact"/>
      </w:pPr>
      <w:r>
        <w:t xml:space="preserve">siga los sistemas y reglas de retención aprobados por el empleador.</w:t>
      </w:r>
    </w:p>
    <w:bookmarkEnd w:id="45"/>
    <w:bookmarkStart w:id="46" w:name="X9014dee9f0c109e6d4dcd8971b28c78a291b651"/>
    <w:p>
      <w:pPr>
        <w:pStyle w:val="Heading2"/>
      </w:pPr>
      <w:r>
        <w:t xml:space="preserve">10. Lista de verificación para buscar empleo</w:t>
      </w:r>
    </w:p>
    <w:p>
      <w:pPr>
        <w:pStyle w:val="FirstParagraph"/>
      </w:pPr>
      <w:r>
        <w:t xml:space="preserve">Antes de postularse:</w:t>
      </w:r>
    </w:p>
    <w:p>
      <w:pPr>
        <w:numPr>
          <w:ilvl w:val="0"/>
          <w:numId w:val="1018"/>
        </w:numPr>
        <w:pStyle w:val="Compact"/>
      </w:pPr>
      <w:r>
        <w:t xml:space="preserve">Confirme el título y las funciones exactas.</w:t>
      </w:r>
    </w:p>
    <w:p>
      <w:pPr>
        <w:numPr>
          <w:ilvl w:val="0"/>
          <w:numId w:val="1018"/>
        </w:numPr>
        <w:pStyle w:val="Compact"/>
      </w:pPr>
      <w:r>
        <w:t xml:space="preserve">Verifique si se exige certificación, registro, educación, conducción, revisión de antecedentes, inmunización, idioma o viajes.</w:t>
      </w:r>
    </w:p>
    <w:p>
      <w:pPr>
        <w:numPr>
          <w:ilvl w:val="0"/>
          <w:numId w:val="1018"/>
        </w:numPr>
        <w:pStyle w:val="Compact"/>
      </w:pPr>
      <w:r>
        <w:t xml:space="preserve">Confirme si el puesto corresponde a empleado, contratista, temporal, voluntario, pasantía, aprendizaje o actividad con estipendio.</w:t>
      </w:r>
    </w:p>
    <w:p>
      <w:pPr>
        <w:numPr>
          <w:ilvl w:val="0"/>
          <w:numId w:val="1018"/>
        </w:numPr>
        <w:pStyle w:val="Compact"/>
      </w:pPr>
      <w:r>
        <w:t xml:space="preserve">Compare correctamente el período de pago: por hora, mensual, anual, por visita o por proyecto.</w:t>
      </w:r>
    </w:p>
    <w:p>
      <w:pPr>
        <w:numPr>
          <w:ilvl w:val="0"/>
          <w:numId w:val="1018"/>
        </w:numPr>
        <w:pStyle w:val="Compact"/>
      </w:pPr>
      <w:r>
        <w:t xml:space="preserve">Pregunte por supervisión, seguridad, carga de casos, reembolso de viajes, tecnología, documentación y horario.</w:t>
      </w:r>
    </w:p>
    <w:p>
      <w:pPr>
        <w:numPr>
          <w:ilvl w:val="0"/>
          <w:numId w:val="1018"/>
        </w:numPr>
        <w:pStyle w:val="Compact"/>
      </w:pPr>
      <w:r>
        <w:t xml:space="preserve">Adapte el currículum de manera honesta, destacando conocimiento comunitario, orientación, alcance, idiomas, documentación y generación de confianza.</w:t>
      </w:r>
    </w:p>
    <w:p>
      <w:pPr>
        <w:numPr>
          <w:ilvl w:val="0"/>
          <w:numId w:val="1018"/>
        </w:numPr>
        <w:pStyle w:val="Compact"/>
      </w:pPr>
      <w:r>
        <w:t xml:space="preserve">Nunca afirme tener autoridad clínica ni credenciales que no posee.</w:t>
      </w:r>
    </w:p>
    <w:bookmarkEnd w:id="46"/>
    <w:bookmarkStart w:id="51" w:name="Xef4d5ddf2cc484945f8a7ce5fc5c62f7569faa4"/>
    <w:p>
      <w:pPr>
        <w:pStyle w:val="Heading2"/>
      </w:pPr>
      <w:r>
        <w:t xml:space="preserve">11. Plan de acción para los primeros 30 días</w:t>
      </w:r>
    </w:p>
    <w:bookmarkStart w:id="47" w:name="semana-1--explorar"/>
    <w:p>
      <w:pPr>
        <w:pStyle w:val="Heading3"/>
      </w:pPr>
      <w:r>
        <w:t xml:space="preserve">Semana 1 — Explorar</w:t>
      </w:r>
    </w:p>
    <w:p>
      <w:pPr>
        <w:numPr>
          <w:ilvl w:val="0"/>
          <w:numId w:val="1019"/>
        </w:numPr>
        <w:pStyle w:val="Compact"/>
      </w:pPr>
      <w:r>
        <w:t xml:space="preserve">Lea las páginas ocupacionales de los CDC y la Oficina de Estadísticas Laborales, o las fuentes oficiales de su país.</w:t>
      </w:r>
    </w:p>
    <w:p>
      <w:pPr>
        <w:numPr>
          <w:ilvl w:val="0"/>
          <w:numId w:val="1019"/>
        </w:numPr>
        <w:pStyle w:val="Compact"/>
      </w:pPr>
      <w:r>
        <w:t xml:space="preserve">Revise diez descripciones de puestos locales vigentes.</w:t>
      </w:r>
    </w:p>
    <w:p>
      <w:pPr>
        <w:numPr>
          <w:ilvl w:val="0"/>
          <w:numId w:val="1019"/>
        </w:numPr>
        <w:pStyle w:val="Compact"/>
      </w:pPr>
      <w:r>
        <w:t xml:space="preserve">Enumere los requisitos y títulos que se repiten.</w:t>
      </w:r>
    </w:p>
    <w:bookmarkEnd w:id="47"/>
    <w:bookmarkStart w:id="48" w:name="semana-2--construir-fundamentos"/>
    <w:p>
      <w:pPr>
        <w:pStyle w:val="Heading3"/>
      </w:pPr>
      <w:r>
        <w:t xml:space="preserve">Semana 2 — Construir fundamentos</w:t>
      </w:r>
    </w:p>
    <w:p>
      <w:pPr>
        <w:numPr>
          <w:ilvl w:val="0"/>
          <w:numId w:val="1020"/>
        </w:numPr>
        <w:pStyle w:val="Compact"/>
      </w:pPr>
      <w:r>
        <w:t xml:space="preserve">Complete un recurso oficial gratuito de aprendizaje.</w:t>
      </w:r>
    </w:p>
    <w:p>
      <w:pPr>
        <w:numPr>
          <w:ilvl w:val="0"/>
          <w:numId w:val="1020"/>
        </w:numPr>
        <w:pStyle w:val="Compact"/>
      </w:pPr>
      <w:r>
        <w:t xml:space="preserve">Cree un directorio de recursos locales.</w:t>
      </w:r>
    </w:p>
    <w:p>
      <w:pPr>
        <w:numPr>
          <w:ilvl w:val="0"/>
          <w:numId w:val="1020"/>
        </w:numPr>
        <w:pStyle w:val="Compact"/>
      </w:pPr>
      <w:r>
        <w:t xml:space="preserve">Practique la explicación en lenguaje claro y la documentación de remisiones.</w:t>
      </w:r>
    </w:p>
    <w:bookmarkEnd w:id="48"/>
    <w:bookmarkStart w:id="49" w:name="semana-3--verificar-las-vías"/>
    <w:p>
      <w:pPr>
        <w:pStyle w:val="Heading3"/>
      </w:pPr>
      <w:r>
        <w:t xml:space="preserve">Semana 3 — Verificar las vías</w:t>
      </w:r>
    </w:p>
    <w:p>
      <w:pPr>
        <w:numPr>
          <w:ilvl w:val="0"/>
          <w:numId w:val="1021"/>
        </w:numPr>
        <w:pStyle w:val="Compact"/>
      </w:pPr>
      <w:r>
        <w:t xml:space="preserve">Comuníquese con un centro de empleo, institución pública, oficina del SENA, autoridad sanitaria, asociación de trabajadores comunitarios o empleador.</w:t>
      </w:r>
    </w:p>
    <w:p>
      <w:pPr>
        <w:numPr>
          <w:ilvl w:val="0"/>
          <w:numId w:val="1021"/>
        </w:numPr>
        <w:pStyle w:val="Compact"/>
      </w:pPr>
      <w:r>
        <w:t xml:space="preserve">Pregunte qué programas reconocen realmente los empleadores.</w:t>
      </w:r>
    </w:p>
    <w:p>
      <w:pPr>
        <w:numPr>
          <w:ilvl w:val="0"/>
          <w:numId w:val="1021"/>
        </w:numPr>
        <w:pStyle w:val="Compact"/>
      </w:pPr>
      <w:r>
        <w:t xml:space="preserve">Compare financiación, experiencia de campo, horario y costo total.</w:t>
      </w:r>
    </w:p>
    <w:bookmarkEnd w:id="49"/>
    <w:bookmarkStart w:id="50" w:name="semana-4--postularse-con-cuidado"/>
    <w:p>
      <w:pPr>
        <w:pStyle w:val="Heading3"/>
      </w:pPr>
      <w:r>
        <w:t xml:space="preserve">Semana 4 — Postularse con cuidado</w:t>
      </w:r>
    </w:p>
    <w:p>
      <w:pPr>
        <w:numPr>
          <w:ilvl w:val="0"/>
          <w:numId w:val="1022"/>
        </w:numPr>
        <w:pStyle w:val="Compact"/>
      </w:pPr>
      <w:r>
        <w:t xml:space="preserve">Prepare un currículum veraz y un mensaje breve de presentación.</w:t>
      </w:r>
    </w:p>
    <w:p>
      <w:pPr>
        <w:numPr>
          <w:ilvl w:val="0"/>
          <w:numId w:val="1022"/>
        </w:numPr>
        <w:pStyle w:val="Compact"/>
      </w:pPr>
      <w:r>
        <w:t xml:space="preserve">Postúlese a cargos realistas de formación, alcance, navegación o trabajo comunitario de salud.</w:t>
      </w:r>
    </w:p>
    <w:p>
      <w:pPr>
        <w:numPr>
          <w:ilvl w:val="0"/>
          <w:numId w:val="1022"/>
        </w:numPr>
        <w:pStyle w:val="Compact"/>
      </w:pPr>
      <w:r>
        <w:t xml:space="preserve">Registre postulaciones, seguimientos, requisitos y resultados.</w:t>
      </w:r>
    </w:p>
    <w:bookmarkEnd w:id="50"/>
    <w:bookmarkEnd w:id="51"/>
    <w:bookmarkStart w:id="58" w:name="Xc3c419b112cc51c92c12606dd8a3ee34ecbdf9a"/>
    <w:p>
      <w:pPr>
        <w:pStyle w:val="Heading2"/>
      </w:pPr>
      <w:r>
        <w:t xml:space="preserve">12. Registro controlado de fuentes</w:t>
      </w:r>
    </w:p>
    <w:p>
      <w:pPr>
        <w:numPr>
          <w:ilvl w:val="0"/>
          <w:numId w:val="1023"/>
        </w:numPr>
        <w:pStyle w:val="Compact"/>
      </w:pPr>
      <w:r>
        <w:t xml:space="preserve">Centers for Disease Control and Prevention,</w:t>
      </w:r>
      <w:r>
        <w:t xml:space="preserve"> </w:t>
      </w:r>
      <w:r>
        <w:rPr>
          <w:iCs/>
          <w:i/>
        </w:rPr>
        <w:t xml:space="preserve">Resources for Community Health Workers</w:t>
      </w:r>
      <w:r>
        <w:t xml:space="preserve">, página con fecha 3 de diciembre de 2024:</w:t>
      </w:r>
      <w:r>
        <w:t xml:space="preserve"> </w:t>
      </w:r>
      <w:hyperlink r:id="rId27">
        <w:r>
          <w:rPr>
            <w:rStyle w:val="Hyperlink"/>
          </w:rPr>
          <w:t xml:space="preserve">https://www.cdc.gov/chronic-disease/php/community-health-worker-resources/index.html</w:t>
        </w:r>
      </w:hyperlink>
    </w:p>
    <w:p>
      <w:pPr>
        <w:numPr>
          <w:ilvl w:val="0"/>
          <w:numId w:val="1023"/>
        </w:numPr>
        <w:pStyle w:val="Compact"/>
      </w:pPr>
      <w:r>
        <w:t xml:space="preserve">Recurso archivado de formación cardiovascular para trabajadores comunitarios de los CDC, revisado el 27 de abril de 2022:</w:t>
      </w:r>
      <w:r>
        <w:t xml:space="preserve"> </w:t>
      </w:r>
      <w:hyperlink r:id="rId28">
        <w:r>
          <w:rPr>
            <w:rStyle w:val="Hyperlink"/>
          </w:rPr>
          <w:t xml:space="preserve">https://archive.cdc.gov/www_cdc_gov/dhdsp/programs/spha/chw_training/index.htm</w:t>
        </w:r>
      </w:hyperlink>
    </w:p>
    <w:p>
      <w:pPr>
        <w:numPr>
          <w:ilvl w:val="0"/>
          <w:numId w:val="1023"/>
        </w:numPr>
        <w:pStyle w:val="Compact"/>
      </w:pPr>
      <w:r>
        <w:t xml:space="preserve">U.S. Bureau of Labor Statistics,</w:t>
      </w:r>
      <w:r>
        <w:t xml:space="preserve"> </w:t>
      </w:r>
      <w:r>
        <w:rPr>
          <w:iCs/>
          <w:i/>
        </w:rPr>
        <w:t xml:space="preserve">Occupational Outlook Handbook, Community Health Workers</w:t>
      </w:r>
      <w:r>
        <w:t xml:space="preserve">, modificado el 28 de agosto de 2025:</w:t>
      </w:r>
      <w:r>
        <w:t xml:space="preserve"> </w:t>
      </w:r>
      <w:hyperlink r:id="rId37">
        <w:r>
          <w:rPr>
            <w:rStyle w:val="Hyperlink"/>
          </w:rPr>
          <w:t xml:space="preserve">https://www.bls.gov/ooh/community-and-social-service/community-health-workers.htm</w:t>
        </w:r>
      </w:hyperlink>
    </w:p>
    <w:p>
      <w:pPr>
        <w:numPr>
          <w:ilvl w:val="0"/>
          <w:numId w:val="1023"/>
        </w:numPr>
        <w:pStyle w:val="Compact"/>
      </w:pPr>
      <w:r>
        <w:t xml:space="preserve">Glassdoor, estimación salarial para trabajadores comunitarios de salud en Estados Unidos, consultada el 6 de agosto de 2026; remuneración total mediana estimada de USD 52.000 y rango típico aproximado de USD 44.000–63.000:</w:t>
      </w:r>
      <w:r>
        <w:t xml:space="preserve"> </w:t>
      </w:r>
      <w:hyperlink r:id="rId52">
        <w:r>
          <w:rPr>
            <w:rStyle w:val="Hyperlink"/>
          </w:rPr>
          <w:t xml:space="preserve">https://www.glassdoor.com/Salaries/community-health-worker-salary-SRCH_KO0,23.htm</w:t>
        </w:r>
      </w:hyperlink>
    </w:p>
    <w:p>
      <w:pPr>
        <w:numPr>
          <w:ilvl w:val="0"/>
          <w:numId w:val="1023"/>
        </w:numPr>
        <w:pStyle w:val="Compact"/>
      </w:pPr>
      <w:r>
        <w:t xml:space="preserve">ZipRecruiter, estimación salarial para trabajadores comunitarios de salud en Estados Unidos, fechada el 27 de julio de 2026; promedio estimado de USD 44.925 basado en anuncios de empleadores y datos de terceros:</w:t>
      </w:r>
      <w:r>
        <w:t xml:space="preserve"> </w:t>
      </w:r>
      <w:hyperlink r:id="rId53">
        <w:r>
          <w:rPr>
            <w:rStyle w:val="Hyperlink"/>
          </w:rPr>
          <w:t xml:space="preserve">https://www.ziprecruiter.com/Salaries/Community-Health-Worker-Salary</w:t>
        </w:r>
      </w:hyperlink>
    </w:p>
    <w:p>
      <w:pPr>
        <w:numPr>
          <w:ilvl w:val="0"/>
          <w:numId w:val="1023"/>
        </w:numPr>
        <w:pStyle w:val="Compact"/>
      </w:pPr>
      <w:r>
        <w:t xml:space="preserve">Government of Canada Job Bank, resumen y requisitos de</w:t>
      </w:r>
      <w:r>
        <w:t xml:space="preserve"> </w:t>
      </w:r>
      <w:r>
        <w:rPr>
          <w:iCs/>
          <w:i/>
        </w:rPr>
        <w:t xml:space="preserve">Community Health Worker</w:t>
      </w:r>
      <w:r>
        <w:t xml:space="preserve">, modificados el 2 de junio de 2026:</w:t>
      </w:r>
      <w:r>
        <w:t xml:space="preserve"> </w:t>
      </w:r>
      <w:hyperlink r:id="rId54">
        <w:r>
          <w:rPr>
            <w:rStyle w:val="Hyperlink"/>
          </w:rPr>
          <w:t xml:space="preserve">https://www.jobbank.gc.ca/marketreport/summary-occupation/296075/ca</w:t>
        </w:r>
      </w:hyperlink>
      <w:r>
        <w:t xml:space="preserve"> </w:t>
      </w:r>
      <w:r>
        <w:t xml:space="preserve">y</w:t>
      </w:r>
      <w:r>
        <w:t xml:space="preserve"> </w:t>
      </w:r>
      <w:hyperlink r:id="rId55">
        <w:r>
          <w:rPr>
            <w:rStyle w:val="Hyperlink"/>
          </w:rPr>
          <w:t xml:space="preserve">https://www.jobbank.gc.ca/marketreport/requirements/296075/ca</w:t>
        </w:r>
      </w:hyperlink>
    </w:p>
    <w:p>
      <w:pPr>
        <w:numPr>
          <w:ilvl w:val="0"/>
          <w:numId w:val="1023"/>
        </w:numPr>
        <w:pStyle w:val="Compact"/>
      </w:pPr>
      <w:r>
        <w:t xml:space="preserve">Government of Canada Job Bank, informe salarial, modificado el 2 de junio de 2026:</w:t>
      </w:r>
      <w:r>
        <w:t xml:space="preserve"> </w:t>
      </w:r>
      <w:hyperlink r:id="rId40">
        <w:r>
          <w:rPr>
            <w:rStyle w:val="Hyperlink"/>
          </w:rPr>
          <w:t xml:space="preserve">https://www.jobbank.gc.ca/marketreport/wages-occupation/296075/ca</w:t>
        </w:r>
      </w:hyperlink>
    </w:p>
    <w:p>
      <w:pPr>
        <w:numPr>
          <w:ilvl w:val="0"/>
          <w:numId w:val="1023"/>
        </w:numPr>
        <w:pStyle w:val="Compact"/>
      </w:pPr>
      <w:r>
        <w:t xml:space="preserve">Ministerio de Salud y Protección Social, Rutas Integrales de Atención en Salud:</w:t>
      </w:r>
      <w:r>
        <w:t xml:space="preserve"> </w:t>
      </w:r>
      <w:hyperlink r:id="rId56">
        <w:r>
          <w:rPr>
            <w:rStyle w:val="Hyperlink"/>
          </w:rPr>
          <w:t xml:space="preserve">https://www.minsalud.gov.co/salud/publica/ssr/Paginas/Rutas-integrales-de-atencion-en-salud-RIAS.aspx</w:t>
        </w:r>
      </w:hyperlink>
    </w:p>
    <w:p>
      <w:pPr>
        <w:numPr>
          <w:ilvl w:val="0"/>
          <w:numId w:val="1023"/>
        </w:numPr>
        <w:pStyle w:val="Compact"/>
      </w:pPr>
      <w:r>
        <w:t xml:space="preserve">Ministerio de Salud y Protección Social, Política de Participación Social en Salud, fundamento normativo Resolución 2063 de 2017:</w:t>
      </w:r>
      <w:r>
        <w:t xml:space="preserve"> </w:t>
      </w:r>
      <w:hyperlink r:id="rId57">
        <w:r>
          <w:rPr>
            <w:rStyle w:val="Hyperlink"/>
          </w:rPr>
          <w:t xml:space="preserve">https://minsalud.gov.co/Participa/Paginas/Consulta-ciudadana-derecho-a-la-informacion-publica.aspx</w:t>
        </w:r>
      </w:hyperlink>
    </w:p>
    <w:bookmarkEnd w:id="58"/>
    <w:bookmarkStart w:id="59" w:name="Xcd262fb432c5b5197bbc51efc959c501e8a57f1"/>
    <w:p>
      <w:pPr>
        <w:pStyle w:val="Heading2"/>
      </w:pPr>
      <w:r>
        <w:t xml:space="preserve">13. Estado de control de calidad y revisión</w:t>
      </w:r>
    </w:p>
    <w:p>
      <w:pPr>
        <w:pStyle w:val="FirstParagraph"/>
      </w:pPr>
      <w:r>
        <w:t xml:space="preserve">Completado para este maestro de trabajo:</w:t>
      </w:r>
    </w:p>
    <w:p>
      <w:pPr>
        <w:numPr>
          <w:ilvl w:val="0"/>
          <w:numId w:val="1024"/>
        </w:numPr>
        <w:pStyle w:val="Compact"/>
      </w:pPr>
      <w:r>
        <w:t xml:space="preserve">traducción integral desde el maestro controlado en inglés;</w:t>
      </w:r>
    </w:p>
    <w:p>
      <w:pPr>
        <w:numPr>
          <w:ilvl w:val="0"/>
          <w:numId w:val="1024"/>
        </w:numPr>
        <w:pStyle w:val="Compact"/>
      </w:pPr>
      <w:r>
        <w:t xml:space="preserve">aplicación del registro terminológico es-419;</w:t>
      </w:r>
    </w:p>
    <w:p>
      <w:pPr>
        <w:numPr>
          <w:ilvl w:val="0"/>
          <w:numId w:val="1024"/>
        </w:numPr>
        <w:pStyle w:val="Compact"/>
      </w:pPr>
      <w:r>
        <w:t xml:space="preserve">controles sobre el alcance ocupacional;</w:t>
      </w:r>
    </w:p>
    <w:p>
      <w:pPr>
        <w:numPr>
          <w:ilvl w:val="0"/>
          <w:numId w:val="1024"/>
        </w:numPr>
        <w:pStyle w:val="Compact"/>
      </w:pPr>
      <w:r>
        <w:t xml:space="preserve">vías para Estados Unidos, Canadá, América Latina y Colombia;</w:t>
      </w:r>
    </w:p>
    <w:p>
      <w:pPr>
        <w:numPr>
          <w:ilvl w:val="0"/>
          <w:numId w:val="1024"/>
        </w:numPr>
        <w:pStyle w:val="Compact"/>
      </w:pPr>
      <w:r>
        <w:t xml:space="preserve">orientación sobre financiación y aprendizaje gratuito primero;</w:t>
      </w:r>
    </w:p>
    <w:p>
      <w:pPr>
        <w:numPr>
          <w:ilvl w:val="0"/>
          <w:numId w:val="1024"/>
        </w:numPr>
        <w:pStyle w:val="Compact"/>
      </w:pPr>
      <w:r>
        <w:t xml:space="preserve">controles sobre aprendizajes y formación basada en el trabajo;</w:t>
      </w:r>
    </w:p>
    <w:p>
      <w:pPr>
        <w:numPr>
          <w:ilvl w:val="0"/>
          <w:numId w:val="1024"/>
        </w:numPr>
        <w:pStyle w:val="Compact"/>
      </w:pPr>
      <w:r>
        <w:t xml:space="preserve">cifras controladas de ingresos de Estados Unidos y Canadá;</w:t>
      </w:r>
    </w:p>
    <w:p>
      <w:pPr>
        <w:numPr>
          <w:ilvl w:val="0"/>
          <w:numId w:val="1024"/>
        </w:numPr>
        <w:pStyle w:val="Compact"/>
      </w:pPr>
      <w:r>
        <w:t xml:space="preserve">salvaguardas de privacidad y uso responsable de inteligencia artificial;</w:t>
      </w:r>
    </w:p>
    <w:p>
      <w:pPr>
        <w:numPr>
          <w:ilvl w:val="0"/>
          <w:numId w:val="1024"/>
        </w:numPr>
        <w:pStyle w:val="Compact"/>
      </w:pPr>
      <w:r>
        <w:t xml:space="preserve">estructura en lenguaje claro y encabezados orientados a la accesibilidad;</w:t>
      </w:r>
    </w:p>
    <w:p>
      <w:pPr>
        <w:numPr>
          <w:ilvl w:val="0"/>
          <w:numId w:val="1024"/>
        </w:numPr>
        <w:pStyle w:val="Compact"/>
      </w:pPr>
      <w:r>
        <w:t xml:space="preserve">limitaciones explícitas sobre certificación y promesas de empleo.</w:t>
      </w:r>
    </w:p>
    <w:p>
      <w:pPr>
        <w:pStyle w:val="FirstParagraph"/>
      </w:pPr>
      <w:r>
        <w:t xml:space="preserve">Aún se requiere antes de la publicación:</w:t>
      </w:r>
    </w:p>
    <w:p>
      <w:pPr>
        <w:numPr>
          <w:ilvl w:val="0"/>
          <w:numId w:val="1025"/>
        </w:numPr>
        <w:pStyle w:val="Compact"/>
      </w:pPr>
      <w:r>
        <w:t xml:space="preserve">validar todos los enlaces externos desde el entorno final candidato;</w:t>
      </w:r>
    </w:p>
    <w:p>
      <w:pPr>
        <w:numPr>
          <w:ilvl w:val="0"/>
          <w:numId w:val="1025"/>
        </w:numPr>
        <w:pStyle w:val="Compact"/>
      </w:pPr>
      <w:r>
        <w:t xml:space="preserve">revalidar las estimaciones complementarias no gubernamentales inmediatamente antes de la publicación y conservar sus limitaciones metodológicas;</w:t>
      </w:r>
    </w:p>
    <w:p>
      <w:pPr>
        <w:numPr>
          <w:ilvl w:val="0"/>
          <w:numId w:val="1025"/>
        </w:numPr>
        <w:pStyle w:val="Compact"/>
      </w:pPr>
      <w:r>
        <w:t xml:space="preserve">generar candidatos DOCX y PDF con texto buscable;</w:t>
      </w:r>
    </w:p>
    <w:p>
      <w:pPr>
        <w:numPr>
          <w:ilvl w:val="0"/>
          <w:numId w:val="1025"/>
        </w:numPr>
        <w:pStyle w:val="Compact"/>
      </w:pPr>
      <w:r>
        <w:t xml:space="preserve">verificar OOXML, hipervínculos, texto PDF, metadatos, representación de páginas, nombres de archivo, sumas de verificación y manifiestos de publicación;</w:t>
      </w:r>
    </w:p>
    <w:p>
      <w:pPr>
        <w:numPr>
          <w:ilvl w:val="0"/>
          <w:numId w:val="1025"/>
        </w:numPr>
        <w:pStyle w:val="Compact"/>
      </w:pPr>
      <w:r>
        <w:t xml:space="preserve">no describir la revisión automatizada como certificación humana independiente, certificación profesional de traducción, revisión de acreditación, certificación de accesibilidad, revisión médica o revisión jurídica.</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_rels/footnotes.xml.rels><?xml version="1.0" encoding="UTF-8"?><Relationships xmlns="http://schemas.openxmlformats.org/package/2006/relationships"><Relationship Type="http://schemas.openxmlformats.org/officeDocument/2006/relationships/hyperlink" Id="rId28" Target="https://archive.cdc.gov/www_cdc_gov/dhdsp/programs/spha/chw_training/index.htm" TargetMode="External" /><Relationship Type="http://schemas.openxmlformats.org/officeDocument/2006/relationships/hyperlink" Id="rId57" Target="https://minsalud.gov.co/Participa/Paginas/Consulta-ciudadana-derecho-a-la-informacion-publica.aspx" TargetMode="External" /><Relationship Type="http://schemas.openxmlformats.org/officeDocument/2006/relationships/hyperlink" Id="rId35" Target="https://www.apprenticeship.gov/apprenticeship-job-finder" TargetMode="External" /><Relationship Type="http://schemas.openxmlformats.org/officeDocument/2006/relationships/hyperlink" Id="rId37" Target="https://www.bls.gov/ooh/community-and-social-service/community-health-workers.htm" TargetMode="External" /><Relationship Type="http://schemas.openxmlformats.org/officeDocument/2006/relationships/hyperlink" Id="rId29" Target="https://www.careeronestop.org/LocalHelp/AmericanJobCenters/american-job-centers.aspx" TargetMode="External" /><Relationship Type="http://schemas.openxmlformats.org/officeDocument/2006/relationships/hyperlink" Id="rId27" Target="https://www.cdc.gov/chronic-disease/php/community-health-worker-resources/index.html" TargetMode="External" /><Relationship Type="http://schemas.openxmlformats.org/officeDocument/2006/relationships/hyperlink" Id="rId52" Target="https://www.glassdoor.com/Salaries/community-health-worker-salary-SRCH_KO0,23.htm" TargetMode="External" /><Relationship Type="http://schemas.openxmlformats.org/officeDocument/2006/relationships/hyperlink" Id="rId55" Target="https://www.jobbank.gc.ca/marketreport/requirements/296075/ca" TargetMode="External" /><Relationship Type="http://schemas.openxmlformats.org/officeDocument/2006/relationships/hyperlink" Id="rId54" Target="https://www.jobbank.gc.ca/marketreport/summary-occupation/296075/ca" TargetMode="External" /><Relationship Type="http://schemas.openxmlformats.org/officeDocument/2006/relationships/hyperlink" Id="rId40" Target="https://www.jobbank.gc.ca/marketreport/wages-occupation/296075/ca" TargetMode="External" /><Relationship Type="http://schemas.openxmlformats.org/officeDocument/2006/relationships/hyperlink" Id="rId56" Target="https://www.minsalud.gov.co/salud/publica/ssr/Paginas/Rutas-integrales-de-atencion-en-salud-RIAS.aspx" TargetMode="External" /><Relationship Type="http://schemas.openxmlformats.org/officeDocument/2006/relationships/hyperlink" Id="rId53" Target="https://www.ziprecruiter.com/Salaries/Community-Health-Wor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2026-08-06T14:06:25Z</dcterms:created>
  <dcterms:modified xsi:type="dcterms:W3CDTF">2026-08-06T14:06:25Z</dcterms:modified>
</cp:coreProperties>
</file>

<file path=docProps/custom.xml><?xml version="1.0" encoding="utf-8"?>
<Properties xmlns="http://schemas.openxmlformats.org/officeDocument/2006/custom-properties" xmlns:vt="http://schemas.openxmlformats.org/officeDocument/2006/docPropsVTypes"/>
</file>