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lifelong-opportunity-guide-03"/>
    <w:p>
      <w:pPr>
        <w:pStyle w:val="Heading1"/>
      </w:pPr>
      <w:r>
        <w:t xml:space="preserve">Lifelong Opportunity Guide 03</w:t>
      </w:r>
    </w:p>
    <w:bookmarkStart w:id="20" w:name="Xb03cf791be5b984cdd026ed12c5315ae3e73713"/>
    <w:p>
      <w:pPr>
        <w:pStyle w:val="Heading2"/>
      </w:pPr>
      <w:r>
        <w:t xml:space="preserve">Medical Billing and Coding Specialist — English Working Master v2</w:t>
      </w:r>
    </w:p>
    <w:p>
      <w:pPr>
        <w:pStyle w:val="FirstParagraph"/>
      </w:pPr>
      <w:r>
        <w:rPr>
          <w:bCs/>
          <w:b/>
        </w:rPr>
        <w:t xml:space="preserve">Controlled revision status:</w:t>
      </w:r>
      <w:r>
        <w:t xml:space="preserve"> </w:t>
      </w:r>
      <w:r>
        <w:t xml:space="preserve">Working master for factual, editorial, translation, accessibility, and publication QA. Not yet a final publication candidate.</w:t>
      </w:r>
    </w:p>
    <w:p>
      <w:pPr>
        <w:pStyle w:val="BodyText"/>
      </w:pPr>
      <w:r>
        <w:t xml:space="preserve">A free, accessible career and education guide created and directed by</w:t>
      </w:r>
      <w:r>
        <w:t xml:space="preserve"> </w:t>
      </w:r>
      <w:r>
        <w:rPr>
          <w:bCs/>
          <w:b/>
        </w:rPr>
        <w:t xml:space="preserve">Alberto “Al” Leiva</w:t>
      </w:r>
      <w:r>
        <w:t xml:space="preserve">.</w:t>
      </w:r>
    </w:p>
    <w:p>
      <w:pPr>
        <w:pStyle w:val="BodyText"/>
      </w:pPr>
      <w:r>
        <w:rPr>
          <w:bCs/>
          <w:b/>
        </w:rPr>
        <w:t xml:space="preserve">Version:</w:t>
      </w:r>
      <w:r>
        <w:t xml:space="preserve"> </w:t>
      </w:r>
      <w:r>
        <w:t xml:space="preserve">2.0 working master</w:t>
      </w:r>
      <w:r>
        <w:br/>
      </w:r>
      <w:r>
        <w:rPr>
          <w:bCs/>
          <w:b/>
        </w:rPr>
        <w:t xml:space="preserve">Revision date:</w:t>
      </w:r>
      <w:r>
        <w:t xml:space="preserve"> </w:t>
      </w:r>
      <w:r>
        <w:t xml:space="preserve">August 2026</w:t>
      </w:r>
      <w:r>
        <w:br/>
      </w:r>
      <w:r>
        <w:rPr>
          <w:bCs/>
          <w:b/>
        </w:rPr>
        <w:t xml:space="preserve">License:</w:t>
      </w:r>
      <w:r>
        <w:t xml:space="preserve"> </w:t>
      </w:r>
      <w:r>
        <w:t xml:space="preserve">CC BY-NC-SA 4.0</w:t>
      </w:r>
    </w:p>
    <w:bookmarkEnd w:id="20"/>
    <w:bookmarkStart w:id="21" w:name="the-promise-of-this-guide"/>
    <w:p>
      <w:pPr>
        <w:pStyle w:val="Heading2"/>
      </w:pPr>
      <w:r>
        <w:t xml:space="preserve">The promise of this guide</w:t>
      </w:r>
    </w:p>
    <w:p>
      <w:pPr>
        <w:pStyle w:val="FirstParagraph"/>
      </w:pPr>
      <w:r>
        <w:t xml:space="preserve">This guide does not promise that medical billing and coding work is right for everyone, that education will be free, that a particular credential will be accepted everywhere, or that training will lead to a job. It helps you understand related but distinct billing, coding, health information, records, claims, denial and revenue-cycle functions; compare realistic pathways; verify requirements; and avoid expensive or misleading commitments.</w:t>
      </w:r>
    </w:p>
    <w:bookmarkEnd w:id="21"/>
    <w:bookmarkStart w:id="22" w:name="why-i-created-this-guide"/>
    <w:p>
      <w:pPr>
        <w:pStyle w:val="Heading2"/>
      </w:pPr>
      <w:r>
        <w:t xml:space="preserve">Why I Created This Guide</w:t>
      </w:r>
    </w:p>
    <w:p>
      <w:pPr>
        <w:pStyle w:val="FirstParagraph"/>
      </w:pPr>
      <w:r>
        <w:t xml:space="preserve">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pPr>
        <w:pStyle w:val="BodyText"/>
      </w:pPr>
      <w:r>
        <w:t xml:space="preserve">Medical billing and coding can be a practical career direction or a bridge to related health-information and revenue-cycle work. The purpose of this manual is to show the real tasks, risks, education choices, funding options, worker protections, and exit paths before a reader spends money or accepts obligations.</w:t>
      </w:r>
    </w:p>
    <w:bookmarkEnd w:id="22"/>
    <w:bookmarkStart w:id="23" w:name="acknowledgment-of-ai-assistance"/>
    <w:p>
      <w:pPr>
        <w:pStyle w:val="Heading2"/>
      </w:pPr>
      <w:r>
        <w:t xml:space="preserve">Acknowledgment of AI Assistance</w:t>
      </w:r>
    </w:p>
    <w:p>
      <w:pPr>
        <w:pStyle w:val="FirstParagraph"/>
      </w:pPr>
      <w:r>
        <w:t xml:space="preserve">I conceived, directed, and take responsibility for this guide. I used ChatGPT by OpenAI as a collaborative tool to help research public resources, organize ideas, improve spelling and grammar, strengthen clarity, compare source evidence, and prepare the document. AI assistance does not replace official sources, qualified professionals, accountable human judgment, or the reader’s responsibility to verify important information.</w:t>
      </w:r>
    </w:p>
    <w:bookmarkEnd w:id="23"/>
    <w:bookmarkStart w:id="24" w:name="ethical-and-practical-limits"/>
    <w:p>
      <w:pPr>
        <w:pStyle w:val="Heading2"/>
      </w:pPr>
      <w:r>
        <w:t xml:space="preserve">Ethical and Practical Limits</w:t>
      </w:r>
    </w:p>
    <w:p>
      <w:pPr>
        <w:numPr>
          <w:ilvl w:val="0"/>
          <w:numId w:val="1001"/>
        </w:numPr>
        <w:pStyle w:val="Compact"/>
      </w:pPr>
      <w:r>
        <w:t xml:space="preserve">No career assessment can guarantee enjoyment, employment, promotion, funding, certification, licensing, or income.</w:t>
      </w:r>
    </w:p>
    <w:p>
      <w:pPr>
        <w:numPr>
          <w:ilvl w:val="0"/>
          <w:numId w:val="1001"/>
        </w:numPr>
        <w:pStyle w:val="Compact"/>
      </w:pPr>
      <w:r>
        <w:t xml:space="preserve">Requirements differ by employer, payer, jurisdiction, work setting, contract and client.</w:t>
      </w:r>
    </w:p>
    <w:p>
      <w:pPr>
        <w:numPr>
          <w:ilvl w:val="0"/>
          <w:numId w:val="1001"/>
        </w:numPr>
        <w:pStyle w:val="Compact"/>
      </w:pPr>
      <w:r>
        <w:t xml:space="preserve">Medical coding, medical billing, health-information management, records work and revenue-cycle functions overlap but are not identical occupations.</w:t>
      </w:r>
    </w:p>
    <w:p>
      <w:pPr>
        <w:numPr>
          <w:ilvl w:val="0"/>
          <w:numId w:val="1001"/>
        </w:numPr>
        <w:pStyle w:val="Compact"/>
      </w:pPr>
      <w:r>
        <w:t xml:space="preserve">This guide provides general education and navigation, not individualized legal, tax, medical, coding and compliance, privacy, immigration, financial, or licensed vocational advice.</w:t>
      </w:r>
    </w:p>
    <w:p>
      <w:pPr>
        <w:numPr>
          <w:ilvl w:val="0"/>
          <w:numId w:val="1001"/>
        </w:numPr>
        <w:pStyle w:val="Compact"/>
      </w:pPr>
      <w:r>
        <w:t xml:space="preserve">Do not pay a large nonrefundable fee, borrow money, or sign a repayment agreement because someone pressures you to act immediately.</w:t>
      </w:r>
    </w:p>
    <w:p>
      <w:pPr>
        <w:numPr>
          <w:ilvl w:val="0"/>
          <w:numId w:val="1001"/>
        </w:numPr>
        <w:pStyle w:val="Compact"/>
      </w:pPr>
      <w:r>
        <w:t xml:space="preserve">Verify high-impact facts with current official sources before making a financial, educational, employment, coding, privacy, or legal commitment.</w:t>
      </w:r>
    </w:p>
    <w:bookmarkEnd w:id="24"/>
    <w:bookmarkStart w:id="25" w:name="Xebbaee7403b7c150762dce56b4b69f77dbabef6"/>
    <w:p>
      <w:pPr>
        <w:pStyle w:val="Heading2"/>
      </w:pPr>
      <w:r>
        <w:t xml:space="preserve">How This Guide Relates to the Foundation Guide</w:t>
      </w:r>
    </w:p>
    <w:p>
      <w:pPr>
        <w:pStyle w:val="FirstParagraph"/>
      </w:pPr>
      <w:r>
        <w:t xml:space="preserve">The Foundation Guide explains the project-wide decision process, school verification, education funding, accessibility, worker protections, ethical AI, and release standards. This manual applies those standards to medical billing, coding, health-information and related revenue-cycle work.</w:t>
      </w:r>
    </w:p>
    <w:bookmarkEnd w:id="25"/>
    <w:bookmarkEnd w:id="26"/>
    <w:bookmarkStart w:id="28" w:name="X8bf4968bfc601cd6bf29ebffba27e3d88588c35"/>
    <w:p>
      <w:pPr>
        <w:pStyle w:val="Heading1"/>
      </w:pPr>
      <w:r>
        <w:t xml:space="preserve">1. How to Use This Guide</w:t>
      </w:r>
    </w:p>
    <w:bookmarkStart w:id="27" w:name="decision-rules"/>
    <w:p>
      <w:pPr>
        <w:pStyle w:val="Heading2"/>
      </w:pPr>
      <w:r>
        <w:t xml:space="preserve">Decision rules</w:t>
      </w:r>
    </w:p>
    <w:p>
      <w:pPr>
        <w:numPr>
          <w:ilvl w:val="0"/>
          <w:numId w:val="1002"/>
        </w:numPr>
        <w:pStyle w:val="Compact"/>
      </w:pPr>
      <w:r>
        <w:t xml:space="preserve">Do not begin by choosing a school. Begin by understanding the actual work and the requirements of employers in the market where you intend to work.</w:t>
      </w:r>
    </w:p>
    <w:p>
      <w:pPr>
        <w:numPr>
          <w:ilvl w:val="0"/>
          <w:numId w:val="1002"/>
        </w:numPr>
        <w:pStyle w:val="Compact"/>
      </w:pPr>
      <w:r>
        <w:t xml:space="preserve">Separate legal requirements, payer or client rules, common employer preferences, credential-body rules and optional advantages.</w:t>
      </w:r>
    </w:p>
    <w:p>
      <w:pPr>
        <w:numPr>
          <w:ilvl w:val="0"/>
          <w:numId w:val="1002"/>
        </w:numPr>
        <w:pStyle w:val="Compact"/>
      </w:pPr>
      <w:r>
        <w:t xml:space="preserve">Review current local job postings and official sources before relying on national summaries.</w:t>
      </w:r>
    </w:p>
    <w:p>
      <w:pPr>
        <w:numPr>
          <w:ilvl w:val="0"/>
          <w:numId w:val="1002"/>
        </w:numPr>
        <w:pStyle w:val="Compact"/>
      </w:pPr>
      <w:r>
        <w:t xml:space="preserve">Treat national wage data as context, not a personal salary promise.</w:t>
      </w:r>
    </w:p>
    <w:p>
      <w:pPr>
        <w:numPr>
          <w:ilvl w:val="0"/>
          <w:numId w:val="1002"/>
        </w:numPr>
        <w:pStyle w:val="Compact"/>
      </w:pPr>
      <w:r>
        <w:t xml:space="preserve">Verify whether a credential is actually requested by employers you are targeting before paying for training or an exam.</w:t>
      </w:r>
    </w:p>
    <w:p>
      <w:pPr>
        <w:numPr>
          <w:ilvl w:val="0"/>
          <w:numId w:val="1002"/>
        </w:numPr>
        <w:pStyle w:val="Compact"/>
      </w:pPr>
      <w:r>
        <w:t xml:space="preserve">Pause before borrowing, relocating, buying expensive proprietary training, or signing an employment service commitment.</w:t>
      </w:r>
    </w:p>
    <w:bookmarkEnd w:id="27"/>
    <w:bookmarkEnd w:id="28"/>
    <w:bookmarkStart w:id="31" w:name="Xe95dc4dafbd23f01d45408e1dab9b6997b077e0"/>
    <w:p>
      <w:pPr>
        <w:pStyle w:val="Heading1"/>
      </w:pPr>
      <w:r>
        <w:t xml:space="preserve">2. What the Work Is</w:t>
      </w:r>
    </w:p>
    <w:p>
      <w:pPr>
        <w:pStyle w:val="FirstParagraph"/>
      </w:pPr>
      <w:r>
        <w:t xml:space="preserve">Medical billing specialists generally work with claims, payments, denials, patient accounts, payer requirements and revenue-cycle follow-up. Medical coding specialists translate supported clinical documentation into standardized classification or procedure codes under applicable coding rules. Health-information and medical-records roles may include coding, record integrity, data quality, release-of-information, compliance or information-management responsibilities.</w:t>
      </w:r>
    </w:p>
    <w:p>
      <w:pPr>
        <w:pStyle w:val="BodyText"/>
      </w:pPr>
      <w:r>
        <w:t xml:space="preserve">Some employers combine billing and coding duties. Others separate them into distinct jobs. Do not assume that a course labeled “medical billing and coding” maps to one standardized occupation everywhere.</w:t>
      </w:r>
    </w:p>
    <w:bookmarkStart w:id="29" w:name="common-us-titles"/>
    <w:p>
      <w:pPr>
        <w:pStyle w:val="Heading2"/>
      </w:pPr>
      <w:r>
        <w:t xml:space="preserve">Common U.S. titles</w:t>
      </w:r>
    </w:p>
    <w:p>
      <w:pPr>
        <w:numPr>
          <w:ilvl w:val="0"/>
          <w:numId w:val="1003"/>
        </w:numPr>
        <w:pStyle w:val="Compact"/>
      </w:pPr>
      <w:r>
        <w:t xml:space="preserve">medical records specialist</w:t>
      </w:r>
    </w:p>
    <w:p>
      <w:pPr>
        <w:numPr>
          <w:ilvl w:val="0"/>
          <w:numId w:val="1003"/>
        </w:numPr>
        <w:pStyle w:val="Compact"/>
      </w:pPr>
      <w:r>
        <w:t xml:space="preserve">medical coder</w:t>
      </w:r>
    </w:p>
    <w:p>
      <w:pPr>
        <w:numPr>
          <w:ilvl w:val="0"/>
          <w:numId w:val="1003"/>
        </w:numPr>
        <w:pStyle w:val="Compact"/>
      </w:pPr>
      <w:r>
        <w:t xml:space="preserve">coding specialist</w:t>
      </w:r>
    </w:p>
    <w:p>
      <w:pPr>
        <w:numPr>
          <w:ilvl w:val="0"/>
          <w:numId w:val="1003"/>
        </w:numPr>
        <w:pStyle w:val="Compact"/>
      </w:pPr>
      <w:r>
        <w:t xml:space="preserve">medical biller</w:t>
      </w:r>
    </w:p>
    <w:p>
      <w:pPr>
        <w:numPr>
          <w:ilvl w:val="0"/>
          <w:numId w:val="1003"/>
        </w:numPr>
        <w:pStyle w:val="Compact"/>
      </w:pPr>
      <w:r>
        <w:t xml:space="preserve">billing specialist</w:t>
      </w:r>
    </w:p>
    <w:p>
      <w:pPr>
        <w:numPr>
          <w:ilvl w:val="0"/>
          <w:numId w:val="1003"/>
        </w:numPr>
        <w:pStyle w:val="Compact"/>
      </w:pPr>
      <w:r>
        <w:t xml:space="preserve">claims follow-up specialist</w:t>
      </w:r>
    </w:p>
    <w:p>
      <w:pPr>
        <w:numPr>
          <w:ilvl w:val="0"/>
          <w:numId w:val="1003"/>
        </w:numPr>
        <w:pStyle w:val="Compact"/>
      </w:pPr>
      <w:r>
        <w:t xml:space="preserve">denial management specialist</w:t>
      </w:r>
    </w:p>
    <w:p>
      <w:pPr>
        <w:numPr>
          <w:ilvl w:val="0"/>
          <w:numId w:val="1003"/>
        </w:numPr>
        <w:pStyle w:val="Compact"/>
      </w:pPr>
      <w:r>
        <w:t xml:space="preserve">revenue cycle specialist</w:t>
      </w:r>
    </w:p>
    <w:p>
      <w:pPr>
        <w:numPr>
          <w:ilvl w:val="0"/>
          <w:numId w:val="1003"/>
        </w:numPr>
        <w:pStyle w:val="Compact"/>
      </w:pPr>
      <w:r>
        <w:t xml:space="preserve">patient accounts representative</w:t>
      </w:r>
    </w:p>
    <w:p>
      <w:pPr>
        <w:numPr>
          <w:ilvl w:val="0"/>
          <w:numId w:val="1003"/>
        </w:numPr>
        <w:pStyle w:val="Compact"/>
      </w:pPr>
      <w:r>
        <w:t xml:space="preserve">health information technician or specialist</w:t>
      </w:r>
    </w:p>
    <w:bookmarkEnd w:id="29"/>
    <w:bookmarkStart w:id="30" w:name="common-settings"/>
    <w:p>
      <w:pPr>
        <w:pStyle w:val="Heading2"/>
      </w:pPr>
      <w:r>
        <w:t xml:space="preserve">Common settings</w:t>
      </w:r>
    </w:p>
    <w:p>
      <w:pPr>
        <w:numPr>
          <w:ilvl w:val="0"/>
          <w:numId w:val="1004"/>
        </w:numPr>
        <w:pStyle w:val="Compact"/>
      </w:pPr>
      <w:r>
        <w:t xml:space="preserve">hospitals and health systems</w:t>
      </w:r>
    </w:p>
    <w:p>
      <w:pPr>
        <w:numPr>
          <w:ilvl w:val="0"/>
          <w:numId w:val="1004"/>
        </w:numPr>
        <w:pStyle w:val="Compact"/>
      </w:pPr>
      <w:r>
        <w:t xml:space="preserve">physician practices</w:t>
      </w:r>
    </w:p>
    <w:p>
      <w:pPr>
        <w:numPr>
          <w:ilvl w:val="0"/>
          <w:numId w:val="1004"/>
        </w:numPr>
        <w:pStyle w:val="Compact"/>
      </w:pPr>
      <w:r>
        <w:t xml:space="preserve">outpatient facilities</w:t>
      </w:r>
    </w:p>
    <w:p>
      <w:pPr>
        <w:numPr>
          <w:ilvl w:val="0"/>
          <w:numId w:val="1004"/>
        </w:numPr>
        <w:pStyle w:val="Compact"/>
      </w:pPr>
      <w:r>
        <w:t xml:space="preserve">health plans and payer organizations</w:t>
      </w:r>
    </w:p>
    <w:p>
      <w:pPr>
        <w:numPr>
          <w:ilvl w:val="0"/>
          <w:numId w:val="1004"/>
        </w:numPr>
        <w:pStyle w:val="Compact"/>
      </w:pPr>
      <w:r>
        <w:t xml:space="preserve">billing and revenue-cycle companies</w:t>
      </w:r>
    </w:p>
    <w:p>
      <w:pPr>
        <w:numPr>
          <w:ilvl w:val="0"/>
          <w:numId w:val="1004"/>
        </w:numPr>
        <w:pStyle w:val="Compact"/>
      </w:pPr>
      <w:r>
        <w:t xml:space="preserve">consulting and audit firms</w:t>
      </w:r>
    </w:p>
    <w:p>
      <w:pPr>
        <w:numPr>
          <w:ilvl w:val="0"/>
          <w:numId w:val="1004"/>
        </w:numPr>
        <w:pStyle w:val="Compact"/>
      </w:pPr>
      <w:r>
        <w:t xml:space="preserve">health-information departments</w:t>
      </w:r>
    </w:p>
    <w:p>
      <w:pPr>
        <w:numPr>
          <w:ilvl w:val="0"/>
          <w:numId w:val="1004"/>
        </w:numPr>
        <w:pStyle w:val="Compact"/>
      </w:pPr>
      <w:r>
        <w:t xml:space="preserve">remote or hybrid revenue-cycle operations where permitted by the employer</w:t>
      </w:r>
    </w:p>
    <w:bookmarkEnd w:id="30"/>
    <w:bookmarkEnd w:id="31"/>
    <w:bookmarkStart w:id="35" w:name="X30eb7153de12add011a448c48cee0485cd4b7a6"/>
    <w:p>
      <w:pPr>
        <w:pStyle w:val="Heading1"/>
      </w:pPr>
      <w:r>
        <w:t xml:space="preserve">3. Duties, Tools, and Work Cycles</w:t>
      </w:r>
    </w:p>
    <w:bookmarkStart w:id="32" w:name="core-duties"/>
    <w:p>
      <w:pPr>
        <w:pStyle w:val="Heading2"/>
      </w:pPr>
      <w:r>
        <w:t xml:space="preserve">Core duties</w:t>
      </w:r>
    </w:p>
    <w:p>
      <w:pPr>
        <w:pStyle w:val="FirstParagraph"/>
      </w:pPr>
      <w:r>
        <w:t xml:space="preserve">Depending on the role, workers may:</w:t>
      </w:r>
    </w:p>
    <w:p>
      <w:pPr>
        <w:numPr>
          <w:ilvl w:val="0"/>
          <w:numId w:val="1005"/>
        </w:numPr>
        <w:pStyle w:val="Compact"/>
      </w:pPr>
      <w:r>
        <w:t xml:space="preserve">review records, claims and account information for completeness and accuracy;</w:t>
      </w:r>
    </w:p>
    <w:p>
      <w:pPr>
        <w:numPr>
          <w:ilvl w:val="0"/>
          <w:numId w:val="1005"/>
        </w:numPr>
        <w:pStyle w:val="Compact"/>
      </w:pPr>
      <w:r>
        <w:t xml:space="preserve">assign or validate codes only when documentation and applicable rules support them;</w:t>
      </w:r>
    </w:p>
    <w:p>
      <w:pPr>
        <w:numPr>
          <w:ilvl w:val="0"/>
          <w:numId w:val="1005"/>
        </w:numPr>
        <w:pStyle w:val="Compact"/>
      </w:pPr>
      <w:r>
        <w:t xml:space="preserve">verify patient, encounter, provider and coverage information;</w:t>
      </w:r>
    </w:p>
    <w:p>
      <w:pPr>
        <w:numPr>
          <w:ilvl w:val="0"/>
          <w:numId w:val="1005"/>
        </w:numPr>
        <w:pStyle w:val="Compact"/>
      </w:pPr>
      <w:r>
        <w:t xml:space="preserve">submit claims through approved systems;</w:t>
      </w:r>
    </w:p>
    <w:p>
      <w:pPr>
        <w:numPr>
          <w:ilvl w:val="0"/>
          <w:numId w:val="1005"/>
        </w:numPr>
        <w:pStyle w:val="Compact"/>
      </w:pPr>
      <w:r>
        <w:t xml:space="preserve">post payments and adjustments;</w:t>
      </w:r>
    </w:p>
    <w:p>
      <w:pPr>
        <w:numPr>
          <w:ilvl w:val="0"/>
          <w:numId w:val="1005"/>
        </w:numPr>
        <w:pStyle w:val="Compact"/>
      </w:pPr>
      <w:r>
        <w:t xml:space="preserve">research rejections, denials, underpayments and requests for information;</w:t>
      </w:r>
    </w:p>
    <w:p>
      <w:pPr>
        <w:numPr>
          <w:ilvl w:val="0"/>
          <w:numId w:val="1005"/>
        </w:numPr>
        <w:pStyle w:val="Compact"/>
      </w:pPr>
      <w:r>
        <w:t xml:space="preserve">follow payer-specific claim, authorization and appeal procedures;</w:t>
      </w:r>
    </w:p>
    <w:p>
      <w:pPr>
        <w:numPr>
          <w:ilvl w:val="0"/>
          <w:numId w:val="1005"/>
        </w:numPr>
        <w:pStyle w:val="Compact"/>
      </w:pPr>
      <w:r>
        <w:t xml:space="preserve">protect confidential and protected health information;</w:t>
      </w:r>
    </w:p>
    <w:p>
      <w:pPr>
        <w:numPr>
          <w:ilvl w:val="0"/>
          <w:numId w:val="1005"/>
        </w:numPr>
        <w:pStyle w:val="Compact"/>
      </w:pPr>
      <w:r>
        <w:t xml:space="preserve">document corrections, follow-up actions and escalation decisions;</w:t>
      </w:r>
    </w:p>
    <w:p>
      <w:pPr>
        <w:numPr>
          <w:ilvl w:val="0"/>
          <w:numId w:val="1005"/>
        </w:numPr>
        <w:pStyle w:val="Compact"/>
      </w:pPr>
      <w:r>
        <w:t xml:space="preserve">identify recurring denial, documentation or process problems; and</w:t>
      </w:r>
    </w:p>
    <w:p>
      <w:pPr>
        <w:numPr>
          <w:ilvl w:val="0"/>
          <w:numId w:val="1005"/>
        </w:numPr>
        <w:pStyle w:val="Compact"/>
      </w:pPr>
      <w:r>
        <w:t xml:space="preserve">escalate suspected fraud, unsupported coding, privacy concerns or unresolved compliance issues through approved channels.</w:t>
      </w:r>
    </w:p>
    <w:bookmarkEnd w:id="32"/>
    <w:bookmarkStart w:id="33" w:name="coding-systems-are-not-interchangeable"/>
    <w:p>
      <w:pPr>
        <w:pStyle w:val="Heading2"/>
      </w:pPr>
      <w:r>
        <w:t xml:space="preserve">Coding systems are not interchangeable</w:t>
      </w:r>
    </w:p>
    <w:p>
      <w:pPr>
        <w:pStyle w:val="FirstParagraph"/>
      </w:pPr>
      <w:r>
        <w:t xml:space="preserve">In U.S. work, commonly encountered systems include:</w:t>
      </w:r>
    </w:p>
    <w:p>
      <w:pPr>
        <w:numPr>
          <w:ilvl w:val="0"/>
          <w:numId w:val="1006"/>
        </w:numPr>
        <w:pStyle w:val="Compact"/>
      </w:pPr>
      <w:r>
        <w:rPr>
          <w:bCs/>
          <w:b/>
        </w:rPr>
        <w:t xml:space="preserve">ICD-10-CM</w:t>
      </w:r>
      <w:r>
        <w:t xml:space="preserve"> </w:t>
      </w:r>
      <w:r>
        <w:t xml:space="preserve">for diagnosis coding;</w:t>
      </w:r>
    </w:p>
    <w:p>
      <w:pPr>
        <w:numPr>
          <w:ilvl w:val="0"/>
          <w:numId w:val="1006"/>
        </w:numPr>
        <w:pStyle w:val="Compact"/>
      </w:pPr>
      <w:r>
        <w:rPr>
          <w:bCs/>
          <w:b/>
        </w:rPr>
        <w:t xml:space="preserve">ICD-10-PCS</w:t>
      </w:r>
      <w:r>
        <w:t xml:space="preserve"> </w:t>
      </w:r>
      <w:r>
        <w:t xml:space="preserve">for inpatient procedure coding in applicable settings;</w:t>
      </w:r>
    </w:p>
    <w:p>
      <w:pPr>
        <w:numPr>
          <w:ilvl w:val="0"/>
          <w:numId w:val="1006"/>
        </w:numPr>
        <w:pStyle w:val="Compact"/>
      </w:pPr>
      <w:r>
        <w:rPr>
          <w:bCs/>
          <w:b/>
        </w:rPr>
        <w:t xml:space="preserve">CPT</w:t>
      </w:r>
      <w:r>
        <w:t xml:space="preserve">, maintained by the American Medical Association, for many physician and outpatient procedures and services; and</w:t>
      </w:r>
    </w:p>
    <w:p>
      <w:pPr>
        <w:numPr>
          <w:ilvl w:val="0"/>
          <w:numId w:val="1006"/>
        </w:numPr>
        <w:pStyle w:val="Compact"/>
      </w:pPr>
      <w:r>
        <w:rPr>
          <w:bCs/>
          <w:b/>
        </w:rPr>
        <w:t xml:space="preserve">HCPCS Level II</w:t>
      </w:r>
      <w:r>
        <w:t xml:space="preserve"> </w:t>
      </w:r>
      <w:r>
        <w:t xml:space="preserve">for many products, supplies and services not represented in CPT.</w:t>
      </w:r>
    </w:p>
    <w:p>
      <w:pPr>
        <w:pStyle w:val="FirstParagraph"/>
      </w:pPr>
      <w:r>
        <w:t xml:space="preserve">Code sets and guidance change. CMS has published ICD-10 files effective October 1, 2026, so learners and workers must verify the correct effective-date materials rather than treating one codebook as timeless.</w:t>
      </w:r>
    </w:p>
    <w:bookmarkEnd w:id="33"/>
    <w:bookmarkStart w:id="34" w:name="a-realistic-work-cycle"/>
    <w:p>
      <w:pPr>
        <w:pStyle w:val="Heading2"/>
      </w:pPr>
      <w:r>
        <w:t xml:space="preserve">A realistic work cycle</w:t>
      </w:r>
    </w:p>
    <w:p>
      <w:pPr>
        <w:numPr>
          <w:ilvl w:val="0"/>
          <w:numId w:val="1007"/>
        </w:numPr>
        <w:pStyle w:val="Compact"/>
      </w:pPr>
      <w:r>
        <w:t xml:space="preserve">Verify the patient, encounter, provider, coverage and authorization information needed for the task.</w:t>
      </w:r>
    </w:p>
    <w:p>
      <w:pPr>
        <w:numPr>
          <w:ilvl w:val="0"/>
          <w:numId w:val="1007"/>
        </w:numPr>
        <w:pStyle w:val="Compact"/>
      </w:pPr>
      <w:r>
        <w:t xml:space="preserve">Review documentation and the applicable coding, billing or payer guidance.</w:t>
      </w:r>
    </w:p>
    <w:p>
      <w:pPr>
        <w:numPr>
          <w:ilvl w:val="0"/>
          <w:numId w:val="1007"/>
        </w:numPr>
        <w:pStyle w:val="Compact"/>
      </w:pPr>
      <w:r>
        <w:t xml:space="preserve">Assign, validate or transmit only information supported by documentation and authorized workflow.</w:t>
      </w:r>
    </w:p>
    <w:p>
      <w:pPr>
        <w:numPr>
          <w:ilvl w:val="0"/>
          <w:numId w:val="1007"/>
        </w:numPr>
        <w:pStyle w:val="Compact"/>
      </w:pPr>
      <w:r>
        <w:t xml:space="preserve">Perform edits and quality checks.</w:t>
      </w:r>
    </w:p>
    <w:p>
      <w:pPr>
        <w:numPr>
          <w:ilvl w:val="0"/>
          <w:numId w:val="1007"/>
        </w:numPr>
        <w:pStyle w:val="Compact"/>
      </w:pPr>
      <w:r>
        <w:t xml:space="preserve">Submit or release the claim through approved systems when authorized.</w:t>
      </w:r>
    </w:p>
    <w:p>
      <w:pPr>
        <w:numPr>
          <w:ilvl w:val="0"/>
          <w:numId w:val="1007"/>
        </w:numPr>
        <w:pStyle w:val="Compact"/>
      </w:pPr>
      <w:r>
        <w:t xml:space="preserve">Research rejections, denials, underpayments or requests for information.</w:t>
      </w:r>
    </w:p>
    <w:p>
      <w:pPr>
        <w:numPr>
          <w:ilvl w:val="0"/>
          <w:numId w:val="1007"/>
        </w:numPr>
        <w:pStyle w:val="Compact"/>
      </w:pPr>
      <w:r>
        <w:t xml:space="preserve">Document the resolution and escalate clinical-documentation, compliance, fraud or privacy issues when required.</w:t>
      </w:r>
    </w:p>
    <w:p>
      <w:pPr>
        <w:pStyle w:val="FirstParagraph"/>
      </w:pPr>
      <w:r>
        <w:t xml:space="preserve">The sequence is illustrative. Actual procedures must follow employer policy, payer/client rules, applicable law, system controls, supervision and current coding guidance.</w:t>
      </w:r>
    </w:p>
    <w:bookmarkEnd w:id="34"/>
    <w:bookmarkEnd w:id="35"/>
    <w:bookmarkStart w:id="38" w:name="Xe3df74dcc0143c98cdb8651e101364cb4bc333d"/>
    <w:p>
      <w:pPr>
        <w:pStyle w:val="Heading1"/>
      </w:pPr>
      <w:r>
        <w:t xml:space="preserve">4. Fit, Conditions, and Safety</w:t>
      </w:r>
    </w:p>
    <w:bookmarkStart w:id="36" w:name="career-fit-questions"/>
    <w:p>
      <w:pPr>
        <w:pStyle w:val="Heading2"/>
      </w:pPr>
      <w:r>
        <w:t xml:space="preserve">Career-fit questions</w:t>
      </w:r>
    </w:p>
    <w:p>
      <w:pPr>
        <w:numPr>
          <w:ilvl w:val="0"/>
          <w:numId w:val="1008"/>
        </w:numPr>
        <w:pStyle w:val="Compact"/>
      </w:pPr>
      <w:r>
        <w:t xml:space="preserve">Do repeated detail-oriented tasks fit your attention style?</w:t>
      </w:r>
    </w:p>
    <w:p>
      <w:pPr>
        <w:numPr>
          <w:ilvl w:val="0"/>
          <w:numId w:val="1008"/>
        </w:numPr>
        <w:pStyle w:val="Compact"/>
      </w:pPr>
      <w:r>
        <w:t xml:space="preserve">Can you work accurately under productivity expectations without sacrificing compliance or documentation quality?</w:t>
      </w:r>
    </w:p>
    <w:p>
      <w:pPr>
        <w:numPr>
          <w:ilvl w:val="0"/>
          <w:numId w:val="1008"/>
        </w:numPr>
        <w:pStyle w:val="Compact"/>
      </w:pPr>
      <w:r>
        <w:t xml:space="preserve">Are you comfortable learning changing code sets, payer rules, terminology and software?</w:t>
      </w:r>
    </w:p>
    <w:p>
      <w:pPr>
        <w:numPr>
          <w:ilvl w:val="0"/>
          <w:numId w:val="1008"/>
        </w:numPr>
        <w:pStyle w:val="Compact"/>
      </w:pPr>
      <w:r>
        <w:t xml:space="preserve">Can you tolerate substantial screen time and desk-based work?</w:t>
      </w:r>
    </w:p>
    <w:p>
      <w:pPr>
        <w:numPr>
          <w:ilvl w:val="0"/>
          <w:numId w:val="1008"/>
        </w:numPr>
        <w:pStyle w:val="Compact"/>
      </w:pPr>
      <w:r>
        <w:t xml:space="preserve">Can you manage interruptions, denials, account disputes or performance metrics without cutting corners?</w:t>
      </w:r>
    </w:p>
    <w:p>
      <w:pPr>
        <w:numPr>
          <w:ilvl w:val="0"/>
          <w:numId w:val="1008"/>
        </w:numPr>
        <w:pStyle w:val="Compact"/>
      </w:pPr>
      <w:r>
        <w:t xml:space="preserve">Can the schedule, transportation, caregiving and remote-work requirements fit your household?</w:t>
      </w:r>
    </w:p>
    <w:p>
      <w:pPr>
        <w:numPr>
          <w:ilvl w:val="0"/>
          <w:numId w:val="1008"/>
        </w:numPr>
        <w:pStyle w:val="Compact"/>
      </w:pPr>
      <w:r>
        <w:t xml:space="preserve">What accommodations, assistive technology, language access or predictable scheduling would make the pathway sustainable?</w:t>
      </w:r>
    </w:p>
    <w:p>
      <w:pPr>
        <w:numPr>
          <w:ilvl w:val="0"/>
          <w:numId w:val="1008"/>
        </w:numPr>
        <w:pStyle w:val="Compact"/>
      </w:pPr>
      <w:r>
        <w:t xml:space="preserve">Can you enter the field without unsustainable debt or an unfair service obligation?</w:t>
      </w:r>
    </w:p>
    <w:bookmarkEnd w:id="36"/>
    <w:bookmarkStart w:id="37" w:name="who-should-pause"/>
    <w:p>
      <w:pPr>
        <w:pStyle w:val="Heading2"/>
      </w:pPr>
      <w:r>
        <w:t xml:space="preserve">Who should pause</w:t>
      </w:r>
    </w:p>
    <w:p>
      <w:pPr>
        <w:pStyle w:val="FirstParagraph"/>
      </w:pPr>
      <w:r>
        <w:t xml:space="preserve">Consider pausing or changing direction when:</w:t>
      </w:r>
    </w:p>
    <w:p>
      <w:pPr>
        <w:numPr>
          <w:ilvl w:val="0"/>
          <w:numId w:val="1009"/>
        </w:numPr>
        <w:pStyle w:val="Compact"/>
      </w:pPr>
      <w:r>
        <w:t xml:space="preserve">an employer’s actual duties are unclear;</w:t>
      </w:r>
    </w:p>
    <w:p>
      <w:pPr>
        <w:numPr>
          <w:ilvl w:val="0"/>
          <w:numId w:val="1009"/>
        </w:numPr>
        <w:pStyle w:val="Compact"/>
      </w:pPr>
      <w:r>
        <w:t xml:space="preserve">a school refuses to provide written cost, outcome, accreditation, refund or exam-eligibility information;</w:t>
      </w:r>
    </w:p>
    <w:p>
      <w:pPr>
        <w:numPr>
          <w:ilvl w:val="0"/>
          <w:numId w:val="1009"/>
        </w:numPr>
        <w:pStyle w:val="Compact"/>
      </w:pPr>
      <w:r>
        <w:t xml:space="preserve">a program claims one credential is legally required everywhere without evidence;</w:t>
      </w:r>
    </w:p>
    <w:p>
      <w:pPr>
        <w:numPr>
          <w:ilvl w:val="0"/>
          <w:numId w:val="1009"/>
        </w:numPr>
        <w:pStyle w:val="Compact"/>
      </w:pPr>
      <w:r>
        <w:t xml:space="preserve">a job expects you to alter documentation, code without support, or ignore payer/compliance rules;</w:t>
      </w:r>
    </w:p>
    <w:p>
      <w:pPr>
        <w:numPr>
          <w:ilvl w:val="0"/>
          <w:numId w:val="1009"/>
        </w:numPr>
        <w:pStyle w:val="Compact"/>
      </w:pPr>
      <w:r>
        <w:t xml:space="preserve">a privacy, accessibility, health, transportation or caregiving conflict remains unresolved; or</w:t>
      </w:r>
    </w:p>
    <w:p>
      <w:pPr>
        <w:numPr>
          <w:ilvl w:val="0"/>
          <w:numId w:val="1009"/>
        </w:numPr>
        <w:pStyle w:val="Compact"/>
      </w:pPr>
      <w:r>
        <w:t xml:space="preserve">the cost of the pathway depends on speculative salary promises.</w:t>
      </w:r>
    </w:p>
    <w:bookmarkEnd w:id="37"/>
    <w:bookmarkEnd w:id="38"/>
    <w:bookmarkStart w:id="39" w:name="Xb0934aea42d9b9e7609c2ae92943cbb3f3b0b18"/>
    <w:p>
      <w:pPr>
        <w:pStyle w:val="Heading1"/>
      </w:pPr>
      <w:r>
        <w:t xml:space="preserve">5. Ethics, Boundaries, and Escalation</w:t>
      </w:r>
    </w:p>
    <w:p>
      <w:pPr>
        <w:numPr>
          <w:ilvl w:val="0"/>
          <w:numId w:val="1010"/>
        </w:numPr>
        <w:pStyle w:val="Compact"/>
      </w:pPr>
      <w:r>
        <w:t xml:space="preserve">Do not diagnose patients unless you are separately qualified and authorized to do so.</w:t>
      </w:r>
    </w:p>
    <w:p>
      <w:pPr>
        <w:numPr>
          <w:ilvl w:val="0"/>
          <w:numId w:val="1010"/>
        </w:numPr>
        <w:pStyle w:val="Compact"/>
      </w:pPr>
      <w:r>
        <w:t xml:space="preserve">Do not alter clinical documentation merely to support reimbursement.</w:t>
      </w:r>
    </w:p>
    <w:p>
      <w:pPr>
        <w:numPr>
          <w:ilvl w:val="0"/>
          <w:numId w:val="1010"/>
        </w:numPr>
        <w:pStyle w:val="Compact"/>
      </w:pPr>
      <w:r>
        <w:t xml:space="preserve">Do not select a code solely because it pays more when documentation or coding rules do not support it.</w:t>
      </w:r>
    </w:p>
    <w:p>
      <w:pPr>
        <w:numPr>
          <w:ilvl w:val="0"/>
          <w:numId w:val="1010"/>
        </w:numPr>
        <w:pStyle w:val="Compact"/>
      </w:pPr>
      <w:r>
        <w:t xml:space="preserve">Do not conceal denials, audit findings, duplicate billing, suspected fraud or material coding errors.</w:t>
      </w:r>
    </w:p>
    <w:p>
      <w:pPr>
        <w:numPr>
          <w:ilvl w:val="0"/>
          <w:numId w:val="1010"/>
        </w:numPr>
        <w:pStyle w:val="Compact"/>
      </w:pPr>
      <w:r>
        <w:t xml:space="preserve">Do not use real patient information in a public portfolio or public AI tool.</w:t>
      </w:r>
    </w:p>
    <w:p>
      <w:pPr>
        <w:numPr>
          <w:ilvl w:val="0"/>
          <w:numId w:val="1010"/>
        </w:numPr>
        <w:pStyle w:val="Compact"/>
      </w:pPr>
      <w:r>
        <w:t xml:space="preserve">Do not represent a course-completion certificate as a professional certification when it is not one.</w:t>
      </w:r>
    </w:p>
    <w:p>
      <w:pPr>
        <w:numPr>
          <w:ilvl w:val="0"/>
          <w:numId w:val="1010"/>
        </w:numPr>
        <w:pStyle w:val="Compact"/>
      </w:pPr>
      <w:r>
        <w:t xml:space="preserve">Stop and escalate when evidence is missing, authority is unclear, a regulated decision is required, or compliance may be compromised.</w:t>
      </w:r>
    </w:p>
    <w:p>
      <w:pPr>
        <w:numPr>
          <w:ilvl w:val="0"/>
          <w:numId w:val="1010"/>
        </w:numPr>
        <w:pStyle w:val="Compact"/>
      </w:pPr>
      <w:r>
        <w:t xml:space="preserve">Document facts, actions, approvals and unresolved risk without exaggeration or retaliation.</w:t>
      </w:r>
    </w:p>
    <w:p>
      <w:pPr>
        <w:numPr>
          <w:ilvl w:val="0"/>
          <w:numId w:val="1010"/>
        </w:numPr>
        <w:pStyle w:val="Compact"/>
      </w:pPr>
      <w:r>
        <w:t xml:space="preserve">Do not let productivity metrics override accuracy, privacy, security, lawful treatment or ethical coding.</w:t>
      </w:r>
    </w:p>
    <w:bookmarkEnd w:id="39"/>
    <w:bookmarkStart w:id="45" w:name="X936ec633ca6242e37260dddb7a2945103c21a96"/>
    <w:p>
      <w:pPr>
        <w:pStyle w:val="Heading1"/>
      </w:pPr>
      <w:r>
        <w:t xml:space="preserve">6. Pay, Benefits, and Outlook</w:t>
      </w:r>
    </w:p>
    <w:bookmarkStart w:id="41" w:name="X4f55ccfdd4612dac4e4c29f574d3cf95866296b"/>
    <w:p>
      <w:pPr>
        <w:pStyle w:val="Heading2"/>
      </w:pPr>
      <w:r>
        <w:t xml:space="preserve">United States — official occupational anchor</w:t>
      </w:r>
    </w:p>
    <w:p>
      <w:pPr>
        <w:pStyle w:val="FirstParagraph"/>
      </w:pPr>
      <w:r>
        <w:t xml:space="preserve">The U.S. Bureau of Labor Statistics category</w:t>
      </w:r>
      <w:r>
        <w:t xml:space="preserve"> </w:t>
      </w:r>
      <w:r>
        <w:rPr>
          <w:bCs/>
          <w:b/>
        </w:rPr>
        <w:t xml:space="preserve">Medical Records Specialists (SOC 29-2072)</w:t>
      </w:r>
      <w:r>
        <w:t xml:space="preserve"> </w:t>
      </w:r>
      <w:r>
        <w:t xml:space="preserve">is a useful official occupational anchor for coding-intensive and health-records work, but it is broader than the exact combined title “Medical Billing and Coding Specialist.” Do not present it as an exact-title wage series.</w:t>
      </w:r>
    </w:p>
    <w:p>
      <w:pPr>
        <w:pStyle w:val="BodyText"/>
      </w:pPr>
      <w:r>
        <w:t xml:space="preserve">BLS reports:</w:t>
      </w:r>
    </w:p>
    <w:p>
      <w:pPr>
        <w:numPr>
          <w:ilvl w:val="0"/>
          <w:numId w:val="1011"/>
        </w:numPr>
        <w:pStyle w:val="Compact"/>
      </w:pPr>
      <w:r>
        <w:t xml:space="preserve">May 2024 median annual wage:</w:t>
      </w:r>
      <w:r>
        <w:t xml:space="preserve"> </w:t>
      </w:r>
      <w:r>
        <w:rPr>
          <w:bCs/>
          <w:b/>
        </w:rPr>
        <w:t xml:space="preserve">US$50,250</w:t>
      </w:r>
      <w:r>
        <w:t xml:space="preserve">;</w:t>
      </w:r>
    </w:p>
    <w:p>
      <w:pPr>
        <w:numPr>
          <w:ilvl w:val="0"/>
          <w:numId w:val="1011"/>
        </w:numPr>
        <w:pStyle w:val="Compact"/>
      </w:pPr>
      <w:r>
        <w:t xml:space="preserve">approximately</w:t>
      </w:r>
      <w:r>
        <w:t xml:space="preserve"> </w:t>
      </w:r>
      <w:r>
        <w:rPr>
          <w:bCs/>
          <w:b/>
        </w:rPr>
        <w:t xml:space="preserve">194,800</w:t>
      </w:r>
      <w:r>
        <w:t xml:space="preserve"> </w:t>
      </w:r>
      <w:r>
        <w:t xml:space="preserve">jobs in 2024;</w:t>
      </w:r>
    </w:p>
    <w:p>
      <w:pPr>
        <w:numPr>
          <w:ilvl w:val="0"/>
          <w:numId w:val="1011"/>
        </w:numPr>
        <w:pStyle w:val="Compact"/>
      </w:pPr>
      <w:r>
        <w:t xml:space="preserve">projected employment growth of</w:t>
      </w:r>
      <w:r>
        <w:t xml:space="preserve"> </w:t>
      </w:r>
      <w:r>
        <w:rPr>
          <w:bCs/>
          <w:b/>
        </w:rPr>
        <w:t xml:space="preserve">7% from 2024 to 2034</w:t>
      </w:r>
      <w:r>
        <w:t xml:space="preserve">; and</w:t>
      </w:r>
    </w:p>
    <w:p>
      <w:pPr>
        <w:numPr>
          <w:ilvl w:val="0"/>
          <w:numId w:val="1011"/>
        </w:numPr>
        <w:pStyle w:val="Compact"/>
      </w:pPr>
      <w:r>
        <w:t xml:space="preserve">approximately</w:t>
      </w:r>
      <w:r>
        <w:t xml:space="preserve"> </w:t>
      </w:r>
      <w:r>
        <w:rPr>
          <w:bCs/>
          <w:b/>
        </w:rPr>
        <w:t xml:space="preserve">14,200 openings per year</w:t>
      </w:r>
      <w:r>
        <w:t xml:space="preserve"> </w:t>
      </w:r>
      <w:r>
        <w:t xml:space="preserve">on average over the decade.</w:t>
      </w:r>
    </w:p>
    <w:p>
      <w:pPr>
        <w:pStyle w:val="FirstParagraph"/>
      </w:pPr>
      <w:r>
        <w:t xml:space="preserve">BLS also notes that AI-powered coding tools may affect demand. That makes documentation quality, exception handling, compliance, audit awareness, denial/revenue-cycle understanding and responsible use of automation increasingly important.</w:t>
      </w:r>
    </w:p>
    <w:p>
      <w:pPr>
        <w:pStyle w:val="BodyText"/>
      </w:pPr>
      <w:r>
        <w:t xml:space="preserve">Source:</w:t>
      </w:r>
      <w:r>
        <w:t xml:space="preserve"> </w:t>
      </w:r>
      <w:hyperlink r:id="rId40">
        <w:r>
          <w:rPr>
            <w:rStyle w:val="Hyperlink"/>
          </w:rPr>
          <w:t xml:space="preserve">https://www.bls.gov/ooh/healthcare/medical-records-and-health-information-technicians.htm</w:t>
        </w:r>
      </w:hyperlink>
    </w:p>
    <w:bookmarkEnd w:id="41"/>
    <w:bookmarkStart w:id="43" w:name="X7040f53ac7fe8ed66268e48a45a60a526b9ae91"/>
    <w:p>
      <w:pPr>
        <w:pStyle w:val="Heading2"/>
      </w:pPr>
      <w:r>
        <w:t xml:space="preserve">United States — non-government exact-title estimate</w:t>
      </w:r>
    </w:p>
    <w:p>
      <w:pPr>
        <w:pStyle w:val="FirstParagraph"/>
      </w:pPr>
      <w:r>
        <w:t xml:space="preserve">ZipRecruiter reported</w:t>
      </w:r>
      <w:r>
        <w:t xml:space="preserve"> </w:t>
      </w:r>
      <w:r>
        <w:rPr>
          <w:bCs/>
          <w:b/>
        </w:rPr>
        <w:t xml:space="preserve">US</w:t>
      </w:r>
      <m:oMath>
        <m:r>
          <m:t>45</m:t>
        </m:r>
        <m:r>
          <m:rPr>
            <m:sty m:val="p"/>
          </m:rPr>
          <m:t>,</m:t>
        </m:r>
        <m:r>
          <m:t>672</m:t>
        </m:r>
        <m:r>
          <m:rPr>
            <m:sty m:val="p"/>
          </m:rPr>
          <m:t>/</m:t>
        </m:r>
        <m:r>
          <m:t>y</m:t>
        </m:r>
        <m:r>
          <m:t>e</m:t>
        </m:r>
        <m:r>
          <m:t>a</m:t>
        </m:r>
        <m:r>
          <m:t>r</m:t>
        </m:r>
        <m:r>
          <m:rPr>
            <m:sty m:val="p"/>
          </m:rPr>
          <m:t>(</m:t>
        </m:r>
        <m:r>
          <m:t>U</m:t>
        </m:r>
        <m:r>
          <m:t>S</m:t>
        </m:r>
      </m:oMath>
      <w:r>
        <w:rPr>
          <w:bCs/>
          <w:b/>
        </w:rPr>
        <w:t xml:space="preserve">21.96/hour)</w:t>
      </w:r>
      <w:r>
        <w:t xml:space="preserve"> </w:t>
      </w:r>
      <w:r>
        <w:t xml:space="preserve">for “Medical Billing Coding Specialist” as of</w:t>
      </w:r>
      <w:r>
        <w:t xml:space="preserve"> </w:t>
      </w:r>
      <w:r>
        <w:rPr>
          <w:bCs/>
          <w:b/>
        </w:rPr>
        <w:t xml:space="preserve">July 20, 2026</w:t>
      </w:r>
      <w:r>
        <w:t xml:space="preserve">. This is a non-government market estimate derived from job postings and third-party data, not a guaranteed wage and not a substitute for BLS occupational data.</w:t>
      </w:r>
    </w:p>
    <w:p>
      <w:pPr>
        <w:pStyle w:val="BodyText"/>
      </w:pPr>
      <w:r>
        <w:t xml:space="preserve">Source:</w:t>
      </w:r>
      <w:r>
        <w:t xml:space="preserve"> </w:t>
      </w:r>
      <w:hyperlink r:id="rId42">
        <w:r>
          <w:rPr>
            <w:rStyle w:val="Hyperlink"/>
          </w:rPr>
          <w:t xml:space="preserve">https://www.ziprecruiter.com/Salaries/Medical-Billing-Coding-Specialist-Salary</w:t>
        </w:r>
      </w:hyperlink>
    </w:p>
    <w:bookmarkEnd w:id="43"/>
    <w:bookmarkStart w:id="44" w:name="local-wage-research"/>
    <w:p>
      <w:pPr>
        <w:pStyle w:val="Heading2"/>
      </w:pPr>
      <w:r>
        <w:t xml:space="preserve">Local wage research</w:t>
      </w:r>
    </w:p>
    <w:p>
      <w:pPr>
        <w:pStyle w:val="FirstParagraph"/>
      </w:pPr>
      <w:r>
        <w:t xml:space="preserve">For any country or region:</w:t>
      </w:r>
    </w:p>
    <w:p>
      <w:pPr>
        <w:numPr>
          <w:ilvl w:val="0"/>
          <w:numId w:val="1012"/>
        </w:numPr>
        <w:pStyle w:val="Compact"/>
      </w:pPr>
      <w:r>
        <w:t xml:space="preserve">compare hourly and annual pay for the exact title and duties;</w:t>
      </w:r>
    </w:p>
    <w:p>
      <w:pPr>
        <w:numPr>
          <w:ilvl w:val="0"/>
          <w:numId w:val="1012"/>
        </w:numPr>
        <w:pStyle w:val="Compact"/>
      </w:pPr>
      <w:r>
        <w:t xml:space="preserve">record the posting date, location, schedule, employment status, experience and credential requirements;</w:t>
      </w:r>
    </w:p>
    <w:p>
      <w:pPr>
        <w:numPr>
          <w:ilvl w:val="0"/>
          <w:numId w:val="1012"/>
        </w:numPr>
        <w:pStyle w:val="Compact"/>
      </w:pPr>
      <w:r>
        <w:t xml:space="preserve">separate base pay from overtime, bonuses, differentials, commissions and contract rates;</w:t>
      </w:r>
    </w:p>
    <w:p>
      <w:pPr>
        <w:numPr>
          <w:ilvl w:val="0"/>
          <w:numId w:val="1012"/>
        </w:numPr>
        <w:pStyle w:val="Compact"/>
      </w:pPr>
      <w:r>
        <w:t xml:space="preserve">estimate benefits and required unpaid costs; and</w:t>
      </w:r>
    </w:p>
    <w:p>
      <w:pPr>
        <w:numPr>
          <w:ilvl w:val="0"/>
          <w:numId w:val="1012"/>
        </w:numPr>
        <w:pStyle w:val="Compact"/>
      </w:pPr>
      <w:r>
        <w:t xml:space="preserve">do not use a broader or higher-paid occupation’s wage as if it were guaranteed for an entry-level billing or coding role.</w:t>
      </w:r>
    </w:p>
    <w:bookmarkEnd w:id="44"/>
    <w:bookmarkEnd w:id="45"/>
    <w:bookmarkStart w:id="55" w:name="X12c5f3fbaccb8b2dc54ecf53da5277e1d7c92d3"/>
    <w:p>
      <w:pPr>
        <w:pStyle w:val="Heading1"/>
      </w:pPr>
      <w:r>
        <w:t xml:space="preserve">7. Education and Credentials</w:t>
      </w:r>
    </w:p>
    <w:bookmarkStart w:id="52" w:name="united-states"/>
    <w:p>
      <w:pPr>
        <w:pStyle w:val="Heading2"/>
      </w:pPr>
      <w:r>
        <w:t xml:space="preserve">United States</w:t>
      </w:r>
    </w:p>
    <w:p>
      <w:pPr>
        <w:pStyle w:val="FirstParagraph"/>
      </w:pPr>
      <w:r>
        <w:t xml:space="preserve">BLS reports that medical records specialists typically need a postsecondary nondegree award, while some workers qualify with a high school diploma and others need an associate or bachelor’s degree. Certification may be preferred or required by some employers.</w:t>
      </w:r>
    </w:p>
    <w:p>
      <w:pPr>
        <w:pStyle w:val="BodyText"/>
      </w:pPr>
      <w:r>
        <w:t xml:space="preserve">That is not the same as saying one credential is legally required nationwide.</w:t>
      </w:r>
    </w:p>
    <w:bookmarkStart w:id="49" w:name="ahima-examples"/>
    <w:p>
      <w:pPr>
        <w:pStyle w:val="Heading3"/>
      </w:pPr>
      <w:r>
        <w:t xml:space="preserve">AHIMA examples</w:t>
      </w:r>
    </w:p>
    <w:p>
      <w:pPr>
        <w:numPr>
          <w:ilvl w:val="0"/>
          <w:numId w:val="1013"/>
        </w:numPr>
        <w:pStyle w:val="Compact"/>
      </w:pPr>
      <w:r>
        <w:rPr>
          <w:bCs/>
          <w:b/>
        </w:rPr>
        <w:t xml:space="preserve">CCA — Certified Coding Associate:</w:t>
      </w:r>
      <w:r>
        <w:t xml:space="preserve"> </w:t>
      </w:r>
      <w:r>
        <w:t xml:space="preserve">AHIMA states that a high school diploma is required for exam eligibility; coding experience or specified training is recommended rather than universally mandatory.</w:t>
      </w:r>
    </w:p>
    <w:p>
      <w:pPr>
        <w:numPr>
          <w:ilvl w:val="0"/>
          <w:numId w:val="1013"/>
        </w:numPr>
        <w:pStyle w:val="Compact"/>
      </w:pPr>
      <w:r>
        <w:rPr>
          <w:bCs/>
          <w:b/>
        </w:rPr>
        <w:t xml:space="preserve">CCS — Certified Coding Specialist:</w:t>
      </w:r>
      <w:r>
        <w:t xml:space="preserve"> </w:t>
      </w:r>
      <w:r>
        <w:t xml:space="preserve">positioned for experienced coding practitioners, with preparation routes involving advanced coursework and/or experience.</w:t>
      </w:r>
    </w:p>
    <w:p>
      <w:pPr>
        <w:numPr>
          <w:ilvl w:val="0"/>
          <w:numId w:val="1013"/>
        </w:numPr>
        <w:pStyle w:val="Compact"/>
      </w:pPr>
      <w:r>
        <w:rPr>
          <w:bCs/>
          <w:b/>
        </w:rPr>
        <w:t xml:space="preserve">CCS-P — Certified Coding Specialist–Physician-based:</w:t>
      </w:r>
      <w:r>
        <w:t xml:space="preserve"> </w:t>
      </w:r>
      <w:r>
        <w:t xml:space="preserve">focused on physician-based and outpatient coding.</w:t>
      </w:r>
    </w:p>
    <w:p>
      <w:pPr>
        <w:pStyle w:val="FirstParagraph"/>
      </w:pPr>
      <w:r>
        <w:t xml:space="preserve">AHIMA requires candidates testing on or after May 1, 2026 to use the applicable 2026 codebook list for examinations that require codebooks.</w:t>
      </w:r>
    </w:p>
    <w:p>
      <w:pPr>
        <w:pStyle w:val="BodyText"/>
      </w:pPr>
      <w:r>
        <w:t xml:space="preserve">Sources:</w:t>
      </w:r>
    </w:p>
    <w:p>
      <w:pPr>
        <w:numPr>
          <w:ilvl w:val="0"/>
          <w:numId w:val="1014"/>
        </w:numPr>
        <w:pStyle w:val="Compact"/>
      </w:pPr>
      <w:hyperlink r:id="rId46">
        <w:r>
          <w:rPr>
            <w:rStyle w:val="Hyperlink"/>
          </w:rPr>
          <w:t xml:space="preserve">https://www.ahima.org/certification-careers/certifications-overview/cca/</w:t>
        </w:r>
      </w:hyperlink>
    </w:p>
    <w:p>
      <w:pPr>
        <w:numPr>
          <w:ilvl w:val="0"/>
          <w:numId w:val="1014"/>
        </w:numPr>
        <w:pStyle w:val="Compact"/>
      </w:pPr>
      <w:hyperlink r:id="rId47">
        <w:r>
          <w:rPr>
            <w:rStyle w:val="Hyperlink"/>
          </w:rPr>
          <w:t xml:space="preserve">https://www.ahima.org/certification-careers/certifications-overview/ccs/</w:t>
        </w:r>
      </w:hyperlink>
    </w:p>
    <w:p>
      <w:pPr>
        <w:numPr>
          <w:ilvl w:val="0"/>
          <w:numId w:val="1014"/>
        </w:numPr>
        <w:pStyle w:val="Compact"/>
      </w:pPr>
      <w:hyperlink r:id="rId48">
        <w:r>
          <w:rPr>
            <w:rStyle w:val="Hyperlink"/>
          </w:rPr>
          <w:t xml:space="preserve">https://www.ahima.org/certification-careers/certifications-overview/ccs-p/</w:t>
        </w:r>
      </w:hyperlink>
    </w:p>
    <w:bookmarkEnd w:id="49"/>
    <w:bookmarkStart w:id="51" w:name="aapc-examples"/>
    <w:p>
      <w:pPr>
        <w:pStyle w:val="Heading3"/>
      </w:pPr>
      <w:r>
        <w:t xml:space="preserve">AAPC examples</w:t>
      </w:r>
    </w:p>
    <w:p>
      <w:pPr>
        <w:pStyle w:val="FirstParagraph"/>
      </w:pPr>
      <w:r>
        <w:t xml:space="preserve">AAPC offers coding, billing, auditing and specialty credentials including CPC, COC, CIC, CRC, CPB and CPMA. These are private professional credentials, not government licenses. Verify current exam, membership, codebook, continuing-education and apprentice-status rules directly before paying.</w:t>
      </w:r>
    </w:p>
    <w:p>
      <w:pPr>
        <w:pStyle w:val="BodyText"/>
      </w:pPr>
      <w:r>
        <w:t xml:space="preserve">Source:</w:t>
      </w:r>
      <w:r>
        <w:t xml:space="preserve"> </w:t>
      </w:r>
      <w:hyperlink r:id="rId50">
        <w:r>
          <w:rPr>
            <w:rStyle w:val="Hyperlink"/>
          </w:rPr>
          <w:t xml:space="preserve">https://www.aapc.com/</w:t>
        </w:r>
      </w:hyperlink>
    </w:p>
    <w:bookmarkEnd w:id="51"/>
    <w:bookmarkEnd w:id="52"/>
    <w:bookmarkStart w:id="53" w:name="free-first-pathway"/>
    <w:p>
      <w:pPr>
        <w:pStyle w:val="Heading2"/>
      </w:pPr>
      <w:r>
        <w:t xml:space="preserve">Free-first pathway</w:t>
      </w:r>
    </w:p>
    <w:p>
      <w:pPr>
        <w:pStyle w:val="FirstParagraph"/>
      </w:pPr>
      <w:r>
        <w:t xml:space="preserve">Before buying a private program:</w:t>
      </w:r>
    </w:p>
    <w:p>
      <w:pPr>
        <w:numPr>
          <w:ilvl w:val="0"/>
          <w:numId w:val="1015"/>
        </w:numPr>
        <w:pStyle w:val="Compact"/>
      </w:pPr>
      <w:r>
        <w:t xml:space="preserve">study terminology, anatomy and revenue-cycle basics through reputable free or library resources;</w:t>
      </w:r>
    </w:p>
    <w:p>
      <w:pPr>
        <w:numPr>
          <w:ilvl w:val="0"/>
          <w:numId w:val="1015"/>
        </w:numPr>
        <w:pStyle w:val="Compact"/>
      </w:pPr>
      <w:r>
        <w:t xml:space="preserve">review real employer postings in your intended market;</w:t>
      </w:r>
    </w:p>
    <w:p>
      <w:pPr>
        <w:numPr>
          <w:ilvl w:val="0"/>
          <w:numId w:val="1015"/>
        </w:numPr>
        <w:pStyle w:val="Compact"/>
      </w:pPr>
      <w:r>
        <w:t xml:space="preserve">check whether employers value a particular credential;</w:t>
      </w:r>
    </w:p>
    <w:p>
      <w:pPr>
        <w:numPr>
          <w:ilvl w:val="0"/>
          <w:numId w:val="1015"/>
        </w:numPr>
        <w:pStyle w:val="Compact"/>
      </w:pPr>
      <w:r>
        <w:t xml:space="preserve">compare community colleges, technical colleges, public institutions, employer training, workforce-funded programs and Registered Apprenticeship where available;</w:t>
      </w:r>
    </w:p>
    <w:p>
      <w:pPr>
        <w:numPr>
          <w:ilvl w:val="0"/>
          <w:numId w:val="1015"/>
        </w:numPr>
        <w:pStyle w:val="Compact"/>
      </w:pPr>
      <w:r>
        <w:t xml:space="preserve">verify exam eligibility, included codebooks, software access, practicum expectations and total cost; and</w:t>
      </w:r>
    </w:p>
    <w:p>
      <w:pPr>
        <w:numPr>
          <w:ilvl w:val="0"/>
          <w:numId w:val="1015"/>
        </w:numPr>
        <w:pStyle w:val="Compact"/>
      </w:pPr>
      <w:r>
        <w:t xml:space="preserve">pay only when the program produces a verified next step such as employer-recognized preparation, exam eligibility, transferable credit, supervised practice or a credential employers actually request.</w:t>
      </w:r>
    </w:p>
    <w:bookmarkEnd w:id="53"/>
    <w:bookmarkStart w:id="54" w:name="school-and-credential-verification"/>
    <w:p>
      <w:pPr>
        <w:pStyle w:val="Heading2"/>
      </w:pPr>
      <w:r>
        <w:t xml:space="preserve">School and credential verification</w:t>
      </w:r>
    </w:p>
    <w:p>
      <w:pPr>
        <w:pStyle w:val="FirstParagraph"/>
      </w:pPr>
      <w:r>
        <w:t xml:space="preserve">Confirm:</w:t>
      </w:r>
    </w:p>
    <w:p>
      <w:pPr>
        <w:numPr>
          <w:ilvl w:val="0"/>
          <w:numId w:val="1016"/>
        </w:numPr>
        <w:pStyle w:val="Compact"/>
      </w:pPr>
      <w:r>
        <w:t xml:space="preserve">institutional accreditation where relevant;</w:t>
      </w:r>
    </w:p>
    <w:p>
      <w:pPr>
        <w:numPr>
          <w:ilvl w:val="0"/>
          <w:numId w:val="1016"/>
        </w:numPr>
        <w:pStyle w:val="Compact"/>
      </w:pPr>
      <w:r>
        <w:t xml:space="preserve">program approval or credential-body recognition when claimed;</w:t>
      </w:r>
    </w:p>
    <w:p>
      <w:pPr>
        <w:numPr>
          <w:ilvl w:val="0"/>
          <w:numId w:val="1016"/>
        </w:numPr>
        <w:pStyle w:val="Compact"/>
      </w:pPr>
      <w:r>
        <w:t xml:space="preserve">exam eligibility in writing;</w:t>
      </w:r>
    </w:p>
    <w:p>
      <w:pPr>
        <w:numPr>
          <w:ilvl w:val="0"/>
          <w:numId w:val="1016"/>
        </w:numPr>
        <w:pStyle w:val="Compact"/>
      </w:pPr>
      <w:r>
        <w:t xml:space="preserve">whether books, current code sets, software, membership and exam fees are included;</w:t>
      </w:r>
    </w:p>
    <w:p>
      <w:pPr>
        <w:numPr>
          <w:ilvl w:val="0"/>
          <w:numId w:val="1016"/>
        </w:numPr>
        <w:pStyle w:val="Compact"/>
      </w:pPr>
      <w:r>
        <w:t xml:space="preserve">transferability of academic credit;</w:t>
      </w:r>
    </w:p>
    <w:p>
      <w:pPr>
        <w:numPr>
          <w:ilvl w:val="0"/>
          <w:numId w:val="1016"/>
        </w:numPr>
        <w:pStyle w:val="Compact"/>
      </w:pPr>
      <w:r>
        <w:t xml:space="preserve">completion and placement methodology;</w:t>
      </w:r>
    </w:p>
    <w:p>
      <w:pPr>
        <w:numPr>
          <w:ilvl w:val="0"/>
          <w:numId w:val="1016"/>
        </w:numPr>
        <w:pStyle w:val="Compact"/>
      </w:pPr>
      <w:r>
        <w:t xml:space="preserve">refund and cancellation rules;</w:t>
      </w:r>
    </w:p>
    <w:p>
      <w:pPr>
        <w:numPr>
          <w:ilvl w:val="0"/>
          <w:numId w:val="1016"/>
        </w:numPr>
        <w:pStyle w:val="Compact"/>
      </w:pPr>
      <w:r>
        <w:t xml:space="preserve">complaint procedures;</w:t>
      </w:r>
    </w:p>
    <w:p>
      <w:pPr>
        <w:numPr>
          <w:ilvl w:val="0"/>
          <w:numId w:val="1016"/>
        </w:numPr>
        <w:pStyle w:val="Compact"/>
      </w:pPr>
      <w:r>
        <w:t xml:space="preserve">school-closure protections; and</w:t>
      </w:r>
    </w:p>
    <w:p>
      <w:pPr>
        <w:numPr>
          <w:ilvl w:val="0"/>
          <w:numId w:val="1016"/>
        </w:numPr>
        <w:pStyle w:val="Compact"/>
      </w:pPr>
      <w:r>
        <w:t xml:space="preserve">whether any practicum or work experience is guaranteed, competitive or the student’s responsibility.</w:t>
      </w:r>
    </w:p>
    <w:bookmarkEnd w:id="54"/>
    <w:bookmarkEnd w:id="55"/>
    <w:bookmarkStart w:id="63" w:name="Xc78f817d10cfb97e77f2e4ec98b5201ba0f87da"/>
    <w:p>
      <w:pPr>
        <w:pStyle w:val="Heading1"/>
      </w:pPr>
      <w:r>
        <w:t xml:space="preserve">8. Employer-Supported Learning and Public Workforce Support</w:t>
      </w:r>
    </w:p>
    <w:bookmarkStart w:id="59" w:name="american-job-centers-and-wioa"/>
    <w:p>
      <w:pPr>
        <w:pStyle w:val="Heading2"/>
      </w:pPr>
      <w:r>
        <w:t xml:space="preserve">American Job Centers and WIOA</w:t>
      </w:r>
    </w:p>
    <w:p>
      <w:pPr>
        <w:pStyle w:val="FirstParagraph"/>
      </w:pPr>
      <w:r>
        <w:t xml:space="preserve">U.S. Department of Labor American Job Centers provide job-search assistance, career counseling, training referrals and related employment services. WIOA programs may fund classroom or work-based learning for eligible participants, subject to local eligibility, priorities and approved-provider rules.</w:t>
      </w:r>
    </w:p>
    <w:p>
      <w:pPr>
        <w:pStyle w:val="BodyText"/>
      </w:pPr>
      <w:r>
        <w:t xml:space="preserve">Sources:</w:t>
      </w:r>
    </w:p>
    <w:p>
      <w:pPr>
        <w:numPr>
          <w:ilvl w:val="0"/>
          <w:numId w:val="1017"/>
        </w:numPr>
        <w:pStyle w:val="Compact"/>
      </w:pPr>
      <w:hyperlink r:id="rId56">
        <w:r>
          <w:rPr>
            <w:rStyle w:val="Hyperlink"/>
          </w:rPr>
          <w:t xml:space="preserve">https://www.dol.gov/general/topic/training/onestop</w:t>
        </w:r>
      </w:hyperlink>
    </w:p>
    <w:p>
      <w:pPr>
        <w:numPr>
          <w:ilvl w:val="0"/>
          <w:numId w:val="1017"/>
        </w:numPr>
        <w:pStyle w:val="Compact"/>
      </w:pPr>
      <w:hyperlink r:id="rId57">
        <w:r>
          <w:rPr>
            <w:rStyle w:val="Hyperlink"/>
          </w:rPr>
          <w:t xml:space="preserve">https://www.dol.gov/agencies/eta/wioa/programs</w:t>
        </w:r>
      </w:hyperlink>
    </w:p>
    <w:p>
      <w:pPr>
        <w:numPr>
          <w:ilvl w:val="0"/>
          <w:numId w:val="1017"/>
        </w:numPr>
        <w:pStyle w:val="Compact"/>
      </w:pPr>
      <w:hyperlink r:id="rId58">
        <w:r>
          <w:rPr>
            <w:rStyle w:val="Hyperlink"/>
          </w:rPr>
          <w:t xml:space="preserve">https://www.careeronestop.org/LocalHelp/EmploymentAndTraining/find-WIOA-training-programs.aspx</w:t>
        </w:r>
      </w:hyperlink>
    </w:p>
    <w:bookmarkEnd w:id="59"/>
    <w:bookmarkStart w:id="61" w:name="registered-apprenticeship"/>
    <w:p>
      <w:pPr>
        <w:pStyle w:val="Heading2"/>
      </w:pPr>
      <w:r>
        <w:t xml:space="preserve">Registered Apprenticeship</w:t>
      </w:r>
    </w:p>
    <w:p>
      <w:pPr>
        <w:pStyle w:val="FirstParagraph"/>
      </w:pPr>
      <w:r>
        <w:t xml:space="preserve">Healthcare Registered Apprenticeship is an established pathway, and Apprenticeship.gov identifies a competency-based occupational framework for</w:t>
      </w:r>
      <w:r>
        <w:t xml:space="preserve"> </w:t>
      </w:r>
      <w:r>
        <w:rPr>
          <w:bCs/>
          <w:b/>
        </w:rPr>
        <w:t xml:space="preserve">Medical Records and Health Information Technicians and Medical Coders</w:t>
      </w:r>
      <w:r>
        <w:t xml:space="preserve">. That does not mean a suitable program is available in every state or locality.</w:t>
      </w:r>
    </w:p>
    <w:p>
      <w:pPr>
        <w:pStyle w:val="BodyText"/>
      </w:pPr>
      <w:r>
        <w:t xml:space="preserve">Use the live apprenticeship finder and verify the sponsor, registration status, wages, related instruction, supervision, progressive skill development and credential outcomes.</w:t>
      </w:r>
    </w:p>
    <w:p>
      <w:pPr>
        <w:pStyle w:val="BodyText"/>
      </w:pPr>
      <w:r>
        <w:t xml:space="preserve">Source:</w:t>
      </w:r>
      <w:r>
        <w:t xml:space="preserve"> </w:t>
      </w:r>
      <w:hyperlink r:id="rId60">
        <w:r>
          <w:rPr>
            <w:rStyle w:val="Hyperlink"/>
          </w:rPr>
          <w:t xml:space="preserve">https://www.apprenticeship.gov/apprenticeship-industries/healthcare</w:t>
        </w:r>
      </w:hyperlink>
    </w:p>
    <w:bookmarkEnd w:id="61"/>
    <w:bookmarkStart w:id="62" w:name="X601a84bcdc22d13c0c3e0a69ff4248887cadffb"/>
    <w:p>
      <w:pPr>
        <w:pStyle w:val="Heading2"/>
      </w:pPr>
      <w:r>
        <w:t xml:space="preserve">Tuition assistance and repayment agreements</w:t>
      </w:r>
    </w:p>
    <w:p>
      <w:pPr>
        <w:pStyle w:val="FirstParagraph"/>
      </w:pPr>
      <w:r>
        <w:t xml:space="preserve">Employers may provide direct tuition payment, reimbursement, exam-fee support, scholarships or other education benefits. Before accepting:</w:t>
      </w:r>
    </w:p>
    <w:p>
      <w:pPr>
        <w:numPr>
          <w:ilvl w:val="0"/>
          <w:numId w:val="1018"/>
        </w:numPr>
        <w:pStyle w:val="Compact"/>
      </w:pPr>
      <w:r>
        <w:t xml:space="preserve">obtain written approval;</w:t>
      </w:r>
    </w:p>
    <w:p>
      <w:pPr>
        <w:numPr>
          <w:ilvl w:val="0"/>
          <w:numId w:val="1018"/>
        </w:numPr>
        <w:pStyle w:val="Compact"/>
      </w:pPr>
      <w:r>
        <w:t xml:space="preserve">confirm coverage limits and eligible programs;</w:t>
      </w:r>
    </w:p>
    <w:p>
      <w:pPr>
        <w:numPr>
          <w:ilvl w:val="0"/>
          <w:numId w:val="1018"/>
        </w:numPr>
        <w:pStyle w:val="Compact"/>
      </w:pPr>
      <w:r>
        <w:t xml:space="preserve">verify grade, exam or completion conditions;</w:t>
      </w:r>
    </w:p>
    <w:p>
      <w:pPr>
        <w:numPr>
          <w:ilvl w:val="0"/>
          <w:numId w:val="1018"/>
        </w:numPr>
        <w:pStyle w:val="Compact"/>
      </w:pPr>
      <w:r>
        <w:t xml:space="preserve">identify when any service period begins;</w:t>
      </w:r>
    </w:p>
    <w:p>
      <w:pPr>
        <w:numPr>
          <w:ilvl w:val="0"/>
          <w:numId w:val="1018"/>
        </w:numPr>
        <w:pStyle w:val="Compact"/>
      </w:pPr>
      <w:r>
        <w:t xml:space="preserve">understand prorated or full repayment formulas;</w:t>
      </w:r>
    </w:p>
    <w:p>
      <w:pPr>
        <w:numPr>
          <w:ilvl w:val="0"/>
          <w:numId w:val="1018"/>
        </w:numPr>
        <w:pStyle w:val="Compact"/>
      </w:pPr>
      <w:r>
        <w:t xml:space="preserve">confirm treatment of layoff, position elimination, disability, military activation, retirement, death, restructuring and employer-directed transfer;</w:t>
      </w:r>
    </w:p>
    <w:p>
      <w:pPr>
        <w:numPr>
          <w:ilvl w:val="0"/>
          <w:numId w:val="1018"/>
        </w:numPr>
        <w:pStyle w:val="Compact"/>
      </w:pPr>
      <w:r>
        <w:t xml:space="preserve">ask who owns academic records and credential documentation; and</w:t>
      </w:r>
    </w:p>
    <w:p>
      <w:pPr>
        <w:numPr>
          <w:ilvl w:val="0"/>
          <w:numId w:val="1018"/>
        </w:numPr>
        <w:pStyle w:val="Compact"/>
      </w:pPr>
      <w:r>
        <w:t xml:space="preserve">verify whether payroll or final-wage deductions are authorized and lawful where you work.</w:t>
      </w:r>
    </w:p>
    <w:bookmarkEnd w:id="62"/>
    <w:bookmarkEnd w:id="63"/>
    <w:bookmarkStart w:id="64" w:name="Xd2ef725b49f7fe14ce33cae2baa12b1b0ef8f45"/>
    <w:p>
      <w:pPr>
        <w:pStyle w:val="Heading1"/>
      </w:pPr>
      <w:r>
        <w:t xml:space="preserve">9. Accessibility and Inclusion</w:t>
      </w:r>
    </w:p>
    <w:p>
      <w:pPr>
        <w:pStyle w:val="FirstParagraph"/>
      </w:pPr>
      <w:r>
        <w:t xml:space="preserve">Verify accommodations across the entire pathway, including:</w:t>
      </w:r>
    </w:p>
    <w:p>
      <w:pPr>
        <w:numPr>
          <w:ilvl w:val="0"/>
          <w:numId w:val="1019"/>
        </w:numPr>
        <w:pStyle w:val="Compact"/>
      </w:pPr>
      <w:r>
        <w:t xml:space="preserve">admissions and enrollment;</w:t>
      </w:r>
    </w:p>
    <w:p>
      <w:pPr>
        <w:numPr>
          <w:ilvl w:val="0"/>
          <w:numId w:val="1019"/>
        </w:numPr>
        <w:pStyle w:val="Compact"/>
      </w:pPr>
      <w:r>
        <w:t xml:space="preserve">online learning platforms;</w:t>
      </w:r>
    </w:p>
    <w:p>
      <w:pPr>
        <w:numPr>
          <w:ilvl w:val="0"/>
          <w:numId w:val="1019"/>
        </w:numPr>
        <w:pStyle w:val="Compact"/>
      </w:pPr>
      <w:r>
        <w:t xml:space="preserve">textbooks and electronic documents;</w:t>
      </w:r>
    </w:p>
    <w:p>
      <w:pPr>
        <w:numPr>
          <w:ilvl w:val="0"/>
          <w:numId w:val="1019"/>
        </w:numPr>
        <w:pStyle w:val="Compact"/>
      </w:pPr>
      <w:r>
        <w:t xml:space="preserve">classroom and laboratory work;</w:t>
      </w:r>
    </w:p>
    <w:p>
      <w:pPr>
        <w:numPr>
          <w:ilvl w:val="0"/>
          <w:numId w:val="1019"/>
        </w:numPr>
        <w:pStyle w:val="Compact"/>
      </w:pPr>
      <w:r>
        <w:t xml:space="preserve">certification testing;</w:t>
      </w:r>
    </w:p>
    <w:p>
      <w:pPr>
        <w:numPr>
          <w:ilvl w:val="0"/>
          <w:numId w:val="1019"/>
        </w:numPr>
        <w:pStyle w:val="Compact"/>
      </w:pPr>
      <w:r>
        <w:t xml:space="preserve">internships or apprenticeships;</w:t>
      </w:r>
    </w:p>
    <w:p>
      <w:pPr>
        <w:numPr>
          <w:ilvl w:val="0"/>
          <w:numId w:val="1019"/>
        </w:numPr>
        <w:pStyle w:val="Compact"/>
      </w:pPr>
      <w:r>
        <w:t xml:space="preserve">workplace software and productivity systems; and</w:t>
      </w:r>
    </w:p>
    <w:p>
      <w:pPr>
        <w:numPr>
          <w:ilvl w:val="0"/>
          <w:numId w:val="1019"/>
        </w:numPr>
        <w:pStyle w:val="Compact"/>
      </w:pPr>
      <w:r>
        <w:t xml:space="preserve">remote-work technology where applicable.</w:t>
      </w:r>
    </w:p>
    <w:p>
      <w:pPr>
        <w:pStyle w:val="FirstParagraph"/>
      </w:pPr>
      <w:r>
        <w:t xml:space="preserve">A school, employer, apprenticeship sponsor and certification body may each use a different accommodation process. Admission to a program does not guarantee that every later stage is accessible.</w:t>
      </w:r>
    </w:p>
    <w:p>
      <w:pPr>
        <w:pStyle w:val="BodyText"/>
      </w:pPr>
      <w:r>
        <w:t xml:space="preserve">Possible supports may include accessible documents, captioning, interpreters, screen-reader compatibility, ergonomic equipment, quiet testing space, additional breaks when approved, flexible scheduling or alternative training methods.</w:t>
      </w:r>
    </w:p>
    <w:bookmarkEnd w:id="64"/>
    <w:bookmarkStart w:id="70" w:name="X2d87e6fa1addd286e178a7ef1cdcdcd3bc511af"/>
    <w:p>
      <w:pPr>
        <w:pStyle w:val="Heading1"/>
      </w:pPr>
      <w:r>
        <w:t xml:space="preserve">10. Privacy, Cybersecurity, and Ethical AI</w:t>
      </w:r>
    </w:p>
    <w:bookmarkStart w:id="67" w:name="hipaa-scope"/>
    <w:p>
      <w:pPr>
        <w:pStyle w:val="Heading2"/>
      </w:pPr>
      <w:r>
        <w:t xml:space="preserve">HIPAA scope</w:t>
      </w:r>
    </w:p>
    <w:p>
      <w:pPr>
        <w:pStyle w:val="FirstParagraph"/>
      </w:pPr>
      <w:r>
        <w:t xml:space="preserve">The HIPAA Privacy Rule protects medical records and other individually identifiable health information held by covered entities and applies to certain business associates. Billing and payment activities can involve protected health information, but not every employer, person or data item is automatically governed by HIPAA. State law, contracts and other privacy requirements may add obligations.</w:t>
      </w:r>
    </w:p>
    <w:p>
      <w:pPr>
        <w:pStyle w:val="BodyText"/>
      </w:pPr>
      <w:r>
        <w:t xml:space="preserve">For payment and health-care operations, covered entities generally must use reasonable policies to limit uses, disclosures and requests for protected health information to the</w:t>
      </w:r>
      <w:r>
        <w:t xml:space="preserve"> </w:t>
      </w:r>
      <w:r>
        <w:rPr>
          <w:bCs/>
          <w:b/>
        </w:rPr>
        <w:t xml:space="preserve">minimum necessary</w:t>
      </w:r>
      <w:r>
        <w:t xml:space="preserve"> </w:t>
      </w:r>
      <w:r>
        <w:t xml:space="preserve">for the intended purpose, subject to regulatory exceptions.</w:t>
      </w:r>
    </w:p>
    <w:p>
      <w:pPr>
        <w:pStyle w:val="BodyText"/>
      </w:pPr>
      <w:r>
        <w:t xml:space="preserve">Sources:</w:t>
      </w:r>
    </w:p>
    <w:p>
      <w:pPr>
        <w:numPr>
          <w:ilvl w:val="0"/>
          <w:numId w:val="1020"/>
        </w:numPr>
        <w:pStyle w:val="Compact"/>
      </w:pPr>
      <w:hyperlink r:id="rId65">
        <w:r>
          <w:rPr>
            <w:rStyle w:val="Hyperlink"/>
          </w:rPr>
          <w:t xml:space="preserve">https://www.hhs.gov/hipaa/for-professionals/privacy/index.html</w:t>
        </w:r>
      </w:hyperlink>
    </w:p>
    <w:p>
      <w:pPr>
        <w:numPr>
          <w:ilvl w:val="0"/>
          <w:numId w:val="1020"/>
        </w:numPr>
        <w:pStyle w:val="Compact"/>
      </w:pPr>
      <w:hyperlink r:id="rId66">
        <w:r>
          <w:rPr>
            <w:rStyle w:val="Hyperlink"/>
          </w:rPr>
          <w:t xml:space="preserve">https://www.hhs.gov/hipaa/for-professionals/privacy/guidance/minimum-necessary-requirement/index.html</w:t>
        </w:r>
      </w:hyperlink>
    </w:p>
    <w:bookmarkEnd w:id="67"/>
    <w:bookmarkStart w:id="68" w:name="practical-security-controls"/>
    <w:p>
      <w:pPr>
        <w:pStyle w:val="Heading2"/>
      </w:pPr>
      <w:r>
        <w:t xml:space="preserve">Practical security controls</w:t>
      </w:r>
    </w:p>
    <w:p>
      <w:pPr>
        <w:numPr>
          <w:ilvl w:val="0"/>
          <w:numId w:val="1021"/>
        </w:numPr>
        <w:pStyle w:val="Compact"/>
      </w:pPr>
      <w:r>
        <w:t xml:space="preserve">Use only approved systems, accounts, devices, storage and communication channels.</w:t>
      </w:r>
    </w:p>
    <w:p>
      <w:pPr>
        <w:numPr>
          <w:ilvl w:val="0"/>
          <w:numId w:val="1021"/>
        </w:numPr>
        <w:pStyle w:val="Compact"/>
      </w:pPr>
      <w:r>
        <w:t xml:space="preserve">Follow role-based access and minimum-necessary access rules established by the organization.</w:t>
      </w:r>
    </w:p>
    <w:p>
      <w:pPr>
        <w:numPr>
          <w:ilvl w:val="0"/>
          <w:numId w:val="1021"/>
        </w:numPr>
        <w:pStyle w:val="Compact"/>
      </w:pPr>
      <w:r>
        <w:t xml:space="preserve">Protect passwords and multifactor authentication.</w:t>
      </w:r>
    </w:p>
    <w:p>
      <w:pPr>
        <w:numPr>
          <w:ilvl w:val="0"/>
          <w:numId w:val="1021"/>
        </w:numPr>
        <w:pStyle w:val="Compact"/>
      </w:pPr>
      <w:r>
        <w:t xml:space="preserve">Do not copy patient data to personal devices or unapproved cloud services.</w:t>
      </w:r>
    </w:p>
    <w:p>
      <w:pPr>
        <w:numPr>
          <w:ilvl w:val="0"/>
          <w:numId w:val="1021"/>
        </w:numPr>
        <w:pStyle w:val="Compact"/>
      </w:pPr>
      <w:r>
        <w:t xml:space="preserve">Verify recipients before sending records, claim attachments or account information.</w:t>
      </w:r>
    </w:p>
    <w:p>
      <w:pPr>
        <w:numPr>
          <w:ilvl w:val="0"/>
          <w:numId w:val="1021"/>
        </w:numPr>
        <w:pStyle w:val="Compact"/>
      </w:pPr>
      <w:r>
        <w:t xml:space="preserve">Report suspected phishing, account compromise or misdirected information promptly.</w:t>
      </w:r>
    </w:p>
    <w:bookmarkEnd w:id="68"/>
    <w:bookmarkStart w:id="69" w:name="responsible-ai"/>
    <w:p>
      <w:pPr>
        <w:pStyle w:val="Heading2"/>
      </w:pPr>
      <w:r>
        <w:t xml:space="preserve">Responsible AI</w:t>
      </w:r>
    </w:p>
    <w:p>
      <w:pPr>
        <w:numPr>
          <w:ilvl w:val="0"/>
          <w:numId w:val="1022"/>
        </w:numPr>
        <w:pStyle w:val="Compact"/>
      </w:pPr>
      <w:r>
        <w:t xml:space="preserve">Do not place protected health information or other confidential data into a public AI service unless the organization has explicitly approved that use and the required legal/contractual safeguards are in place.</w:t>
      </w:r>
    </w:p>
    <w:p>
      <w:pPr>
        <w:numPr>
          <w:ilvl w:val="0"/>
          <w:numId w:val="1022"/>
        </w:numPr>
        <w:pStyle w:val="Compact"/>
      </w:pPr>
      <w:r>
        <w:t xml:space="preserve">Treat AI-assisted coding or billing output as a draft or decision-support input, not unquestioned authority.</w:t>
      </w:r>
    </w:p>
    <w:p>
      <w:pPr>
        <w:numPr>
          <w:ilvl w:val="0"/>
          <w:numId w:val="1022"/>
        </w:numPr>
        <w:pStyle w:val="Compact"/>
      </w:pPr>
      <w:r>
        <w:t xml:space="preserve">Verify codes, effective dates, payer requirements and documentation support against current authoritative sources.</w:t>
      </w:r>
    </w:p>
    <w:p>
      <w:pPr>
        <w:numPr>
          <w:ilvl w:val="0"/>
          <w:numId w:val="1022"/>
        </w:numPr>
        <w:pStyle w:val="Compact"/>
      </w:pPr>
      <w:r>
        <w:t xml:space="preserve">Preserve human accountability for decisions that affect reimbursement, compliance, privacy or patient records.</w:t>
      </w:r>
    </w:p>
    <w:p>
      <w:pPr>
        <w:numPr>
          <w:ilvl w:val="0"/>
          <w:numId w:val="1022"/>
        </w:numPr>
        <w:pStyle w:val="Compact"/>
      </w:pPr>
      <w:r>
        <w:t xml:space="preserve">Do not fabricate credentials, work samples, references or coding experience.</w:t>
      </w:r>
    </w:p>
    <w:bookmarkEnd w:id="69"/>
    <w:bookmarkEnd w:id="70"/>
    <w:bookmarkStart w:id="71" w:name="Xeb6514fa47a9896cf524924a14c133e48cab60f"/>
    <w:p>
      <w:pPr>
        <w:pStyle w:val="Heading1"/>
      </w:pPr>
      <w:r>
        <w:t xml:space="preserve">11. Build Evidence of Ability</w:t>
      </w:r>
    </w:p>
    <w:p>
      <w:pPr>
        <w:pStyle w:val="FirstParagraph"/>
      </w:pPr>
      <w:r>
        <w:t xml:space="preserve">Use only fictional, public, legally obtained educational or fully sanitized information.</w:t>
      </w:r>
    </w:p>
    <w:p>
      <w:pPr>
        <w:pStyle w:val="BodyText"/>
      </w:pPr>
      <w:r>
        <w:t xml:space="preserve">Possible portfolio exercises:</w:t>
      </w:r>
    </w:p>
    <w:p>
      <w:pPr>
        <w:numPr>
          <w:ilvl w:val="0"/>
          <w:numId w:val="1023"/>
        </w:numPr>
        <w:pStyle w:val="Compact"/>
      </w:pPr>
      <w:r>
        <w:t xml:space="preserve">code fictional educational cases and explain the rationale without reproducing copyrighted codebook content beyond lawful limits;</w:t>
      </w:r>
    </w:p>
    <w:p>
      <w:pPr>
        <w:numPr>
          <w:ilvl w:val="0"/>
          <w:numId w:val="1023"/>
        </w:numPr>
        <w:pStyle w:val="Compact"/>
      </w:pPr>
      <w:r>
        <w:t xml:space="preserve">build a fictional claim-life-cycle tracker showing edits, submission, rejection, denial, appeal and payment;</w:t>
      </w:r>
    </w:p>
    <w:p>
      <w:pPr>
        <w:numPr>
          <w:ilvl w:val="0"/>
          <w:numId w:val="1023"/>
        </w:numPr>
        <w:pStyle w:val="Compact"/>
      </w:pPr>
      <w:r>
        <w:t xml:space="preserve">create a privacy-safe denial analysis showing root cause and corrective action;</w:t>
      </w:r>
    </w:p>
    <w:p>
      <w:pPr>
        <w:numPr>
          <w:ilvl w:val="0"/>
          <w:numId w:val="1023"/>
        </w:numPr>
        <w:pStyle w:val="Compact"/>
      </w:pPr>
      <w:r>
        <w:t xml:space="preserve">document how you would verify an effective-date code-set change;</w:t>
      </w:r>
    </w:p>
    <w:p>
      <w:pPr>
        <w:numPr>
          <w:ilvl w:val="0"/>
          <w:numId w:val="1023"/>
        </w:numPr>
        <w:pStyle w:val="Compact"/>
      </w:pPr>
      <w:r>
        <w:t xml:space="preserve">map a simple revenue-cycle workflow and identify control points; and</w:t>
      </w:r>
    </w:p>
    <w:p>
      <w:pPr>
        <w:numPr>
          <w:ilvl w:val="0"/>
          <w:numId w:val="1023"/>
        </w:numPr>
        <w:pStyle w:val="Compact"/>
      </w:pPr>
      <w:r>
        <w:t xml:space="preserve">create a short privacy/security checklist for remote billing or coding work.</w:t>
      </w:r>
    </w:p>
    <w:p>
      <w:pPr>
        <w:pStyle w:val="FirstParagraph"/>
      </w:pPr>
      <w:r>
        <w:t xml:space="preserve">Explain the problem, your role, the process, the controls, the result and what you learned. Do not claim team outcomes as individual work or display proprietary materials.</w:t>
      </w:r>
    </w:p>
    <w:bookmarkEnd w:id="71"/>
    <w:bookmarkStart w:id="72" w:name="X5af24663fd9b6365832b182bbe30060f899d552"/>
    <w:p>
      <w:pPr>
        <w:pStyle w:val="Heading1"/>
      </w:pPr>
      <w:r>
        <w:t xml:space="preserve">12. Interview Preparation</w:t>
      </w:r>
    </w:p>
    <w:p>
      <w:pPr>
        <w:pStyle w:val="FirstParagraph"/>
      </w:pPr>
      <w:r>
        <w:t xml:space="preserve">Prepare concise examples for questions such as:</w:t>
      </w:r>
    </w:p>
    <w:p>
      <w:pPr>
        <w:numPr>
          <w:ilvl w:val="0"/>
          <w:numId w:val="1024"/>
        </w:numPr>
        <w:pStyle w:val="Compact"/>
      </w:pPr>
      <w:r>
        <w:t xml:space="preserve">What would you do when documentation does not support the requested code?</w:t>
      </w:r>
    </w:p>
    <w:p>
      <w:pPr>
        <w:numPr>
          <w:ilvl w:val="0"/>
          <w:numId w:val="1024"/>
        </w:numPr>
        <w:pStyle w:val="Compact"/>
      </w:pPr>
      <w:r>
        <w:t xml:space="preserve">What is the difference between a claim rejection and a denial?</w:t>
      </w:r>
    </w:p>
    <w:p>
      <w:pPr>
        <w:numPr>
          <w:ilvl w:val="0"/>
          <w:numId w:val="1024"/>
        </w:numPr>
        <w:pStyle w:val="Compact"/>
      </w:pPr>
      <w:r>
        <w:t xml:space="preserve">How would you verify that you are using the correct effective-date code set?</w:t>
      </w:r>
    </w:p>
    <w:p>
      <w:pPr>
        <w:numPr>
          <w:ilvl w:val="0"/>
          <w:numId w:val="1024"/>
        </w:numPr>
        <w:pStyle w:val="Compact"/>
      </w:pPr>
      <w:r>
        <w:t xml:space="preserve">How do you protect protected health information while working remotely?</w:t>
      </w:r>
    </w:p>
    <w:p>
      <w:pPr>
        <w:numPr>
          <w:ilvl w:val="0"/>
          <w:numId w:val="1024"/>
        </w:numPr>
        <w:pStyle w:val="Compact"/>
      </w:pPr>
      <w:r>
        <w:t xml:space="preserve">What would you do if productivity expectations appeared to conflict with coding accuracy?</w:t>
      </w:r>
    </w:p>
    <w:p>
      <w:pPr>
        <w:numPr>
          <w:ilvl w:val="0"/>
          <w:numId w:val="1024"/>
        </w:numPr>
        <w:pStyle w:val="Compact"/>
      </w:pPr>
      <w:r>
        <w:t xml:space="preserve">How do you research a payer rule you have not seen before?</w:t>
      </w:r>
    </w:p>
    <w:p>
      <w:pPr>
        <w:pStyle w:val="FirstParagraph"/>
      </w:pPr>
      <w:r>
        <w:t xml:space="preserve">A strong answer should show the situation, your responsibility, the action taken, the evidence used, the boundary or escalation point and the result.</w:t>
      </w:r>
    </w:p>
    <w:bookmarkEnd w:id="72"/>
    <w:bookmarkStart w:id="73" w:name="Xf05dbb5167e95ed75542c4d6a3d652255be675e"/>
    <w:p>
      <w:pPr>
        <w:pStyle w:val="Heading1"/>
      </w:pPr>
      <w:r>
        <w:t xml:space="preserve">13. First 30, 60, and 90 Days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Period</w:t>
            </w:r>
          </w:p>
        </w:tc>
        <w:tc>
          <w:tcPr/>
          <w:p>
            <w:pPr>
              <w:pStyle w:val="Compact"/>
              <w:jc w:val="left"/>
            </w:pPr>
            <w:r>
              <w:t xml:space="preserve">Priorities</w:t>
            </w:r>
          </w:p>
        </w:tc>
      </w:tr>
      <w:tr>
        <w:tc>
          <w:tcPr/>
          <w:p>
            <w:pPr>
              <w:pStyle w:val="Compact"/>
              <w:jc w:val="left"/>
            </w:pPr>
            <w:r>
              <w:t xml:space="preserve">First 30 days</w:t>
            </w:r>
          </w:p>
        </w:tc>
        <w:tc>
          <w:tcPr/>
          <w:p>
            <w:pPr>
              <w:pStyle w:val="Compact"/>
              <w:jc w:val="left"/>
            </w:pPr>
            <w:r>
              <w:t xml:space="preserve">Learn policies, systems, terminology, privacy/security requirements, role boundaries, payer/client rules, quality standards, escalation paths and accommodation processes.</w:t>
            </w:r>
          </w:p>
        </w:tc>
      </w:tr>
      <w:tr>
        <w:tc>
          <w:tcPr/>
          <w:p>
            <w:pPr>
              <w:pStyle w:val="Compact"/>
              <w:jc w:val="left"/>
            </w:pPr>
            <w:r>
              <w:t xml:space="preserve">Days 31–60</w:t>
            </w:r>
          </w:p>
        </w:tc>
        <w:tc>
          <w:tcPr/>
          <w:p>
            <w:pPr>
              <w:pStyle w:val="Compact"/>
              <w:jc w:val="left"/>
            </w:pPr>
            <w:r>
              <w:t xml:space="preserve">Perform routine work with review, document decisions, strengthen accuracy, request feedback, track recurring exceptions and learn how denials/rejections are resolved.</w:t>
            </w:r>
          </w:p>
        </w:tc>
      </w:tr>
      <w:tr>
        <w:tc>
          <w:tcPr/>
          <w:p>
            <w:pPr>
              <w:pStyle w:val="Compact"/>
              <w:jc w:val="left"/>
            </w:pPr>
            <w:r>
              <w:t xml:space="preserve">Days 61–90</w:t>
            </w:r>
          </w:p>
        </w:tc>
        <w:tc>
          <w:tcPr/>
          <w:p>
            <w:pPr>
              <w:pStyle w:val="Compact"/>
              <w:jc w:val="left"/>
            </w:pPr>
            <w:r>
              <w:t xml:space="preserve">Handle a broader workload within your authority, identify one evidence-based improvement, document development goals and verify the next training or credential step before paying for it.</w:t>
            </w:r>
          </w:p>
        </w:tc>
      </w:tr>
    </w:tbl>
    <w:bookmarkEnd w:id="73"/>
    <w:bookmarkStart w:id="74" w:name="Xc93741e8a9113f1ff6092f5721f064bd0578c52"/>
    <w:p>
      <w:pPr>
        <w:pStyle w:val="Heading1"/>
      </w:pPr>
      <w:r>
        <w:t xml:space="preserve">14. Advancement, Portability, and Exit Planning</w:t>
      </w:r>
    </w:p>
    <w:p>
      <w:pPr>
        <w:pStyle w:val="FirstParagraph"/>
      </w:pPr>
      <w:r>
        <w:t xml:space="preserve">Possible directions may include:</w:t>
      </w:r>
    </w:p>
    <w:p>
      <w:pPr>
        <w:numPr>
          <w:ilvl w:val="0"/>
          <w:numId w:val="1025"/>
        </w:numPr>
        <w:pStyle w:val="Compact"/>
      </w:pPr>
      <w:r>
        <w:t xml:space="preserve">senior coding or billing roles;</w:t>
      </w:r>
    </w:p>
    <w:p>
      <w:pPr>
        <w:numPr>
          <w:ilvl w:val="0"/>
          <w:numId w:val="1025"/>
        </w:numPr>
        <w:pStyle w:val="Compact"/>
      </w:pPr>
      <w:r>
        <w:t xml:space="preserve">denial management or appeals;</w:t>
      </w:r>
    </w:p>
    <w:p>
      <w:pPr>
        <w:numPr>
          <w:ilvl w:val="0"/>
          <w:numId w:val="1025"/>
        </w:numPr>
        <w:pStyle w:val="Compact"/>
      </w:pPr>
      <w:r>
        <w:t xml:space="preserve">revenue-cycle analysis;</w:t>
      </w:r>
    </w:p>
    <w:p>
      <w:pPr>
        <w:numPr>
          <w:ilvl w:val="0"/>
          <w:numId w:val="1025"/>
        </w:numPr>
        <w:pStyle w:val="Compact"/>
      </w:pPr>
      <w:r>
        <w:t xml:space="preserve">coding quality or auditing;</w:t>
      </w:r>
    </w:p>
    <w:p>
      <w:pPr>
        <w:numPr>
          <w:ilvl w:val="0"/>
          <w:numId w:val="1025"/>
        </w:numPr>
        <w:pStyle w:val="Compact"/>
      </w:pPr>
      <w:r>
        <w:t xml:space="preserve">clinical documentation support where qualifications permit;</w:t>
      </w:r>
    </w:p>
    <w:p>
      <w:pPr>
        <w:numPr>
          <w:ilvl w:val="0"/>
          <w:numId w:val="1025"/>
        </w:numPr>
        <w:pStyle w:val="Compact"/>
      </w:pPr>
      <w:r>
        <w:t xml:space="preserve">health-information management;</w:t>
      </w:r>
    </w:p>
    <w:p>
      <w:pPr>
        <w:numPr>
          <w:ilvl w:val="0"/>
          <w:numId w:val="1025"/>
        </w:numPr>
        <w:pStyle w:val="Compact"/>
      </w:pPr>
      <w:r>
        <w:t xml:space="preserve">compliance support;</w:t>
      </w:r>
    </w:p>
    <w:p>
      <w:pPr>
        <w:numPr>
          <w:ilvl w:val="0"/>
          <w:numId w:val="1025"/>
        </w:numPr>
        <w:pStyle w:val="Compact"/>
      </w:pPr>
      <w:r>
        <w:t xml:space="preserve">payer or provider operations;</w:t>
      </w:r>
    </w:p>
    <w:p>
      <w:pPr>
        <w:numPr>
          <w:ilvl w:val="0"/>
          <w:numId w:val="1025"/>
        </w:numPr>
        <w:pStyle w:val="Compact"/>
      </w:pPr>
      <w:r>
        <w:t xml:space="preserve">training or education;</w:t>
      </w:r>
    </w:p>
    <w:p>
      <w:pPr>
        <w:numPr>
          <w:ilvl w:val="0"/>
          <w:numId w:val="1025"/>
        </w:numPr>
        <w:pStyle w:val="Compact"/>
      </w:pPr>
      <w:r>
        <w:t xml:space="preserve">supervision when qualified; and</w:t>
      </w:r>
    </w:p>
    <w:p>
      <w:pPr>
        <w:numPr>
          <w:ilvl w:val="0"/>
          <w:numId w:val="1025"/>
        </w:numPr>
        <w:pStyle w:val="Compact"/>
      </w:pPr>
      <w:r>
        <w:t xml:space="preserve">further study in health information, healthcare administration, analytics or related fields.</w:t>
      </w:r>
    </w:p>
    <w:p>
      <w:pPr>
        <w:pStyle w:val="FirstParagraph"/>
      </w:pPr>
      <w:r>
        <w:t xml:space="preserve">For each next step, verify the required education, experience, credential, software knowledge and actual pay change. Keep transcripts, certification records, continuing-education records, evaluations and repayment agreements.</w:t>
      </w:r>
    </w:p>
    <w:bookmarkEnd w:id="74"/>
    <w:bookmarkStart w:id="80" w:name="X4ad23d584cdf2178e59837e34bfca8957b3c520"/>
    <w:p>
      <w:pPr>
        <w:pStyle w:val="Heading1"/>
      </w:pPr>
      <w:r>
        <w:t xml:space="preserve">15. Canada</w:t>
      </w:r>
    </w:p>
    <w:p>
      <w:pPr>
        <w:pStyle w:val="FirstParagraph"/>
      </w:pPr>
      <w:r>
        <w:t xml:space="preserve">The exact U.S. combined title does not map cleanly to one Canadian NOC. Use role-dependent official groupings rather than forcing one false equivalence.</w:t>
      </w:r>
    </w:p>
    <w:bookmarkStart w:id="76" w:name="X567c416767156bef4642ef3ac5ef64f70658ab1"/>
    <w:p>
      <w:pPr>
        <w:pStyle w:val="Heading2"/>
      </w:pPr>
      <w:r>
        <w:t xml:space="preserve">Health information management occupations — NOC 12111</w:t>
      </w:r>
    </w:p>
    <w:p>
      <w:pPr>
        <w:pStyle w:val="FirstParagraph"/>
      </w:pPr>
      <w:r>
        <w:t xml:space="preserve">This is the stronger official Canadian anchor for records/coding-intensive work. Canada Job Bank reports national wages of approximately:</w:t>
      </w:r>
    </w:p>
    <w:p>
      <w:pPr>
        <w:numPr>
          <w:ilvl w:val="0"/>
          <w:numId w:val="1026"/>
        </w:numPr>
        <w:pStyle w:val="Compact"/>
      </w:pPr>
      <w:r>
        <w:rPr>
          <w:bCs/>
          <w:b/>
        </w:rPr>
        <w:t xml:space="preserve">C$22.00/hour low</w:t>
      </w:r>
    </w:p>
    <w:p>
      <w:pPr>
        <w:numPr>
          <w:ilvl w:val="0"/>
          <w:numId w:val="1026"/>
        </w:numPr>
        <w:pStyle w:val="Compact"/>
      </w:pPr>
      <w:r>
        <w:rPr>
          <w:bCs/>
          <w:b/>
        </w:rPr>
        <w:t xml:space="preserve">C$30.51/hour median</w:t>
      </w:r>
    </w:p>
    <w:p>
      <w:pPr>
        <w:numPr>
          <w:ilvl w:val="0"/>
          <w:numId w:val="1026"/>
        </w:numPr>
        <w:pStyle w:val="Compact"/>
      </w:pPr>
      <w:r>
        <w:rPr>
          <w:bCs/>
          <w:b/>
        </w:rPr>
        <w:t xml:space="preserve">C$46.19/hour high</w:t>
      </w:r>
    </w:p>
    <w:p>
      <w:pPr>
        <w:pStyle w:val="FirstParagraph"/>
      </w:pPr>
      <w:r>
        <w:t xml:space="preserve">The broader occupation includes collecting, coding, recording, reviewing and managing health information. Do not conclude that every medical billing job belongs to NOC 12111.</w:t>
      </w:r>
    </w:p>
    <w:p>
      <w:pPr>
        <w:pStyle w:val="BodyText"/>
      </w:pPr>
      <w:r>
        <w:t xml:space="preserve">Source:</w:t>
      </w:r>
      <w:r>
        <w:t xml:space="preserve"> </w:t>
      </w:r>
      <w:hyperlink r:id="rId75">
        <w:r>
          <w:rPr>
            <w:rStyle w:val="Hyperlink"/>
          </w:rPr>
          <w:t xml:space="preserve">https://www.jobbank.gc.ca/marketreport/summary-occupation/25614/ca</w:t>
        </w:r>
      </w:hyperlink>
    </w:p>
    <w:bookmarkEnd w:id="76"/>
    <w:bookmarkStart w:id="78" w:name="X067d2cf7e1411b2014cc6792541ed9c68a72413"/>
    <w:p>
      <w:pPr>
        <w:pStyle w:val="Heading2"/>
      </w:pPr>
      <w:r>
        <w:t xml:space="preserve">Patient-billing clerk — billing-oriented comparator</w:t>
      </w:r>
    </w:p>
    <w:p>
      <w:pPr>
        <w:pStyle w:val="FirstParagraph"/>
      </w:pPr>
      <w:r>
        <w:t xml:space="preserve">Canada Job Bank reports national patient-billing-clerk wages of:</w:t>
      </w:r>
    </w:p>
    <w:p>
      <w:pPr>
        <w:numPr>
          <w:ilvl w:val="0"/>
          <w:numId w:val="1027"/>
        </w:numPr>
        <w:pStyle w:val="Compact"/>
      </w:pPr>
      <w:r>
        <w:rPr>
          <w:bCs/>
          <w:b/>
        </w:rPr>
        <w:t xml:space="preserve">C$18.46/hour low</w:t>
      </w:r>
    </w:p>
    <w:p>
      <w:pPr>
        <w:numPr>
          <w:ilvl w:val="0"/>
          <w:numId w:val="1027"/>
        </w:numPr>
        <w:pStyle w:val="Compact"/>
      </w:pPr>
      <w:r>
        <w:rPr>
          <w:bCs/>
          <w:b/>
        </w:rPr>
        <w:t xml:space="preserve">C$25.00/hour median</w:t>
      </w:r>
    </w:p>
    <w:p>
      <w:pPr>
        <w:numPr>
          <w:ilvl w:val="0"/>
          <w:numId w:val="1027"/>
        </w:numPr>
        <w:pStyle w:val="Compact"/>
      </w:pPr>
      <w:r>
        <w:rPr>
          <w:bCs/>
          <w:b/>
        </w:rPr>
        <w:t xml:space="preserve">C$35.71/hour high</w:t>
      </w:r>
    </w:p>
    <w:p>
      <w:pPr>
        <w:pStyle w:val="FirstParagraph"/>
      </w:pPr>
      <w:r>
        <w:t xml:space="preserve">The wage table was updated November 19, 2025 and uses a 2023–2024 reference period. This is a billing-oriented comparator, not a coding-specialist wage.</w:t>
      </w:r>
    </w:p>
    <w:p>
      <w:pPr>
        <w:pStyle w:val="BodyText"/>
      </w:pPr>
      <w:r>
        <w:t xml:space="preserve">Source:</w:t>
      </w:r>
      <w:r>
        <w:t xml:space="preserve"> </w:t>
      </w:r>
      <w:hyperlink r:id="rId77">
        <w:r>
          <w:rPr>
            <w:rStyle w:val="Hyperlink"/>
          </w:rPr>
          <w:t xml:space="preserve">https://www.jobbank.gc.ca/marketreport/wages-occupation/14119/ca</w:t>
        </w:r>
      </w:hyperlink>
    </w:p>
    <w:bookmarkEnd w:id="78"/>
    <w:bookmarkStart w:id="79" w:name="canadian-pathway-rule"/>
    <w:p>
      <w:pPr>
        <w:pStyle w:val="Heading2"/>
      </w:pPr>
      <w:r>
        <w:t xml:space="preserve">Canadian pathway rule</w:t>
      </w:r>
    </w:p>
    <w:p>
      <w:pPr>
        <w:pStyle w:val="FirstParagraph"/>
      </w:pPr>
      <w:r>
        <w:t xml:space="preserve">Check the exact title, NOC grouping, province, employer and training requirements. Do not import U.S. credential assumptions into Canada without evidence.</w:t>
      </w:r>
    </w:p>
    <w:bookmarkEnd w:id="79"/>
    <w:bookmarkEnd w:id="80"/>
    <w:bookmarkStart w:id="84" w:name="X0fc7156920e7643c1bc4b2f13835243f14bd6a3"/>
    <w:p>
      <w:pPr>
        <w:pStyle w:val="Heading1"/>
      </w:pPr>
      <w:r>
        <w:t xml:space="preserve">16. Colombia and the Rest of Latin America</w:t>
      </w:r>
    </w:p>
    <w:p>
      <w:pPr>
        <w:pStyle w:val="FirstParagraph"/>
      </w:pPr>
      <w:r>
        <w:t xml:space="preserve">Medical billing, coding, health-records and revenue-cycle work varies substantially across Latin America. U.S. HIPAA, Medicare/Medicaid billing rules, CPT/HCPCS and U.S. professional credentials do not automatically govern local Colombian employment.</w:t>
      </w:r>
    </w:p>
    <w:p>
      <w:pPr>
        <w:pStyle w:val="BodyText"/>
      </w:pPr>
      <w:r>
        <w:t xml:space="preserve">U.S.-oriented coding knowledge may still be relevant in Colombian or LATAM outsourcing/BPO roles serving U.S. healthcare clients, but that is an employer/client-specific pathway and should be labeled accordingly.</w:t>
      </w:r>
    </w:p>
    <w:bookmarkStart w:id="83" w:name="colombia--public-adjacent-training"/>
    <w:p>
      <w:pPr>
        <w:pStyle w:val="Heading2"/>
      </w:pPr>
      <w:r>
        <w:t xml:space="preserve">Colombia — public adjacent training</w:t>
      </w:r>
    </w:p>
    <w:p>
      <w:pPr>
        <w:pStyle w:val="FirstParagraph"/>
      </w:pPr>
      <w:r>
        <w:t xml:space="preserve">SENA lists complementary training titled</w:t>
      </w:r>
      <w:r>
        <w:t xml:space="preserve"> </w:t>
      </w:r>
      <w:r>
        <w:rPr>
          <w:bCs/>
          <w:b/>
        </w:rPr>
        <w:t xml:space="preserve">Facturación de los servicios en salud</w:t>
      </w:r>
      <w:r>
        <w:t xml:space="preserve">, including a virtual version of approximately</w:t>
      </w:r>
      <w:r>
        <w:t xml:space="preserve"> </w:t>
      </w:r>
      <w:r>
        <w:rPr>
          <w:bCs/>
          <w:b/>
        </w:rPr>
        <w:t xml:space="preserve">40 hours</w:t>
      </w:r>
      <w:r>
        <w:t xml:space="preserve"> </w:t>
      </w:r>
      <w:r>
        <w:t xml:space="preserve">and an in-person version of approximately</w:t>
      </w:r>
      <w:r>
        <w:t xml:space="preserve"> </w:t>
      </w:r>
      <w:r>
        <w:rPr>
          <w:bCs/>
          <w:b/>
        </w:rPr>
        <w:t xml:space="preserve">48 hours</w:t>
      </w:r>
      <w:r>
        <w:t xml:space="preserve">, subject to current availability and admissions conditions. This is useful adjacent training in Colombian healthcare billing. It is not equivalent to a U.S. CPC, CCA, CCS or another foreign professional credential.</w:t>
      </w:r>
    </w:p>
    <w:p>
      <w:pPr>
        <w:pStyle w:val="BodyText"/>
      </w:pPr>
      <w:r>
        <w:t xml:space="preserve">Sources:</w:t>
      </w:r>
    </w:p>
    <w:p>
      <w:pPr>
        <w:numPr>
          <w:ilvl w:val="0"/>
          <w:numId w:val="1028"/>
        </w:numPr>
        <w:pStyle w:val="Compact"/>
      </w:pPr>
      <w:hyperlink r:id="rId81">
        <w:r>
          <w:rPr>
            <w:rStyle w:val="Hyperlink"/>
          </w:rPr>
          <w:t xml:space="preserve">https://betowa.sena.edu.co/oferta/facturacion-de-los-servicios-en-salud?modality=V&amp;programId=110493</w:t>
        </w:r>
      </w:hyperlink>
    </w:p>
    <w:p>
      <w:pPr>
        <w:numPr>
          <w:ilvl w:val="0"/>
          <w:numId w:val="1028"/>
        </w:numPr>
        <w:pStyle w:val="Compact"/>
      </w:pPr>
      <w:hyperlink r:id="rId82">
        <w:r>
          <w:rPr>
            <w:rStyle w:val="Hyperlink"/>
          </w:rPr>
          <w:t xml:space="preserve">https://betowa.sena.edu.co/oferta/facturacion-de-los-servicios-en-salud?programId=110492</w:t>
        </w:r>
      </w:hyperlink>
    </w:p>
    <w:p>
      <w:pPr>
        <w:pStyle w:val="FirstParagraph"/>
      </w:pPr>
      <w:r>
        <w:t xml:space="preserve">No directly comparable official Colombian national wage series for the exact U.S. combined title has been verified for this revision.</w:t>
      </w:r>
      <w:r>
        <w:t xml:space="preserve"> </w:t>
      </w:r>
      <w:r>
        <w:rPr>
          <w:bCs/>
          <w:b/>
        </w:rPr>
        <w:t xml:space="preserve">Do not invent one.</w:t>
      </w:r>
      <w:r>
        <w:t xml:space="preserve"> </w:t>
      </w:r>
      <w:r>
        <w:t xml:space="preserve">Use current Colombian job postings and official employment/labor sources for the actual local title.</w:t>
      </w:r>
    </w:p>
    <w:p>
      <w:pPr>
        <w:pStyle w:val="BodyText"/>
      </w:pPr>
      <w:r>
        <w:t xml:space="preserve">For other Latin American countries, verify the local health-system terminology, billing rules, coding/classification systems, privacy law, training pathways, credential expectations and employer requirements separately.</w:t>
      </w:r>
    </w:p>
    <w:bookmarkEnd w:id="83"/>
    <w:bookmarkEnd w:id="84"/>
    <w:bookmarkStart w:id="85" w:name="Xdb59adac641a53777b978a77cd7e3d3504eae3e"/>
    <w:p>
      <w:pPr>
        <w:pStyle w:val="Heading1"/>
      </w:pPr>
      <w:r>
        <w:t xml:space="preserve">17. Before You Enroll or Sign</w:t>
      </w:r>
    </w:p>
    <w:p>
      <w:pPr>
        <w:pStyle w:val="FirstParagraph"/>
      </w:pPr>
      <w:r>
        <w:t xml:space="preserve">Verify in writing:</w:t>
      </w:r>
    </w:p>
    <w:p>
      <w:pPr>
        <w:numPr>
          <w:ilvl w:val="0"/>
          <w:numId w:val="1029"/>
        </w:numPr>
        <w:pStyle w:val="Compact"/>
      </w:pPr>
      <w:r>
        <w:t xml:space="preserve">the exact role you are preparing for;</w:t>
      </w:r>
    </w:p>
    <w:p>
      <w:pPr>
        <w:numPr>
          <w:ilvl w:val="0"/>
          <w:numId w:val="1029"/>
        </w:numPr>
        <w:pStyle w:val="Compact"/>
      </w:pPr>
      <w:r>
        <w:t xml:space="preserve">the legal, payer/client and employer requirements;</w:t>
      </w:r>
    </w:p>
    <w:p>
      <w:pPr>
        <w:numPr>
          <w:ilvl w:val="0"/>
          <w:numId w:val="1029"/>
        </w:numPr>
        <w:pStyle w:val="Compact"/>
      </w:pPr>
      <w:r>
        <w:t xml:space="preserve">complete tuition and fees;</w:t>
      </w:r>
    </w:p>
    <w:p>
      <w:pPr>
        <w:numPr>
          <w:ilvl w:val="0"/>
          <w:numId w:val="1029"/>
        </w:numPr>
        <w:pStyle w:val="Compact"/>
      </w:pPr>
      <w:r>
        <w:t xml:space="preserve">books, current code sets, software, membership and exam costs;</w:t>
      </w:r>
    </w:p>
    <w:p>
      <w:pPr>
        <w:numPr>
          <w:ilvl w:val="0"/>
          <w:numId w:val="1029"/>
        </w:numPr>
        <w:pStyle w:val="Compact"/>
      </w:pPr>
      <w:r>
        <w:t xml:space="preserve">accreditation or program recognition where relevant;</w:t>
      </w:r>
    </w:p>
    <w:p>
      <w:pPr>
        <w:numPr>
          <w:ilvl w:val="0"/>
          <w:numId w:val="1029"/>
        </w:numPr>
        <w:pStyle w:val="Compact"/>
      </w:pPr>
      <w:r>
        <w:t xml:space="preserve">exam eligibility;</w:t>
      </w:r>
    </w:p>
    <w:p>
      <w:pPr>
        <w:numPr>
          <w:ilvl w:val="0"/>
          <w:numId w:val="1029"/>
        </w:numPr>
        <w:pStyle w:val="Compact"/>
      </w:pPr>
      <w:r>
        <w:t xml:space="preserve">whether experience is required for the credential you want;</w:t>
      </w:r>
    </w:p>
    <w:p>
      <w:pPr>
        <w:numPr>
          <w:ilvl w:val="0"/>
          <w:numId w:val="1029"/>
        </w:numPr>
        <w:pStyle w:val="Compact"/>
      </w:pPr>
      <w:r>
        <w:t xml:space="preserve">transferability of academic credit;</w:t>
      </w:r>
    </w:p>
    <w:p>
      <w:pPr>
        <w:numPr>
          <w:ilvl w:val="0"/>
          <w:numId w:val="1029"/>
        </w:numPr>
        <w:pStyle w:val="Compact"/>
      </w:pPr>
      <w:r>
        <w:t xml:space="preserve">placement terms and outcome methodology;</w:t>
      </w:r>
    </w:p>
    <w:p>
      <w:pPr>
        <w:numPr>
          <w:ilvl w:val="0"/>
          <w:numId w:val="1029"/>
        </w:numPr>
        <w:pStyle w:val="Compact"/>
      </w:pPr>
      <w:r>
        <w:t xml:space="preserve">refund, cancellation and complaint procedures;</w:t>
      </w:r>
    </w:p>
    <w:p>
      <w:pPr>
        <w:numPr>
          <w:ilvl w:val="0"/>
          <w:numId w:val="1029"/>
        </w:numPr>
        <w:pStyle w:val="Compact"/>
      </w:pPr>
      <w:r>
        <w:t xml:space="preserve">employer coverage and repayment obligations;</w:t>
      </w:r>
    </w:p>
    <w:p>
      <w:pPr>
        <w:numPr>
          <w:ilvl w:val="0"/>
          <w:numId w:val="1029"/>
        </w:numPr>
        <w:pStyle w:val="Compact"/>
      </w:pPr>
      <w:r>
        <w:t xml:space="preserve">accessibility across training and testing;</w:t>
      </w:r>
    </w:p>
    <w:p>
      <w:pPr>
        <w:numPr>
          <w:ilvl w:val="0"/>
          <w:numId w:val="1029"/>
        </w:numPr>
        <w:pStyle w:val="Compact"/>
      </w:pPr>
      <w:r>
        <w:t xml:space="preserve">schedule, transportation and caregiving impact; and</w:t>
      </w:r>
    </w:p>
    <w:p>
      <w:pPr>
        <w:numPr>
          <w:ilvl w:val="0"/>
          <w:numId w:val="1029"/>
        </w:numPr>
        <w:pStyle w:val="Compact"/>
      </w:pPr>
      <w:r>
        <w:t xml:space="preserve">what records, credits and credentials you retain if you stop.</w:t>
      </w:r>
    </w:p>
    <w:bookmarkEnd w:id="85"/>
    <w:bookmarkStart w:id="88" w:name="X6b1964fccd35f35c63f9a63436aa9f6585c8527"/>
    <w:p>
      <w:pPr>
        <w:pStyle w:val="Heading1"/>
      </w:pPr>
      <w:r>
        <w:t xml:space="preserve">18. Is This Career Right for Me? and Twelve-Week Action Plan</w:t>
      </w:r>
    </w:p>
    <w:bookmarkStart w:id="86" w:name="decision-scorecard"/>
    <w:p>
      <w:pPr>
        <w:pStyle w:val="Heading2"/>
      </w:pPr>
      <w:r>
        <w:t xml:space="preserve">Decision scorecard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Question</w:t>
            </w:r>
          </w:p>
        </w:tc>
        <w:tc>
          <w:tcPr/>
          <w:p>
            <w:pPr>
              <w:pStyle w:val="Compact"/>
              <w:jc w:val="left"/>
            </w:pPr>
            <w:r>
              <w:t xml:space="preserve">Yes</w:t>
            </w:r>
          </w:p>
        </w:tc>
        <w:tc>
          <w:tcPr/>
          <w:p>
            <w:pPr>
              <w:pStyle w:val="Compact"/>
              <w:jc w:val="left"/>
            </w:pPr>
            <w:r>
              <w:t xml:space="preserve">Not yet</w:t>
            </w:r>
          </w:p>
        </w:tc>
        <w:tc>
          <w:tcPr/>
          <w:p>
            <w:pPr>
              <w:pStyle w:val="Compact"/>
              <w:jc w:val="left"/>
            </w:pPr>
            <w:r>
              <w:t xml:space="preserve">Major concern</w:t>
            </w:r>
          </w:p>
        </w:tc>
      </w:tr>
      <w:tr>
        <w:tc>
          <w:tcPr/>
          <w:p>
            <w:pPr>
              <w:pStyle w:val="Compact"/>
              <w:jc w:val="left"/>
            </w:pPr>
            <w:r>
              <w:t xml:space="preserve">I understand the difference between billing, coding and broader health-information 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reviewed current employer requirements in my target market.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verified realistic local wages rather than relying on advertisements.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total pathway is affordable.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understand credential and exam requirements.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understand employer repayment terms, if any.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full pathway is accessible.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schedule and family impact are workable.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have an advancement and exit 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86"/>
    <w:bookmarkStart w:id="87" w:name="twelve-week-action-plan"/>
    <w:p>
      <w:pPr>
        <w:pStyle w:val="Heading2"/>
      </w:pPr>
      <w:r>
        <w:t xml:space="preserve">Twelve-week action plan</w:t>
      </w:r>
    </w:p>
    <w:p>
      <w:pPr>
        <w:pStyle w:val="FirstParagraph"/>
      </w:pPr>
      <w:r>
        <w:rPr>
          <w:bCs/>
          <w:b/>
        </w:rPr>
        <w:t xml:space="preserve">Weeks 1–2:</w:t>
      </w:r>
      <w:r>
        <w:t xml:space="preserve"> </w:t>
      </w:r>
      <w:r>
        <w:t xml:space="preserve">Define strengths, constraints, access needs, language needs and nonnegotiable conditions.</w:t>
      </w:r>
    </w:p>
    <w:p>
      <w:pPr>
        <w:pStyle w:val="BodyText"/>
      </w:pPr>
      <w:r>
        <w:rPr>
          <w:bCs/>
          <w:b/>
        </w:rPr>
        <w:t xml:space="preserve">Weeks 3–4:</w:t>
      </w:r>
      <w:r>
        <w:t xml:space="preserve"> </w:t>
      </w:r>
      <w:r>
        <w:t xml:space="preserve">Study billing, coding, health-information and revenue-cycle duties; learn basic terminology and privacy/security boundaries.</w:t>
      </w:r>
    </w:p>
    <w:p>
      <w:pPr>
        <w:pStyle w:val="BodyText"/>
      </w:pPr>
      <w:r>
        <w:rPr>
          <w:bCs/>
          <w:b/>
        </w:rPr>
        <w:t xml:space="preserve">Weeks 5–6:</w:t>
      </w:r>
      <w:r>
        <w:t xml:space="preserve"> </w:t>
      </w:r>
      <w:r>
        <w:t xml:space="preserve">Review current local postings, wages, benefits, schedules and common employer requirements.</w:t>
      </w:r>
    </w:p>
    <w:p>
      <w:pPr>
        <w:pStyle w:val="BodyText"/>
      </w:pPr>
      <w:r>
        <w:rPr>
          <w:bCs/>
          <w:b/>
        </w:rPr>
        <w:t xml:space="preserve">Weeks 7–8:</w:t>
      </w:r>
      <w:r>
        <w:t xml:space="preserve"> </w:t>
      </w:r>
      <w:r>
        <w:t xml:space="preserve">Compare public, employer-supported and private education options; verify credential and exam pathways.</w:t>
      </w:r>
    </w:p>
    <w:p>
      <w:pPr>
        <w:pStyle w:val="BodyText"/>
      </w:pPr>
      <w:r>
        <w:rPr>
          <w:bCs/>
          <w:b/>
        </w:rPr>
        <w:t xml:space="preserve">Weeks 9–10:</w:t>
      </w:r>
      <w:r>
        <w:t xml:space="preserve"> </w:t>
      </w:r>
      <w:r>
        <w:t xml:space="preserve">Verify funding, total cost, tax questions, repayment agreements, accommodations and exit consequences.</w:t>
      </w:r>
    </w:p>
    <w:p>
      <w:pPr>
        <w:pStyle w:val="BodyText"/>
      </w:pPr>
      <w:r>
        <w:rPr>
          <w:bCs/>
          <w:b/>
        </w:rPr>
        <w:t xml:space="preserve">Weeks 11–12:</w:t>
      </w:r>
      <w:r>
        <w:t xml:space="preserve"> </w:t>
      </w:r>
      <w:r>
        <w:t xml:space="preserve">Complete ethical work samples, prepare résumé evidence and interview stories, and decide whether to proceed, pause or change direction.</w:t>
      </w:r>
    </w:p>
    <w:bookmarkEnd w:id="87"/>
    <w:bookmarkEnd w:id="88"/>
    <w:bookmarkStart w:id="99" w:name="Xa019ede97bc125b0d240a1fa95d93d0dbca50c4"/>
    <w:p>
      <w:pPr>
        <w:pStyle w:val="Heading1"/>
      </w:pPr>
      <w:r>
        <w:t xml:space="preserve">19. Worksheets, Sources, Versioning, and Maintenance</w:t>
      </w:r>
    </w:p>
    <w:bookmarkStart w:id="89" w:name="cost-worksheet"/>
    <w:p>
      <w:pPr>
        <w:pStyle w:val="Heading2"/>
      </w:pPr>
      <w:r>
        <w:t xml:space="preserve">Cost worksheet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Cost category</w:t>
            </w:r>
          </w:p>
        </w:tc>
        <w:tc>
          <w:tcPr/>
          <w:p>
            <w:pPr>
              <w:pStyle w:val="Compact"/>
              <w:jc w:val="right"/>
            </w:pPr>
            <w:r>
              <w:t xml:space="preserve">Estimate</w:t>
            </w:r>
          </w:p>
        </w:tc>
        <w:tc>
          <w:tcPr/>
          <w:p>
            <w:pPr>
              <w:pStyle w:val="Compact"/>
              <w:jc w:val="left"/>
            </w:pPr>
            <w:r>
              <w:t xml:space="preserve">Who may pay?</w:t>
            </w:r>
          </w:p>
        </w:tc>
        <w:tc>
          <w:tcPr/>
          <w:p>
            <w:pPr>
              <w:pStyle w:val="Compact"/>
              <w:jc w:val="left"/>
            </w:pPr>
            <w:r>
              <w:t xml:space="preserve">Verified source/date</w:t>
            </w:r>
          </w:p>
        </w:tc>
      </w:tr>
      <w:tr>
        <w:tc>
          <w:tcPr/>
          <w:p>
            <w:pPr>
              <w:pStyle w:val="Compact"/>
              <w:jc w:val="left"/>
            </w:pPr>
            <w:r>
              <w:t xml:space="preserve">Tuition and fees</w:t>
            </w:r>
          </w:p>
        </w:tc>
        <w:tc>
          <w:tcPr/>
          <w:p>
            <w:pPr>
              <w:pStyle w:val="Compact"/>
            </w:pPr>
          </w:p>
        </w:tc>
        <w:tc>
          <w:tcPr/>
          <w:p>
            <w:pPr>
              <w:pStyle w:val="Compact"/>
            </w:pPr>
          </w:p>
        </w:tc>
        <w:tc>
          <w:tcPr/>
          <w:p>
            <w:pPr>
              <w:pStyle w:val="Compact"/>
            </w:pPr>
          </w:p>
        </w:tc>
      </w:tr>
      <w:tr>
        <w:tc>
          <w:tcPr/>
          <w:p>
            <w:pPr>
              <w:pStyle w:val="Compact"/>
              <w:jc w:val="left"/>
            </w:pPr>
            <w:r>
              <w:t xml:space="preserve">Books and current code sets</w:t>
            </w:r>
          </w:p>
        </w:tc>
        <w:tc>
          <w:tcPr/>
          <w:p>
            <w:pPr>
              <w:pStyle w:val="Compact"/>
            </w:pPr>
          </w:p>
        </w:tc>
        <w:tc>
          <w:tcPr/>
          <w:p>
            <w:pPr>
              <w:pStyle w:val="Compact"/>
            </w:pPr>
          </w:p>
        </w:tc>
        <w:tc>
          <w:tcPr/>
          <w:p>
            <w:pPr>
              <w:pStyle w:val="Compact"/>
            </w:pPr>
          </w:p>
        </w:tc>
      </w:tr>
      <w:tr>
        <w:tc>
          <w:tcPr/>
          <w:p>
            <w:pPr>
              <w:pStyle w:val="Compact"/>
              <w:jc w:val="left"/>
            </w:pPr>
            <w:r>
              <w:t xml:space="preserve">Software and technology</w:t>
            </w:r>
          </w:p>
        </w:tc>
        <w:tc>
          <w:tcPr/>
          <w:p>
            <w:pPr>
              <w:pStyle w:val="Compact"/>
            </w:pPr>
          </w:p>
        </w:tc>
        <w:tc>
          <w:tcPr/>
          <w:p>
            <w:pPr>
              <w:pStyle w:val="Compact"/>
            </w:pPr>
          </w:p>
        </w:tc>
        <w:tc>
          <w:tcPr/>
          <w:p>
            <w:pPr>
              <w:pStyle w:val="Compact"/>
            </w:pPr>
          </w:p>
        </w:tc>
      </w:tr>
      <w:tr>
        <w:tc>
          <w:tcPr/>
          <w:p>
            <w:pPr>
              <w:pStyle w:val="Compact"/>
              <w:jc w:val="left"/>
            </w:pPr>
            <w:r>
              <w:t xml:space="preserve">Certification exam and membership</w:t>
            </w:r>
          </w:p>
        </w:tc>
        <w:tc>
          <w:tcPr/>
          <w:p>
            <w:pPr>
              <w:pStyle w:val="Compact"/>
            </w:pPr>
          </w:p>
        </w:tc>
        <w:tc>
          <w:tcPr/>
          <w:p>
            <w:pPr>
              <w:pStyle w:val="Compact"/>
            </w:pPr>
          </w:p>
        </w:tc>
        <w:tc>
          <w:tcPr/>
          <w:p>
            <w:pPr>
              <w:pStyle w:val="Compact"/>
            </w:pPr>
          </w:p>
        </w:tc>
      </w:tr>
      <w:tr>
        <w:tc>
          <w:tcPr/>
          <w:p>
            <w:pPr>
              <w:pStyle w:val="Compact"/>
              <w:jc w:val="left"/>
            </w:pPr>
            <w:r>
              <w:t xml:space="preserve">Travel, parking, housing and meals</w:t>
            </w:r>
          </w:p>
        </w:tc>
        <w:tc>
          <w:tcPr/>
          <w:p>
            <w:pPr>
              <w:pStyle w:val="Compact"/>
            </w:pPr>
          </w:p>
        </w:tc>
        <w:tc>
          <w:tcPr/>
          <w:p>
            <w:pPr>
              <w:pStyle w:val="Compact"/>
            </w:pPr>
          </w:p>
        </w:tc>
        <w:tc>
          <w:tcPr/>
          <w:p>
            <w:pPr>
              <w:pStyle w:val="Compact"/>
            </w:pPr>
          </w:p>
        </w:tc>
      </w:tr>
      <w:tr>
        <w:tc>
          <w:tcPr/>
          <w:p>
            <w:pPr>
              <w:pStyle w:val="Compact"/>
              <w:jc w:val="left"/>
            </w:pPr>
            <w:r>
              <w:t xml:space="preserve">Childcare or eldercare</w:t>
            </w:r>
          </w:p>
        </w:tc>
        <w:tc>
          <w:tcPr/>
          <w:p>
            <w:pPr>
              <w:pStyle w:val="Compact"/>
            </w:pPr>
          </w:p>
        </w:tc>
        <w:tc>
          <w:tcPr/>
          <w:p>
            <w:pPr>
              <w:pStyle w:val="Compact"/>
            </w:pPr>
          </w:p>
        </w:tc>
        <w:tc>
          <w:tcPr/>
          <w:p>
            <w:pPr>
              <w:pStyle w:val="Compact"/>
            </w:pPr>
          </w:p>
        </w:tc>
      </w:tr>
      <w:tr>
        <w:tc>
          <w:tcPr/>
          <w:p>
            <w:pPr>
              <w:pStyle w:val="Compact"/>
              <w:jc w:val="left"/>
            </w:pPr>
            <w:r>
              <w:t xml:space="preserve">Lost wages or reduced hours</w:t>
            </w:r>
          </w:p>
        </w:tc>
        <w:tc>
          <w:tcPr/>
          <w:p>
            <w:pPr>
              <w:pStyle w:val="Compact"/>
            </w:pPr>
          </w:p>
        </w:tc>
        <w:tc>
          <w:tcPr/>
          <w:p>
            <w:pPr>
              <w:pStyle w:val="Compact"/>
            </w:pPr>
          </w:p>
        </w:tc>
        <w:tc>
          <w:tcPr/>
          <w:p>
            <w:pPr>
              <w:pStyle w:val="Compact"/>
            </w:pPr>
          </w:p>
        </w:tc>
      </w:tr>
      <w:tr>
        <w:tc>
          <w:tcPr/>
          <w:p>
            <w:pPr>
              <w:pStyle w:val="Compact"/>
              <w:jc w:val="left"/>
            </w:pPr>
            <w:r>
              <w:t xml:space="preserve">Other costs</w:t>
            </w:r>
          </w:p>
        </w:tc>
        <w:tc>
          <w:tcPr/>
          <w:p>
            <w:pPr>
              <w:pStyle w:val="Compact"/>
            </w:pPr>
          </w:p>
        </w:tc>
        <w:tc>
          <w:tcPr/>
          <w:p>
            <w:pPr>
              <w:pStyle w:val="Compact"/>
            </w:pPr>
          </w:p>
        </w:tc>
        <w:tc>
          <w:tcPr/>
          <w:p>
            <w:pPr>
              <w:pStyle w:val="Compact"/>
            </w:pPr>
          </w:p>
        </w:tc>
      </w:tr>
    </w:tbl>
    <w:bookmarkEnd w:id="89"/>
    <w:bookmarkStart w:id="90" w:name="employer-education-worksheet"/>
    <w:p>
      <w:pPr>
        <w:pStyle w:val="Heading2"/>
      </w:pPr>
      <w:r>
        <w:t xml:space="preserve">Employer education worksheet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Written answer</w:t>
            </w:r>
          </w:p>
        </w:tc>
      </w:tr>
      <w:tr>
        <w:tc>
          <w:tcPr/>
          <w:p>
            <w:pPr>
              <w:pStyle w:val="Compact"/>
              <w:jc w:val="left"/>
            </w:pPr>
            <w:r>
              <w:t xml:space="preserve">What is covered?</w:t>
            </w:r>
          </w:p>
        </w:tc>
        <w:tc>
          <w:tcPr/>
          <w:p>
            <w:pPr>
              <w:pStyle w:val="Compact"/>
            </w:pPr>
          </w:p>
        </w:tc>
      </w:tr>
      <w:tr>
        <w:tc>
          <w:tcPr/>
          <w:p>
            <w:pPr>
              <w:pStyle w:val="Compact"/>
              <w:jc w:val="left"/>
            </w:pPr>
            <w:r>
              <w:t xml:space="preserve">Direct payment or reimbursement?</w:t>
            </w:r>
          </w:p>
        </w:tc>
        <w:tc>
          <w:tcPr/>
          <w:p>
            <w:pPr>
              <w:pStyle w:val="Compact"/>
            </w:pPr>
          </w:p>
        </w:tc>
      </w:tr>
      <w:tr>
        <w:tc>
          <w:tcPr/>
          <w:p>
            <w:pPr>
              <w:pStyle w:val="Compact"/>
              <w:jc w:val="left"/>
            </w:pPr>
            <w:r>
              <w:t xml:space="preserve">Grade, exam or performance requirement?</w:t>
            </w:r>
          </w:p>
        </w:tc>
        <w:tc>
          <w:tcPr/>
          <w:p>
            <w:pPr>
              <w:pStyle w:val="Compact"/>
            </w:pPr>
          </w:p>
        </w:tc>
      </w:tr>
      <w:tr>
        <w:tc>
          <w:tcPr/>
          <w:p>
            <w:pPr>
              <w:pStyle w:val="Compact"/>
              <w:jc w:val="left"/>
            </w:pPr>
            <w:r>
              <w:t xml:space="preserve">Required employment period?</w:t>
            </w:r>
          </w:p>
        </w:tc>
        <w:tc>
          <w:tcPr/>
          <w:p>
            <w:pPr>
              <w:pStyle w:val="Compact"/>
            </w:pPr>
          </w:p>
        </w:tc>
      </w:tr>
      <w:tr>
        <w:tc>
          <w:tcPr/>
          <w:p>
            <w:pPr>
              <w:pStyle w:val="Compact"/>
              <w:jc w:val="left"/>
            </w:pPr>
            <w:r>
              <w:t xml:space="preserve">Prorated repayment formula?</w:t>
            </w:r>
          </w:p>
        </w:tc>
        <w:tc>
          <w:tcPr/>
          <w:p>
            <w:pPr>
              <w:pStyle w:val="Compact"/>
            </w:pPr>
          </w:p>
        </w:tc>
      </w:tr>
      <w:tr>
        <w:tc>
          <w:tcPr/>
          <w:p>
            <w:pPr>
              <w:pStyle w:val="Compact"/>
              <w:jc w:val="left"/>
            </w:pPr>
            <w:r>
              <w:t xml:space="preserve">Layoff and position-elimination treatment?</w:t>
            </w:r>
          </w:p>
        </w:tc>
        <w:tc>
          <w:tcPr/>
          <w:p>
            <w:pPr>
              <w:pStyle w:val="Compact"/>
            </w:pPr>
          </w:p>
        </w:tc>
      </w:tr>
      <w:tr>
        <w:tc>
          <w:tcPr/>
          <w:p>
            <w:pPr>
              <w:pStyle w:val="Compact"/>
              <w:jc w:val="left"/>
            </w:pPr>
            <w:r>
              <w:t xml:space="preserve">Disability, military, retirement, transfer or closure treatment?</w:t>
            </w:r>
          </w:p>
        </w:tc>
        <w:tc>
          <w:tcPr/>
          <w:p>
            <w:pPr>
              <w:pStyle w:val="Compact"/>
            </w:pPr>
          </w:p>
        </w:tc>
      </w:tr>
      <w:tr>
        <w:tc>
          <w:tcPr/>
          <w:p>
            <w:pPr>
              <w:pStyle w:val="Compact"/>
              <w:jc w:val="left"/>
            </w:pPr>
            <w:r>
              <w:t xml:space="preserve">Who owns transcripts and credential records?</w:t>
            </w:r>
          </w:p>
        </w:tc>
        <w:tc>
          <w:tcPr/>
          <w:p>
            <w:pPr>
              <w:pStyle w:val="Compact"/>
            </w:pPr>
          </w:p>
        </w:tc>
      </w:tr>
      <w:tr>
        <w:tc>
          <w:tcPr/>
          <w:p>
            <w:pPr>
              <w:pStyle w:val="Compact"/>
              <w:jc w:val="left"/>
            </w:pPr>
            <w:r>
              <w:t xml:space="preserve">Are payroll/final-wage deductions authorized and lawful?</w:t>
            </w:r>
          </w:p>
        </w:tc>
        <w:tc>
          <w:tcPr/>
          <w:p>
            <w:pPr>
              <w:pStyle w:val="Compact"/>
            </w:pPr>
          </w:p>
        </w:tc>
      </w:tr>
    </w:tbl>
    <w:bookmarkEnd w:id="90"/>
    <w:bookmarkStart w:id="97" w:name="core-sources"/>
    <w:p>
      <w:pPr>
        <w:pStyle w:val="Heading2"/>
      </w:pPr>
      <w:r>
        <w:t xml:space="preserve">Core sources</w:t>
      </w:r>
    </w:p>
    <w:bookmarkStart w:id="94" w:name="united-states-1"/>
    <w:p>
      <w:pPr>
        <w:pStyle w:val="Heading3"/>
      </w:pPr>
      <w:r>
        <w:t xml:space="preserve">United States</w:t>
      </w:r>
    </w:p>
    <w:p>
      <w:pPr>
        <w:numPr>
          <w:ilvl w:val="0"/>
          <w:numId w:val="1030"/>
        </w:numPr>
        <w:pStyle w:val="Compact"/>
      </w:pPr>
      <w:r>
        <w:t xml:space="preserve">U.S. Bureau of Labor Statistics — Medical Records Specialists:</w:t>
      </w:r>
      <w:r>
        <w:t xml:space="preserve"> </w:t>
      </w:r>
      <w:hyperlink r:id="rId40">
        <w:r>
          <w:rPr>
            <w:rStyle w:val="Hyperlink"/>
          </w:rPr>
          <w:t xml:space="preserve">https://www.bls.gov/ooh/healthcare/medical-records-and-health-information-technicians.htm</w:t>
        </w:r>
      </w:hyperlink>
    </w:p>
    <w:p>
      <w:pPr>
        <w:numPr>
          <w:ilvl w:val="0"/>
          <w:numId w:val="1030"/>
        </w:numPr>
        <w:pStyle w:val="Compact"/>
      </w:pPr>
      <w:r>
        <w:t xml:space="preserve">CMS — ICD-10:</w:t>
      </w:r>
      <w:r>
        <w:t xml:space="preserve"> </w:t>
      </w:r>
      <w:hyperlink r:id="rId91">
        <w:r>
          <w:rPr>
            <w:rStyle w:val="Hyperlink"/>
          </w:rPr>
          <w:t xml:space="preserve">https://www.cms.gov/medicare/coding-billing/icd-10-codes</w:t>
        </w:r>
      </w:hyperlink>
    </w:p>
    <w:p>
      <w:pPr>
        <w:numPr>
          <w:ilvl w:val="0"/>
          <w:numId w:val="1030"/>
        </w:numPr>
        <w:pStyle w:val="Compact"/>
      </w:pPr>
      <w:r>
        <w:t xml:space="preserve">CMS — HCPCS:</w:t>
      </w:r>
      <w:r>
        <w:t xml:space="preserve"> </w:t>
      </w:r>
      <w:hyperlink r:id="rId92">
        <w:r>
          <w:rPr>
            <w:rStyle w:val="Hyperlink"/>
          </w:rPr>
          <w:t xml:space="preserve">https://www.cms.gov/medicare/coding-billing/healthcare-common-procedure-system</w:t>
        </w:r>
      </w:hyperlink>
    </w:p>
    <w:p>
      <w:pPr>
        <w:numPr>
          <w:ilvl w:val="0"/>
          <w:numId w:val="1030"/>
        </w:numPr>
        <w:pStyle w:val="Compact"/>
      </w:pPr>
      <w:r>
        <w:t xml:space="preserve">HHS Office for Civil Rights — HIPAA Privacy Rule:</w:t>
      </w:r>
      <w:r>
        <w:t xml:space="preserve"> </w:t>
      </w:r>
      <w:hyperlink r:id="rId65">
        <w:r>
          <w:rPr>
            <w:rStyle w:val="Hyperlink"/>
          </w:rPr>
          <w:t xml:space="preserve">https://www.hhs.gov/hipaa/for-professionals/privacy/index.html</w:t>
        </w:r>
      </w:hyperlink>
    </w:p>
    <w:p>
      <w:pPr>
        <w:numPr>
          <w:ilvl w:val="0"/>
          <w:numId w:val="1030"/>
        </w:numPr>
        <w:pStyle w:val="Compact"/>
      </w:pPr>
      <w:r>
        <w:t xml:space="preserve">HHS — Minimum Necessary Requirement:</w:t>
      </w:r>
      <w:r>
        <w:t xml:space="preserve"> </w:t>
      </w:r>
      <w:hyperlink r:id="rId66">
        <w:r>
          <w:rPr>
            <w:rStyle w:val="Hyperlink"/>
          </w:rPr>
          <w:t xml:space="preserve">https://www.hhs.gov/hipaa/for-professionals/privacy/guidance/minimum-necessary-requirement/index.html</w:t>
        </w:r>
      </w:hyperlink>
    </w:p>
    <w:p>
      <w:pPr>
        <w:numPr>
          <w:ilvl w:val="0"/>
          <w:numId w:val="1030"/>
        </w:numPr>
        <w:pStyle w:val="Compact"/>
      </w:pPr>
      <w:r>
        <w:t xml:space="preserve">AHIMA certification overview:</w:t>
      </w:r>
      <w:r>
        <w:t xml:space="preserve"> </w:t>
      </w:r>
      <w:hyperlink r:id="rId93">
        <w:r>
          <w:rPr>
            <w:rStyle w:val="Hyperlink"/>
          </w:rPr>
          <w:t xml:space="preserve">https://www.ahima.org/certification-careers/certifications-overview/</w:t>
        </w:r>
      </w:hyperlink>
    </w:p>
    <w:p>
      <w:pPr>
        <w:numPr>
          <w:ilvl w:val="0"/>
          <w:numId w:val="1030"/>
        </w:numPr>
        <w:pStyle w:val="Compact"/>
      </w:pPr>
      <w:r>
        <w:t xml:space="preserve">AAPC:</w:t>
      </w:r>
      <w:r>
        <w:t xml:space="preserve"> </w:t>
      </w:r>
      <w:hyperlink r:id="rId50">
        <w:r>
          <w:rPr>
            <w:rStyle w:val="Hyperlink"/>
          </w:rPr>
          <w:t xml:space="preserve">https://www.aapc.com/</w:t>
        </w:r>
      </w:hyperlink>
    </w:p>
    <w:p>
      <w:pPr>
        <w:numPr>
          <w:ilvl w:val="0"/>
          <w:numId w:val="1030"/>
        </w:numPr>
        <w:pStyle w:val="Compact"/>
      </w:pPr>
      <w:r>
        <w:t xml:space="preserve">Apprenticeship.gov healthcare:</w:t>
      </w:r>
      <w:r>
        <w:t xml:space="preserve"> </w:t>
      </w:r>
      <w:hyperlink r:id="rId60">
        <w:r>
          <w:rPr>
            <w:rStyle w:val="Hyperlink"/>
          </w:rPr>
          <w:t xml:space="preserve">https://www.apprenticeship.gov/apprenticeship-industries/healthcare</w:t>
        </w:r>
      </w:hyperlink>
    </w:p>
    <w:p>
      <w:pPr>
        <w:numPr>
          <w:ilvl w:val="0"/>
          <w:numId w:val="1030"/>
        </w:numPr>
        <w:pStyle w:val="Compact"/>
      </w:pPr>
      <w:r>
        <w:t xml:space="preserve">U.S. Department of Labor American Job Centers:</w:t>
      </w:r>
      <w:r>
        <w:t xml:space="preserve"> </w:t>
      </w:r>
      <w:hyperlink r:id="rId56">
        <w:r>
          <w:rPr>
            <w:rStyle w:val="Hyperlink"/>
          </w:rPr>
          <w:t xml:space="preserve">https://www.dol.gov/general/topic/training/onestop</w:t>
        </w:r>
      </w:hyperlink>
    </w:p>
    <w:p>
      <w:pPr>
        <w:numPr>
          <w:ilvl w:val="0"/>
          <w:numId w:val="1030"/>
        </w:numPr>
        <w:pStyle w:val="Compact"/>
      </w:pPr>
      <w:r>
        <w:t xml:space="preserve">U.S. Department of Labor WIOA programs:</w:t>
      </w:r>
      <w:r>
        <w:t xml:space="preserve"> </w:t>
      </w:r>
      <w:hyperlink r:id="rId57">
        <w:r>
          <w:rPr>
            <w:rStyle w:val="Hyperlink"/>
          </w:rPr>
          <w:t xml:space="preserve">https://www.dol.gov/agencies/eta/wioa/programs</w:t>
        </w:r>
      </w:hyperlink>
    </w:p>
    <w:p>
      <w:pPr>
        <w:numPr>
          <w:ilvl w:val="0"/>
          <w:numId w:val="1030"/>
        </w:numPr>
        <w:pStyle w:val="Compact"/>
      </w:pPr>
      <w:r>
        <w:t xml:space="preserve">CareerOneStop WIOA training finder:</w:t>
      </w:r>
      <w:r>
        <w:t xml:space="preserve"> </w:t>
      </w:r>
      <w:hyperlink r:id="rId58">
        <w:r>
          <w:rPr>
            <w:rStyle w:val="Hyperlink"/>
          </w:rPr>
          <w:t xml:space="preserve">https://www.careeronestop.org/LocalHelp/EmploymentAndTraining/find-WIOA-training-programs.aspx</w:t>
        </w:r>
      </w:hyperlink>
    </w:p>
    <w:p>
      <w:pPr>
        <w:numPr>
          <w:ilvl w:val="0"/>
          <w:numId w:val="1030"/>
        </w:numPr>
        <w:pStyle w:val="Compact"/>
      </w:pPr>
      <w:r>
        <w:t xml:space="preserve">ZipRecruiter exact-title market estimate:</w:t>
      </w:r>
      <w:r>
        <w:t xml:space="preserve"> </w:t>
      </w:r>
      <w:hyperlink r:id="rId42">
        <w:r>
          <w:rPr>
            <w:rStyle w:val="Hyperlink"/>
          </w:rPr>
          <w:t xml:space="preserve">https://www.ziprecruiter.com/Salaries/Medical-Billing-Coding-Specialist-Salary</w:t>
        </w:r>
      </w:hyperlink>
    </w:p>
    <w:bookmarkEnd w:id="94"/>
    <w:bookmarkStart w:id="95" w:name="canada"/>
    <w:p>
      <w:pPr>
        <w:pStyle w:val="Heading3"/>
      </w:pPr>
      <w:r>
        <w:t xml:space="preserve">Canada</w:t>
      </w:r>
    </w:p>
    <w:p>
      <w:pPr>
        <w:numPr>
          <w:ilvl w:val="0"/>
          <w:numId w:val="1031"/>
        </w:numPr>
        <w:pStyle w:val="Compact"/>
      </w:pPr>
      <w:r>
        <w:t xml:space="preserve">Canada Job Bank — Health information management occupations:</w:t>
      </w:r>
      <w:r>
        <w:t xml:space="preserve"> </w:t>
      </w:r>
      <w:hyperlink r:id="rId75">
        <w:r>
          <w:rPr>
            <w:rStyle w:val="Hyperlink"/>
          </w:rPr>
          <w:t xml:space="preserve">https://www.jobbank.gc.ca/marketreport/summary-occupation/25614/ca</w:t>
        </w:r>
      </w:hyperlink>
    </w:p>
    <w:p>
      <w:pPr>
        <w:numPr>
          <w:ilvl w:val="0"/>
          <w:numId w:val="1031"/>
        </w:numPr>
        <w:pStyle w:val="Compact"/>
      </w:pPr>
      <w:r>
        <w:t xml:space="preserve">Canada Job Bank — Patient-billing clerk wages:</w:t>
      </w:r>
      <w:r>
        <w:t xml:space="preserve"> </w:t>
      </w:r>
      <w:hyperlink r:id="rId77">
        <w:r>
          <w:rPr>
            <w:rStyle w:val="Hyperlink"/>
          </w:rPr>
          <w:t xml:space="preserve">https://www.jobbank.gc.ca/marketreport/wages-occupation/14119/ca</w:t>
        </w:r>
      </w:hyperlink>
    </w:p>
    <w:bookmarkEnd w:id="95"/>
    <w:bookmarkStart w:id="96" w:name="colombia"/>
    <w:p>
      <w:pPr>
        <w:pStyle w:val="Heading3"/>
      </w:pPr>
      <w:r>
        <w:t xml:space="preserve">Colombia</w:t>
      </w:r>
    </w:p>
    <w:p>
      <w:pPr>
        <w:numPr>
          <w:ilvl w:val="0"/>
          <w:numId w:val="1032"/>
        </w:numPr>
        <w:pStyle w:val="Compact"/>
      </w:pPr>
      <w:r>
        <w:t xml:space="preserve">SENA — Facturación de los servicios en salud, virtual:</w:t>
      </w:r>
      <w:r>
        <w:t xml:space="preserve"> </w:t>
      </w:r>
      <w:hyperlink r:id="rId81">
        <w:r>
          <w:rPr>
            <w:rStyle w:val="Hyperlink"/>
          </w:rPr>
          <w:t xml:space="preserve">https://betowa.sena.edu.co/oferta/facturacion-de-los-servicios-en-salud?modality=V&amp;programId=110493</w:t>
        </w:r>
      </w:hyperlink>
    </w:p>
    <w:p>
      <w:pPr>
        <w:numPr>
          <w:ilvl w:val="0"/>
          <w:numId w:val="1032"/>
        </w:numPr>
        <w:pStyle w:val="Compact"/>
      </w:pPr>
      <w:r>
        <w:t xml:space="preserve">SENA — Facturación de los servicios en salud, in-person:</w:t>
      </w:r>
      <w:r>
        <w:t xml:space="preserve"> </w:t>
      </w:r>
      <w:hyperlink r:id="rId82">
        <w:r>
          <w:rPr>
            <w:rStyle w:val="Hyperlink"/>
          </w:rPr>
          <w:t xml:space="preserve">https://betowa.sena.edu.co/oferta/facturacion-de-los-servicios-en-salud?programId=110492</w:t>
        </w:r>
      </w:hyperlink>
    </w:p>
    <w:bookmarkEnd w:id="96"/>
    <w:bookmarkEnd w:id="97"/>
    <w:bookmarkStart w:id="98" w:name="maintenance-policy"/>
    <w:p>
      <w:pPr>
        <w:pStyle w:val="Heading2"/>
      </w:pPr>
      <w:r>
        <w:t xml:space="preserve">Maintenance policy</w:t>
      </w:r>
    </w:p>
    <w:p>
      <w:pPr>
        <w:pStyle w:val="FirstParagraph"/>
      </w:pPr>
      <w:r>
        <w:t xml:space="preserve">Review wage, outlook, code-set, privacy, certification, education, apprenticeship, funding and link information at least annually and before each new publication release. Mark uncertain or jurisdiction-dependent information for verification rather than guessing.</w:t>
      </w:r>
    </w:p>
    <w:p>
      <w:pPr>
        <w:pStyle w:val="BodyText"/>
      </w:pPr>
      <w:r>
        <w:rPr>
          <w:bCs/>
          <w:b/>
        </w:rPr>
        <w:t xml:space="preserve">Governing principle:</w:t>
      </w:r>
      <w:r>
        <w:t xml:space="preserve"> </w:t>
      </w:r>
      <w:r>
        <w:t xml:space="preserve">When speed and completeness conflict, completeness wins. When confidence and uncertainty conflict, uncertainty must be disclosed. When an institution’s interest conflicts with the reader’s protection, the reader comes first.</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lis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betowa.sena.edu.co/oferta/facturacion-de-los-servicios-en-salud?modality=V&amp;programId=110493" TargetMode="External" /><Relationship Type="http://schemas.openxmlformats.org/officeDocument/2006/relationships/hyperlink" Id="rId82" Target="https://betowa.sena.edu.co/oferta/facturacion-de-los-servicios-en-salud?programId=110492" TargetMode="External" /><Relationship Type="http://schemas.openxmlformats.org/officeDocument/2006/relationships/hyperlink" Id="rId50" Target="https://www.aapc.com/" TargetMode="External" /><Relationship Type="http://schemas.openxmlformats.org/officeDocument/2006/relationships/hyperlink" Id="rId93" Target="https://www.ahima.org/certification-careers/certifications-overview/" TargetMode="External" /><Relationship Type="http://schemas.openxmlformats.org/officeDocument/2006/relationships/hyperlink" Id="rId46" Target="https://www.ahima.org/certification-careers/certifications-overview/cca/" TargetMode="External" /><Relationship Type="http://schemas.openxmlformats.org/officeDocument/2006/relationships/hyperlink" Id="rId48" Target="https://www.ahima.org/certification-careers/certifications-overview/ccs-p/" TargetMode="External" /><Relationship Type="http://schemas.openxmlformats.org/officeDocument/2006/relationships/hyperlink" Id="rId47" Target="https://www.ahima.org/certification-careers/certifications-overview/ccs/" TargetMode="External" /><Relationship Type="http://schemas.openxmlformats.org/officeDocument/2006/relationships/hyperlink" Id="rId60" Target="https://www.apprenticeship.gov/apprenticeship-industries/healthcare" TargetMode="External" /><Relationship Type="http://schemas.openxmlformats.org/officeDocument/2006/relationships/hyperlink" Id="rId40" Target="https://www.bls.gov/ooh/healthcare/medical-records-and-health-information-technicians.htm" TargetMode="External" /><Relationship Type="http://schemas.openxmlformats.org/officeDocument/2006/relationships/hyperlink" Id="rId58" Target="https://www.careeronestop.org/LocalHelp/EmploymentAndTraining/find-WIOA-training-programs.aspx" TargetMode="External" /><Relationship Type="http://schemas.openxmlformats.org/officeDocument/2006/relationships/hyperlink" Id="rId92" Target="https://www.cms.gov/medicare/coding-billing/healthcare-common-procedure-system" TargetMode="External" /><Relationship Type="http://schemas.openxmlformats.org/officeDocument/2006/relationships/hyperlink" Id="rId91" Target="https://www.cms.gov/medicare/coding-billing/icd-10-codes" TargetMode="External" /><Relationship Type="http://schemas.openxmlformats.org/officeDocument/2006/relationships/hyperlink" Id="rId57" Target="https://www.dol.gov/agencies/eta/wioa/programs" TargetMode="External" /><Relationship Type="http://schemas.openxmlformats.org/officeDocument/2006/relationships/hyperlink" Id="rId56" Target="https://www.dol.gov/general/topic/training/onestop" TargetMode="External" /><Relationship Type="http://schemas.openxmlformats.org/officeDocument/2006/relationships/hyperlink" Id="rId66" Target="https://www.hhs.gov/hipaa/for-professionals/privacy/guidance/minimum-necessary-requirement/index.html" TargetMode="External" /><Relationship Type="http://schemas.openxmlformats.org/officeDocument/2006/relationships/hyperlink" Id="rId65" Target="https://www.hhs.gov/hipaa/for-professionals/privacy/index.html" TargetMode="External" /><Relationship Type="http://schemas.openxmlformats.org/officeDocument/2006/relationships/hyperlink" Id="rId75" Target="https://www.jobbank.gc.ca/marketreport/summary-occupation/25614/ca" TargetMode="External" /><Relationship Type="http://schemas.openxmlformats.org/officeDocument/2006/relationships/hyperlink" Id="rId77" Target="https://www.jobbank.gc.ca/marketreport/wages-occupation/14119/ca" TargetMode="External" /><Relationship Type="http://schemas.openxmlformats.org/officeDocument/2006/relationships/hyperlink" Id="rId42" Target="https://www.ziprecruiter.com/Salaries/Medical-Billing-Coding-Specialist-Salary" TargetMode="External" /></Relationships>
</file>

<file path=word/_rels/footnotes.xml.rels><?xml version="1.0" encoding="UTF-8"?><Relationships xmlns="http://schemas.openxmlformats.org/package/2006/relationships"><Relationship Type="http://schemas.openxmlformats.org/officeDocument/2006/relationships/hyperlink" Id="rId81" Target="https://betowa.sena.edu.co/oferta/facturacion-de-los-servicios-en-salud?modality=V&amp;programId=110493" TargetMode="External" /><Relationship Type="http://schemas.openxmlformats.org/officeDocument/2006/relationships/hyperlink" Id="rId82" Target="https://betowa.sena.edu.co/oferta/facturacion-de-los-servicios-en-salud?programId=110492" TargetMode="External" /><Relationship Type="http://schemas.openxmlformats.org/officeDocument/2006/relationships/hyperlink" Id="rId50" Target="https://www.aapc.com/" TargetMode="External" /><Relationship Type="http://schemas.openxmlformats.org/officeDocument/2006/relationships/hyperlink" Id="rId93" Target="https://www.ahima.org/certification-careers/certifications-overview/" TargetMode="External" /><Relationship Type="http://schemas.openxmlformats.org/officeDocument/2006/relationships/hyperlink" Id="rId46" Target="https://www.ahima.org/certification-careers/certifications-overview/cca/" TargetMode="External" /><Relationship Type="http://schemas.openxmlformats.org/officeDocument/2006/relationships/hyperlink" Id="rId48" Target="https://www.ahima.org/certification-careers/certifications-overview/ccs-p/" TargetMode="External" /><Relationship Type="http://schemas.openxmlformats.org/officeDocument/2006/relationships/hyperlink" Id="rId47" Target="https://www.ahima.org/certification-careers/certifications-overview/ccs/" TargetMode="External" /><Relationship Type="http://schemas.openxmlformats.org/officeDocument/2006/relationships/hyperlink" Id="rId60" Target="https://www.apprenticeship.gov/apprenticeship-industries/healthcare" TargetMode="External" /><Relationship Type="http://schemas.openxmlformats.org/officeDocument/2006/relationships/hyperlink" Id="rId40" Target="https://www.bls.gov/ooh/healthcare/medical-records-and-health-information-technicians.htm" TargetMode="External" /><Relationship Type="http://schemas.openxmlformats.org/officeDocument/2006/relationships/hyperlink" Id="rId58" Target="https://www.careeronestop.org/LocalHelp/EmploymentAndTraining/find-WIOA-training-programs.aspx" TargetMode="External" /><Relationship Type="http://schemas.openxmlformats.org/officeDocument/2006/relationships/hyperlink" Id="rId92" Target="https://www.cms.gov/medicare/coding-billing/healthcare-common-procedure-system" TargetMode="External" /><Relationship Type="http://schemas.openxmlformats.org/officeDocument/2006/relationships/hyperlink" Id="rId91" Target="https://www.cms.gov/medicare/coding-billing/icd-10-codes" TargetMode="External" /><Relationship Type="http://schemas.openxmlformats.org/officeDocument/2006/relationships/hyperlink" Id="rId57" Target="https://www.dol.gov/agencies/eta/wioa/programs" TargetMode="External" /><Relationship Type="http://schemas.openxmlformats.org/officeDocument/2006/relationships/hyperlink" Id="rId56" Target="https://www.dol.gov/general/topic/training/onestop" TargetMode="External" /><Relationship Type="http://schemas.openxmlformats.org/officeDocument/2006/relationships/hyperlink" Id="rId66" Target="https://www.hhs.gov/hipaa/for-professionals/privacy/guidance/minimum-necessary-requirement/index.html" TargetMode="External" /><Relationship Type="http://schemas.openxmlformats.org/officeDocument/2006/relationships/hyperlink" Id="rId65" Target="https://www.hhs.gov/hipaa/for-professionals/privacy/index.html" TargetMode="External" /><Relationship Type="http://schemas.openxmlformats.org/officeDocument/2006/relationships/hyperlink" Id="rId75" Target="https://www.jobbank.gc.ca/marketreport/summary-occupation/25614/ca" TargetMode="External" /><Relationship Type="http://schemas.openxmlformats.org/officeDocument/2006/relationships/hyperlink" Id="rId77" Target="https://www.jobbank.gc.ca/marketreport/wages-occupation/14119/ca" TargetMode="External" /><Relationship Type="http://schemas.openxmlformats.org/officeDocument/2006/relationships/hyperlink" Id="rId42" Target="https://www.ziprecruiter.com/Salaries/Medical-Billing-Coding-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English</dc:language>
  <cp:keywords/>
  <dcterms:created xsi:type="dcterms:W3CDTF">2026-08-08T00:31:12Z</dcterms:created>
  <dcterms:modified xsi:type="dcterms:W3CDTF">2026-08-08T00:31:12Z</dcterms:modified>
</cp:coreProperties>
</file>

<file path=docProps/custom.xml><?xml version="1.0" encoding="utf-8"?>
<Properties xmlns="http://schemas.openxmlformats.org/officeDocument/2006/custom-properties" xmlns:vt="http://schemas.openxmlformats.org/officeDocument/2006/docPropsVTypes"/>
</file>