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4e2019b41f8201d6cd64e5315ba05e82fea7056"/>
    <w:p>
      <w:pPr>
        <w:pStyle w:val="Heading1"/>
      </w:pPr>
      <w:r>
        <w:t xml:space="preserve">Guia de Oportunidades para Toda a Vida 05 — Especialista em Escrituração Contábil e Folha de Pagamento</w:t>
      </w:r>
    </w:p>
    <w:p>
      <w:pPr>
        <w:pStyle w:val="FirstParagraph"/>
      </w:pPr>
      <w:r>
        <w:rPr>
          <w:bCs/>
          <w:b/>
        </w:rPr>
        <w:t xml:space="preserve">Mestre de trabalho controlado 2026 em português brasileiro</w:t>
      </w:r>
      <w:r>
        <w:br/>
      </w:r>
      <w:r>
        <w:t xml:space="preserve">Versão 2.0, mestre de trabalho • agosto de 2026</w:t>
      </w:r>
      <w:r>
        <w:br/>
      </w:r>
      <w:r>
        <w:t xml:space="preserve">Criado e dirigido por Alberto (Al) Leiva</w:t>
      </w:r>
      <w:r>
        <w:br/>
      </w:r>
      <w:r>
        <w:t xml:space="preserve">Pesquisa, organização, edição e preparação documental com assistência do ChatGPT, OpenAI</w:t>
      </w:r>
    </w:p>
    <w:p>
      <w:pPr>
        <w:pStyle w:val="BlockText"/>
      </w:pPr>
      <w:r>
        <w:rPr>
          <w:bCs/>
          <w:b/>
        </w:rPr>
        <w:t xml:space="preserve">Status controlado:</w:t>
      </w:r>
      <w:r>
        <w:t xml:space="preserve"> </w:t>
      </w:r>
      <w:r>
        <w:t xml:space="preserve">Este arquivo é a tradução de trabalho em português brasileiro do mestre em inglês congelado para a revisão de 2026. Ainda não é um candidato de publicação. Deve passar por QA de terminologia, paridade estrutural, links, acessibilidade, codificação, DOCX, PDF, metadados e publicação antes da liberação.</w:t>
      </w:r>
    </w:p>
    <w:bookmarkStart w:id="20" w:name="a-promessa-deste-guia"/>
    <w:p>
      <w:pPr>
        <w:pStyle w:val="Heading2"/>
      </w:pPr>
      <w:r>
        <w:t xml:space="preserve">A promessa deste guia</w:t>
      </w:r>
    </w:p>
    <w:p>
      <w:pPr>
        <w:pStyle w:val="FirstParagraph"/>
      </w:pPr>
      <w:r>
        <w:t xml:space="preserve">Este guia não promete que o trabalho de escrituração contábil ou folha de pagamento seja adequado para todas as pessoas, que o treinamento será gratuito, que uma credencial levará a um emprego ou que determinado salário esteja disponível em todas as localidades. O objetivo é ajudar leitores a compreender o trabalho, comparar opções de treinamento e financiamento, proteger informações financeiras e de empregados, preparar-se para mudanças impulsionadas pela automação e verificar requisitos locais antes de gastar dinheiro ou assumir uma obrigação de emprego.</w:t>
      </w:r>
    </w:p>
    <w:bookmarkEnd w:id="20"/>
    <w:bookmarkStart w:id="21" w:name="por-que-este-guia-existe"/>
    <w:p>
      <w:pPr>
        <w:pStyle w:val="Heading2"/>
      </w:pPr>
      <w:r>
        <w:t xml:space="preserve">Por que este guia existe</w:t>
      </w:r>
    </w:p>
    <w:p>
      <w:pPr>
        <w:pStyle w:val="FirstParagraph"/>
      </w:pPr>
      <w:r>
        <w:t xml:space="preserve">Os Guias de Oportunidades para Toda a Vida buscam tornar a exploração educacional e profissional mais acessível para pessoas que possam enfrentar barreiras relacionadas a idade, deficiência, renda, localização geográfica, idioma ou histórico profissional não tradicional. Escrituração contábil e folha de pagamento podem oferecer portas de entrada práticas para finanças, administração, conformidade e operações empresariais, mas também exigem precisão, confidencialidade, cumprimento de prazos, adaptação a regras em mudança, uso de sistemas de software e responsabilidade sobre controles. É importante compreender essas realidades antes de pagar por treinamento ou aceitar uma função.</w:t>
      </w:r>
    </w:p>
    <w:bookmarkEnd w:id="21"/>
    <w:bookmarkStart w:id="22" w:name="reconhecimento-da-assistência-de-ia"/>
    <w:p>
      <w:pPr>
        <w:pStyle w:val="Heading2"/>
      </w:pPr>
      <w:r>
        <w:t xml:space="preserve">Reconhecimento da assistência de IA</w:t>
      </w:r>
    </w:p>
    <w:p>
      <w:pPr>
        <w:pStyle w:val="FirstParagraph"/>
      </w:pPr>
      <w:r>
        <w:t xml:space="preserve">Alberto (Al) Leiva concebeu e dirige este projeto e permanece responsável pelo guia. O ChatGPT da OpenAI foi utilizado como ferramenta de apoio para pesquisa, organização, edição e preparação documental. A assistência de IA não constitui certificação humana independente, certificação profissional de tradução, acreditação, revisão jurídica, revisão tributária, aconselhamento financeiro, certificação de acessibilidade nem substitui fontes oficiais ou julgamento humano qualificado.</w:t>
      </w:r>
    </w:p>
    <w:bookmarkEnd w:id="22"/>
    <w:bookmarkStart w:id="23" w:name="limites-éticos-e-práticos"/>
    <w:p>
      <w:pPr>
        <w:pStyle w:val="Heading2"/>
      </w:pPr>
      <w:r>
        <w:t xml:space="preserve">Limites éticos e práticos</w:t>
      </w:r>
    </w:p>
    <w:p>
      <w:pPr>
        <w:pStyle w:val="FirstParagraph"/>
      </w:pPr>
      <w:r>
        <w:t xml:space="preserve">Este guia oferece informação geral para educação e navegação profissional. Não constitui aconselhamento individualizado contábil, tributário, jurídico, de benefícios, financeiro, migratório, médico, de saúde mental ou de licenciamento. As regras de folha e escrituração variam por país, jurisdição, empregador, setor, contrato, classificação do trabalhador, sistema tributário, sistema de benefícios e ambiente tecnológico. Verifique fatos de alto impacto com a autoridade competente atual ou com profissional qualificado antes de assumir compromisso financeiro, educacional, profissional, tributário ou jurídico.</w:t>
      </w:r>
    </w:p>
    <w:p>
      <w:r>
        <w:pict>
          <v:rect style="width:0;height:1.5pt" o:hralign="center" o:hrstd="t" o:hr="t"/>
        </w:pict>
      </w:r>
    </w:p>
    <w:bookmarkEnd w:id="23"/>
    <w:bookmarkStart w:id="24" w:name="Xe00e48c00e301116f95d3cfe4d8312541046f4d"/>
    <w:p>
      <w:pPr>
        <w:pStyle w:val="Heading2"/>
      </w:pPr>
      <w:r>
        <w:t xml:space="preserve">1. Como usar este guia</w:t>
      </w:r>
    </w:p>
    <w:p>
      <w:pPr>
        <w:pStyle w:val="FirstParagraph"/>
      </w:pPr>
      <w:r>
        <w:t xml:space="preserve">Comece pelo trabalho real, não por uma escola ou vendedor de credenciais.</w:t>
      </w:r>
    </w:p>
    <w:p>
      <w:pPr>
        <w:numPr>
          <w:ilvl w:val="0"/>
          <w:numId w:val="1001"/>
        </w:numPr>
        <w:pStyle w:val="Compact"/>
      </w:pPr>
      <w:r>
        <w:t xml:space="preserve">Identifique o título exato utilizado em sua localidade.</w:t>
      </w:r>
    </w:p>
    <w:p>
      <w:pPr>
        <w:numPr>
          <w:ilvl w:val="0"/>
          <w:numId w:val="1001"/>
        </w:numPr>
        <w:pStyle w:val="Compact"/>
      </w:pPr>
      <w:r>
        <w:t xml:space="preserve">Separe atividades de escrituração contábil das atividades de folha de pagamento quando o empregador combinar ambas em uma função.</w:t>
      </w:r>
    </w:p>
    <w:p>
      <w:pPr>
        <w:numPr>
          <w:ilvl w:val="0"/>
          <w:numId w:val="1001"/>
        </w:numPr>
        <w:pStyle w:val="Compact"/>
      </w:pPr>
      <w:r>
        <w:t xml:space="preserve">Separe requisitos legais, preferências comuns do empregador e credenciais opcionais.</w:t>
      </w:r>
    </w:p>
    <w:p>
      <w:pPr>
        <w:numPr>
          <w:ilvl w:val="0"/>
          <w:numId w:val="1001"/>
        </w:numPr>
        <w:pStyle w:val="Compact"/>
      </w:pPr>
      <w:r>
        <w:t xml:space="preserve">Consulte vagas locais atuais e fontes ocupacionais oficiais antes de depender de resumos nacionais.</w:t>
      </w:r>
    </w:p>
    <w:p>
      <w:pPr>
        <w:numPr>
          <w:ilvl w:val="0"/>
          <w:numId w:val="1001"/>
        </w:numPr>
        <w:pStyle w:val="Compact"/>
      </w:pPr>
      <w:r>
        <w:t xml:space="preserve">Compare o custo total do caminho, incluindo mensalidades, provas, software, tecnologia, transporte, cuidado de crianças, renda perdida, renovações e estágios não remunerados.</w:t>
      </w:r>
    </w:p>
    <w:p>
      <w:pPr>
        <w:numPr>
          <w:ilvl w:val="0"/>
          <w:numId w:val="1001"/>
        </w:numPr>
        <w:pStyle w:val="Compact"/>
      </w:pPr>
      <w:r>
        <w:t xml:space="preserve">Pergunte o que acontece se você não puder concluir o treinamento ou precisar sair de um programa financiado pelo empregador.</w:t>
      </w:r>
    </w:p>
    <w:p>
      <w:pPr>
        <w:numPr>
          <w:ilvl w:val="0"/>
          <w:numId w:val="1001"/>
        </w:numPr>
        <w:pStyle w:val="Compact"/>
      </w:pPr>
      <w:r>
        <w:t xml:space="preserve">Pare se um fornecedor pressionar você a pagar imediatamente, prometer emprego, recusar-se a fornecer custos ou condições de reembolso por escrito ou apresentar uma credencial privada opcional como legalmente obrigatória quando não for.</w:t>
      </w:r>
    </w:p>
    <w:bookmarkEnd w:id="24"/>
    <w:bookmarkStart w:id="25" w:name="Xcd19b419bf94b2663dc429c3979b46eb1d01a8b"/>
    <w:p>
      <w:pPr>
        <w:pStyle w:val="Heading2"/>
      </w:pPr>
      <w:r>
        <w:t xml:space="preserve">2. O que é o trabalho</w:t>
      </w:r>
    </w:p>
    <w:p>
      <w:pPr>
        <w:pStyle w:val="FirstParagraph"/>
      </w:pPr>
      <w:r>
        <w:t xml:space="preserve">Profissionais de escrituração contábil registram e classificam transações financeiras autorizadas, conciliam contas, mantêm documentação de suporte e ajudam organizações a conservar registros contábeis corretos. Especialistas em folha de pagamento coletam e validam informações autorizadas de tempo e remuneração, calculam ou revisam a folha bruta até o líquido, deduções, tributos, penhoras judiciais, benefícios, correções e relatórios de folha.</w:t>
      </w:r>
    </w:p>
    <w:p>
      <w:pPr>
        <w:pStyle w:val="BodyText"/>
      </w:pPr>
      <w:r>
        <w:t xml:space="preserve">Títulos comuns de escrituração incluem:</w:t>
      </w:r>
    </w:p>
    <w:p>
      <w:pPr>
        <w:numPr>
          <w:ilvl w:val="0"/>
          <w:numId w:val="1002"/>
        </w:numPr>
        <w:pStyle w:val="Compact"/>
      </w:pPr>
      <w:r>
        <w:t xml:space="preserve">bookkeeper;</w:t>
      </w:r>
    </w:p>
    <w:p>
      <w:pPr>
        <w:numPr>
          <w:ilvl w:val="0"/>
          <w:numId w:val="1002"/>
        </w:numPr>
        <w:pStyle w:val="Compact"/>
      </w:pPr>
      <w:r>
        <w:t xml:space="preserve">auxiliar contábil;</w:t>
      </w:r>
    </w:p>
    <w:p>
      <w:pPr>
        <w:numPr>
          <w:ilvl w:val="0"/>
          <w:numId w:val="1002"/>
        </w:numPr>
        <w:pStyle w:val="Compact"/>
      </w:pPr>
      <w:r>
        <w:t xml:space="preserve">especialista em escrituração;</w:t>
      </w:r>
    </w:p>
    <w:p>
      <w:pPr>
        <w:numPr>
          <w:ilvl w:val="0"/>
          <w:numId w:val="1002"/>
        </w:numPr>
        <w:pStyle w:val="Compact"/>
      </w:pPr>
      <w:r>
        <w:t xml:space="preserve">auxiliar de contas a pagar;</w:t>
      </w:r>
    </w:p>
    <w:p>
      <w:pPr>
        <w:numPr>
          <w:ilvl w:val="0"/>
          <w:numId w:val="1002"/>
        </w:numPr>
        <w:pStyle w:val="Compact"/>
      </w:pPr>
      <w:r>
        <w:t xml:space="preserve">auxiliar de contas a receber;</w:t>
      </w:r>
    </w:p>
    <w:p>
      <w:pPr>
        <w:numPr>
          <w:ilvl w:val="0"/>
          <w:numId w:val="1002"/>
        </w:numPr>
        <w:pStyle w:val="Compact"/>
      </w:pPr>
      <w:r>
        <w:t xml:space="preserve">técnico contábil; e</w:t>
      </w:r>
    </w:p>
    <w:p>
      <w:pPr>
        <w:numPr>
          <w:ilvl w:val="0"/>
          <w:numId w:val="1002"/>
        </w:numPr>
        <w:pStyle w:val="Compact"/>
      </w:pPr>
      <w:r>
        <w:t xml:space="preserve">assistente financeiro ou contábil.</w:t>
      </w:r>
    </w:p>
    <w:p>
      <w:pPr>
        <w:pStyle w:val="FirstParagraph"/>
      </w:pPr>
      <w:r>
        <w:t xml:space="preserve">Títulos comuns de folha incluem:</w:t>
      </w:r>
    </w:p>
    <w:p>
      <w:pPr>
        <w:numPr>
          <w:ilvl w:val="0"/>
          <w:numId w:val="1003"/>
        </w:numPr>
        <w:pStyle w:val="Compact"/>
      </w:pPr>
      <w:r>
        <w:t xml:space="preserve">especialista em folha de pagamento;</w:t>
      </w:r>
    </w:p>
    <w:p>
      <w:pPr>
        <w:numPr>
          <w:ilvl w:val="0"/>
          <w:numId w:val="1003"/>
        </w:numPr>
        <w:pStyle w:val="Compact"/>
      </w:pPr>
      <w:r>
        <w:t xml:space="preserve">administrador de folha;</w:t>
      </w:r>
    </w:p>
    <w:p>
      <w:pPr>
        <w:numPr>
          <w:ilvl w:val="0"/>
          <w:numId w:val="1003"/>
        </w:numPr>
        <w:pStyle w:val="Compact"/>
      </w:pPr>
      <w:r>
        <w:t xml:space="preserve">auxiliar de folha;</w:t>
      </w:r>
    </w:p>
    <w:p>
      <w:pPr>
        <w:numPr>
          <w:ilvl w:val="0"/>
          <w:numId w:val="1003"/>
        </w:numPr>
        <w:pStyle w:val="Compact"/>
      </w:pPr>
      <w:r>
        <w:t xml:space="preserve">coordenador de folha;</w:t>
      </w:r>
    </w:p>
    <w:p>
      <w:pPr>
        <w:numPr>
          <w:ilvl w:val="0"/>
          <w:numId w:val="1003"/>
        </w:numPr>
        <w:pStyle w:val="Compact"/>
      </w:pPr>
      <w:r>
        <w:t xml:space="preserve">técnico de folha; e</w:t>
      </w:r>
    </w:p>
    <w:p>
      <w:pPr>
        <w:numPr>
          <w:ilvl w:val="0"/>
          <w:numId w:val="1003"/>
        </w:numPr>
        <w:pStyle w:val="Compact"/>
      </w:pPr>
      <w:r>
        <w:t xml:space="preserve">auxiliar de folha e controle de jornada.</w:t>
      </w:r>
    </w:p>
    <w:p>
      <w:pPr>
        <w:pStyle w:val="FirstParagraph"/>
      </w:pPr>
      <w:r>
        <w:t xml:space="preserve">Alguns cargos combinam as duas funções. Outros separam escrituração, folha, contas a pagar, contas a receber, faturamento, benefícios, recursos humanos e contabilidade em equipes diferentes. Leia sempre as atribuições, não apenas o título.</w:t>
      </w:r>
    </w:p>
    <w:p>
      <w:pPr>
        <w:pStyle w:val="BodyText"/>
      </w:pPr>
      <w:r>
        <w:t xml:space="preserve">Ambientes comuns incluem pequenas empresas, firmas de serviços contábeis e de folha, construção, saúde, varejo, hotelaria, organizações sem fins lucrativos, governo, educação, manufatura, tecnologia, serviços profissionais e centros de serviços compartilhados remotos ou híbridos.</w:t>
      </w:r>
    </w:p>
    <w:bookmarkEnd w:id="25"/>
    <w:bookmarkStart w:id="29" w:name="X1b31a06cadb3676ddcbc2a3e617a95cb3d08003"/>
    <w:p>
      <w:pPr>
        <w:pStyle w:val="Heading2"/>
      </w:pPr>
      <w:r>
        <w:t xml:space="preserve">3. Funções, ferramentas e ciclos realistas de trabalho</w:t>
      </w:r>
    </w:p>
    <w:bookmarkStart w:id="26" w:name="funções-de-escrituração-contábil"/>
    <w:p>
      <w:pPr>
        <w:pStyle w:val="Heading3"/>
      </w:pPr>
      <w:r>
        <w:t xml:space="preserve">Funções de escrituração contábil</w:t>
      </w:r>
    </w:p>
    <w:p>
      <w:pPr>
        <w:pStyle w:val="FirstParagraph"/>
      </w:pPr>
      <w:r>
        <w:t xml:space="preserve">As tarefas podem incluir:</w:t>
      </w:r>
    </w:p>
    <w:p>
      <w:pPr>
        <w:numPr>
          <w:ilvl w:val="0"/>
          <w:numId w:val="1004"/>
        </w:numPr>
        <w:pStyle w:val="Compact"/>
      </w:pPr>
      <w:r>
        <w:t xml:space="preserve">inserir e classificar transações autorizadas a partir de documentos de origem;</w:t>
      </w:r>
    </w:p>
    <w:p>
      <w:pPr>
        <w:numPr>
          <w:ilvl w:val="0"/>
          <w:numId w:val="1004"/>
        </w:numPr>
        <w:pStyle w:val="Compact"/>
      </w:pPr>
      <w:r>
        <w:t xml:space="preserve">manter razão geral e registros auxiliares;</w:t>
      </w:r>
    </w:p>
    <w:p>
      <w:pPr>
        <w:numPr>
          <w:ilvl w:val="0"/>
          <w:numId w:val="1004"/>
        </w:numPr>
        <w:pStyle w:val="Compact"/>
      </w:pPr>
      <w:r>
        <w:t xml:space="preserve">conciliar contas bancárias, cartões de crédito, contas a receber, contas a pagar, caixa e outras contas de controle;</w:t>
      </w:r>
    </w:p>
    <w:p>
      <w:pPr>
        <w:numPr>
          <w:ilvl w:val="0"/>
          <w:numId w:val="1004"/>
        </w:numPr>
        <w:pStyle w:val="Compact"/>
      </w:pPr>
      <w:r>
        <w:t xml:space="preserve">revisar faturas, registros de compras, recibos, relatórios de despesas e documentos de pagamento;</w:t>
      </w:r>
    </w:p>
    <w:p>
      <w:pPr>
        <w:numPr>
          <w:ilvl w:val="0"/>
          <w:numId w:val="1004"/>
        </w:numPr>
        <w:pStyle w:val="Compact"/>
      </w:pPr>
      <w:r>
        <w:t xml:space="preserve">registrar ajustes e correções aprovados;</w:t>
      </w:r>
    </w:p>
    <w:p>
      <w:pPr>
        <w:numPr>
          <w:ilvl w:val="0"/>
          <w:numId w:val="1004"/>
        </w:numPr>
        <w:pStyle w:val="Compact"/>
      </w:pPr>
      <w:r>
        <w:t xml:space="preserve">preparar relatórios e planilhas de apoio rotineiros;</w:t>
      </w:r>
    </w:p>
    <w:p>
      <w:pPr>
        <w:numPr>
          <w:ilvl w:val="0"/>
          <w:numId w:val="1004"/>
        </w:numPr>
        <w:pStyle w:val="Compact"/>
      </w:pPr>
      <w:r>
        <w:t xml:space="preserve">manter trilha de auditoria; e</w:t>
      </w:r>
    </w:p>
    <w:p>
      <w:pPr>
        <w:numPr>
          <w:ilvl w:val="0"/>
          <w:numId w:val="1004"/>
        </w:numPr>
        <w:pStyle w:val="Compact"/>
      </w:pPr>
      <w:r>
        <w:t xml:space="preserve">escalar diferenças não explicadas, lançamentos sem suporte, alterações não autorizadas ou suspeitas de fraude.</w:t>
      </w:r>
    </w:p>
    <w:bookmarkEnd w:id="26"/>
    <w:bookmarkStart w:id="27" w:name="funções-de-folha-de-pagamento"/>
    <w:p>
      <w:pPr>
        <w:pStyle w:val="Heading3"/>
      </w:pPr>
      <w:r>
        <w:t xml:space="preserve">Funções de folha de pagamento</w:t>
      </w:r>
    </w:p>
    <w:p>
      <w:pPr>
        <w:pStyle w:val="FirstParagraph"/>
      </w:pPr>
      <w:r>
        <w:t xml:space="preserve">As tarefas podem incluir:</w:t>
      </w:r>
    </w:p>
    <w:p>
      <w:pPr>
        <w:numPr>
          <w:ilvl w:val="0"/>
          <w:numId w:val="1005"/>
        </w:numPr>
        <w:pStyle w:val="Compact"/>
      </w:pPr>
      <w:r>
        <w:t xml:space="preserve">coletar informações aprovadas de jornada e presença;</w:t>
      </w:r>
    </w:p>
    <w:p>
      <w:pPr>
        <w:numPr>
          <w:ilvl w:val="0"/>
          <w:numId w:val="1005"/>
        </w:numPr>
        <w:pStyle w:val="Compact"/>
      </w:pPr>
      <w:r>
        <w:t xml:space="preserve">validar situação do empregado, taxas salariais, deduções, opções tributárias, benefícios e mudanças autorizadas;</w:t>
      </w:r>
    </w:p>
    <w:p>
      <w:pPr>
        <w:numPr>
          <w:ilvl w:val="0"/>
          <w:numId w:val="1005"/>
        </w:numPr>
        <w:pStyle w:val="Compact"/>
      </w:pPr>
      <w:r>
        <w:t xml:space="preserve">calcular ou revisar salário regular, horas extras, adicionais, bônus, licenças, penhoras, deduções e contribuições do empregador;</w:t>
      </w:r>
    </w:p>
    <w:p>
      <w:pPr>
        <w:numPr>
          <w:ilvl w:val="0"/>
          <w:numId w:val="1005"/>
        </w:numPr>
        <w:pStyle w:val="Compact"/>
      </w:pPr>
      <w:r>
        <w:t xml:space="preserve">revisar relatórios de exceção e totais de controle da folha;</w:t>
      </w:r>
    </w:p>
    <w:p>
      <w:pPr>
        <w:numPr>
          <w:ilvl w:val="0"/>
          <w:numId w:val="1005"/>
        </w:numPr>
        <w:pStyle w:val="Compact"/>
      </w:pPr>
      <w:r>
        <w:t xml:space="preserve">apoiar obrigações ou recolhimentos tributários da folha dentro da função atribuída;</w:t>
      </w:r>
    </w:p>
    <w:p>
      <w:pPr>
        <w:numPr>
          <w:ilvl w:val="0"/>
          <w:numId w:val="1005"/>
        </w:numPr>
        <w:pStyle w:val="Compact"/>
      </w:pPr>
      <w:r>
        <w:t xml:space="preserve">produzir relatórios de folha para empregados e administração;</w:t>
      </w:r>
    </w:p>
    <w:p>
      <w:pPr>
        <w:numPr>
          <w:ilvl w:val="0"/>
          <w:numId w:val="1005"/>
        </w:numPr>
        <w:pStyle w:val="Compact"/>
      </w:pPr>
      <w:r>
        <w:t xml:space="preserve">corrigir erros de acordo com procedimentos aprovados; e</w:t>
      </w:r>
    </w:p>
    <w:p>
      <w:pPr>
        <w:numPr>
          <w:ilvl w:val="0"/>
          <w:numId w:val="1005"/>
        </w:numPr>
        <w:pStyle w:val="Compact"/>
      </w:pPr>
      <w:r>
        <w:t xml:space="preserve">proteger informações salariais, bancárias, tributárias, de benefícios, identidade e emprego.</w:t>
      </w:r>
    </w:p>
    <w:bookmarkEnd w:id="27"/>
    <w:bookmarkStart w:id="28" w:name="um-ciclo-realista"/>
    <w:p>
      <w:pPr>
        <w:pStyle w:val="Heading3"/>
      </w:pPr>
      <w:r>
        <w:t xml:space="preserve">Um ciclo realista</w:t>
      </w:r>
    </w:p>
    <w:p>
      <w:pPr>
        <w:numPr>
          <w:ilvl w:val="0"/>
          <w:numId w:val="1006"/>
        </w:numPr>
        <w:pStyle w:val="Compact"/>
      </w:pPr>
      <w:r>
        <w:t xml:space="preserve">Reúna documentos de origem autorizados ou entradas de folha.</w:t>
      </w:r>
    </w:p>
    <w:p>
      <w:pPr>
        <w:numPr>
          <w:ilvl w:val="0"/>
          <w:numId w:val="1006"/>
        </w:numPr>
        <w:pStyle w:val="Compact"/>
      </w:pPr>
      <w:r>
        <w:t xml:space="preserve">Verifique aprovações, datas, identidades, valores, códigos e autoridade para mudanças.</w:t>
      </w:r>
    </w:p>
    <w:p>
      <w:pPr>
        <w:numPr>
          <w:ilvl w:val="0"/>
          <w:numId w:val="1006"/>
        </w:numPr>
        <w:pStyle w:val="Compact"/>
      </w:pPr>
      <w:r>
        <w:t xml:space="preserve">Insira, importe ou valide dados no sistema aprovado.</w:t>
      </w:r>
    </w:p>
    <w:p>
      <w:pPr>
        <w:numPr>
          <w:ilvl w:val="0"/>
          <w:numId w:val="1006"/>
        </w:numPr>
        <w:pStyle w:val="Compact"/>
      </w:pPr>
      <w:r>
        <w:t xml:space="preserve">Execute relatórios de exceção, totais de controle e verificações de razoabilidade.</w:t>
      </w:r>
    </w:p>
    <w:p>
      <w:pPr>
        <w:numPr>
          <w:ilvl w:val="0"/>
          <w:numId w:val="1006"/>
        </w:numPr>
        <w:pStyle w:val="Compact"/>
      </w:pPr>
      <w:r>
        <w:t xml:space="preserve">Concilie resultados e investigue diferenças.</w:t>
      </w:r>
    </w:p>
    <w:p>
      <w:pPr>
        <w:numPr>
          <w:ilvl w:val="0"/>
          <w:numId w:val="1006"/>
        </w:numPr>
        <w:pStyle w:val="Compact"/>
      </w:pPr>
      <w:r>
        <w:t xml:space="preserve">Obtenha as aprovações exigidas antes de lançar transações ou liberar fundos.</w:t>
      </w:r>
    </w:p>
    <w:p>
      <w:pPr>
        <w:numPr>
          <w:ilvl w:val="0"/>
          <w:numId w:val="1006"/>
        </w:numPr>
        <w:pStyle w:val="Compact"/>
      </w:pPr>
      <w:r>
        <w:t xml:space="preserve">Documente correções e questões não resolvidas.</w:t>
      </w:r>
    </w:p>
    <w:p>
      <w:pPr>
        <w:numPr>
          <w:ilvl w:val="0"/>
          <w:numId w:val="1006"/>
        </w:numPr>
        <w:pStyle w:val="Compact"/>
      </w:pPr>
      <w:r>
        <w:t xml:space="preserve">Retenha registros conforme política e requisitos aplicáveis.</w:t>
      </w:r>
    </w:p>
    <w:p>
      <w:pPr>
        <w:numPr>
          <w:ilvl w:val="0"/>
          <w:numId w:val="1006"/>
        </w:numPr>
        <w:pStyle w:val="Compact"/>
      </w:pPr>
      <w:r>
        <w:t xml:space="preserve">Conclua relatórios de fechamento de período, mês, trimestre ou ano conforme atribuído.</w:t>
      </w:r>
    </w:p>
    <w:p>
      <w:pPr>
        <w:pStyle w:val="FirstParagraph"/>
      </w:pPr>
      <w:r>
        <w:t xml:space="preserve">Os procedimentos reais devem seguir política do empregador, legislação aplicável, controles do sistema, segregação de funções, supervisão e padrões de auditoria.</w:t>
      </w:r>
    </w:p>
    <w:bookmarkEnd w:id="28"/>
    <w:bookmarkEnd w:id="29"/>
    <w:bookmarkStart w:id="30" w:name="Xab01fdb0ad748a3d8f11220597784415fddbe8e"/>
    <w:p>
      <w:pPr>
        <w:pStyle w:val="Heading2"/>
      </w:pPr>
      <w:r>
        <w:t xml:space="preserve">4. Compatibilidade profissional, condições de trabalho e segurança</w:t>
      </w:r>
    </w:p>
    <w:p>
      <w:pPr>
        <w:pStyle w:val="FirstParagraph"/>
      </w:pPr>
      <w:r>
        <w:t xml:space="preserve">Pergunte a si mesmo:</w:t>
      </w:r>
    </w:p>
    <w:p>
      <w:pPr>
        <w:numPr>
          <w:ilvl w:val="0"/>
          <w:numId w:val="1007"/>
        </w:numPr>
        <w:pStyle w:val="Compact"/>
      </w:pPr>
      <w:r>
        <w:t xml:space="preserve">Tarefas repetitivas e focadas em precisão combinam com meu estilo de atenção?</w:t>
      </w:r>
    </w:p>
    <w:p>
      <w:pPr>
        <w:numPr>
          <w:ilvl w:val="0"/>
          <w:numId w:val="1007"/>
        </w:numPr>
        <w:pStyle w:val="Compact"/>
      </w:pPr>
      <w:r>
        <w:t xml:space="preserve">Consigo trabalhar com prazos sem ignorar controles?</w:t>
      </w:r>
    </w:p>
    <w:p>
      <w:pPr>
        <w:numPr>
          <w:ilvl w:val="0"/>
          <w:numId w:val="1007"/>
        </w:numPr>
        <w:pStyle w:val="Compact"/>
      </w:pPr>
      <w:r>
        <w:t xml:space="preserve">Consigo investigar diferenças com paciência em vez de forçar uma conciliação?</w:t>
      </w:r>
    </w:p>
    <w:p>
      <w:pPr>
        <w:numPr>
          <w:ilvl w:val="0"/>
          <w:numId w:val="1007"/>
        </w:numPr>
        <w:pStyle w:val="Compact"/>
      </w:pPr>
      <w:r>
        <w:t xml:space="preserve">Consigo proteger informações confidenciais de empregados e finanças?</w:t>
      </w:r>
    </w:p>
    <w:p>
      <w:pPr>
        <w:numPr>
          <w:ilvl w:val="0"/>
          <w:numId w:val="1007"/>
        </w:numPr>
        <w:pStyle w:val="Compact"/>
      </w:pPr>
      <w:r>
        <w:t xml:space="preserve">Consigo trabalhar com planilhas e software em mudança sem perder a lógica empresarial subjacente?</w:t>
      </w:r>
    </w:p>
    <w:p>
      <w:pPr>
        <w:numPr>
          <w:ilvl w:val="0"/>
          <w:numId w:val="1007"/>
        </w:numPr>
        <w:pStyle w:val="Compact"/>
      </w:pPr>
      <w:r>
        <w:t xml:space="preserve">O calendário de fechamento mensal, trimestral, anual, período tributário ou ciclo de folha cabe na rotina da minha casa?</w:t>
      </w:r>
    </w:p>
    <w:p>
      <w:pPr>
        <w:numPr>
          <w:ilvl w:val="0"/>
          <w:numId w:val="1007"/>
        </w:numPr>
        <w:pStyle w:val="Compact"/>
      </w:pPr>
      <w:r>
        <w:t xml:space="preserve">Quais adaptações, tecnologias assistivas, horários previsíveis, mudanças ergonômicas ou formatos de treinamento tornariam o caminho sustentável?</w:t>
      </w:r>
    </w:p>
    <w:p>
      <w:pPr>
        <w:numPr>
          <w:ilvl w:val="0"/>
          <w:numId w:val="1007"/>
        </w:numPr>
        <w:pStyle w:val="Compact"/>
      </w:pPr>
      <w:r>
        <w:t xml:space="preserve">Consigo entrar na área sem assumir dívida insustentável ou obrigação injusta com empregador?</w:t>
      </w:r>
    </w:p>
    <w:p>
      <w:pPr>
        <w:pStyle w:val="FirstParagraph"/>
      </w:pPr>
      <w:r>
        <w:t xml:space="preserve">Considere pausar quando um empregador esperar que você altere registros sem suporte, contorne aprovações, libere recursos sem autoridade, forneça aconselhamento profissional contábil ou tributário além de suas qualificações ou assuma controles para os quais não possui autorização ou treinamento.</w:t>
      </w:r>
    </w:p>
    <w:bookmarkEnd w:id="30"/>
    <w:bookmarkStart w:id="31" w:name="X9d78e4b6bd42a7f7e7df4a210d77bc539152996"/>
    <w:p>
      <w:pPr>
        <w:pStyle w:val="Heading2"/>
      </w:pPr>
      <w:r>
        <w:t xml:space="preserve">5. Ética, limites, prevenção de fraude e escalonamento</w:t>
      </w:r>
    </w:p>
    <w:p>
      <w:pPr>
        <w:pStyle w:val="FirstParagraph"/>
      </w:pPr>
      <w:r>
        <w:t xml:space="preserve">Não altere, retrodate, invente, oculte ou destrua registros para fazer contas parecerem corretas.</w:t>
      </w:r>
    </w:p>
    <w:p>
      <w:pPr>
        <w:pStyle w:val="BodyText"/>
      </w:pPr>
      <w:r>
        <w:t xml:space="preserve">Não crie fornecedores, empregados, faturas, registros de jornada, despesas, lançamentos contábeis, deduções, reembolsos ou instruções de pagamento fictícios. Não altere dados bancários de empregados, opções tributárias, taxas salariais, dados bancários de fornecedores ou destinos de pagamento sem a verificação e autorização exigidas.</w:t>
      </w:r>
    </w:p>
    <w:p>
      <w:pPr>
        <w:pStyle w:val="BodyText"/>
      </w:pPr>
      <w:r>
        <w:t xml:space="preserve">Não forneça aconselhamento individualizado contábil, tributário, jurídico, de benefícios, investimento ou finanças além de suas qualificações e função atribuída.</w:t>
      </w:r>
    </w:p>
    <w:p>
      <w:pPr>
        <w:pStyle w:val="BodyText"/>
      </w:pPr>
      <w:r>
        <w:t xml:space="preserve">Pare e escale quando:</w:t>
      </w:r>
    </w:p>
    <w:p>
      <w:pPr>
        <w:numPr>
          <w:ilvl w:val="0"/>
          <w:numId w:val="1008"/>
        </w:numPr>
        <w:pStyle w:val="Compact"/>
      </w:pPr>
      <w:r>
        <w:t xml:space="preserve">faltar evidência;</w:t>
      </w:r>
    </w:p>
    <w:p>
      <w:pPr>
        <w:numPr>
          <w:ilvl w:val="0"/>
          <w:numId w:val="1008"/>
        </w:numPr>
        <w:pStyle w:val="Compact"/>
      </w:pPr>
      <w:r>
        <w:t xml:space="preserve">a autoridade não estiver clara;</w:t>
      </w:r>
    </w:p>
    <w:p>
      <w:pPr>
        <w:numPr>
          <w:ilvl w:val="0"/>
          <w:numId w:val="1008"/>
        </w:numPr>
        <w:pStyle w:val="Compact"/>
      </w:pPr>
      <w:r>
        <w:t xml:space="preserve">uma diferença de conciliação não puder ser explicada;</w:t>
      </w:r>
    </w:p>
    <w:p>
      <w:pPr>
        <w:numPr>
          <w:ilvl w:val="0"/>
          <w:numId w:val="1008"/>
        </w:numPr>
        <w:pStyle w:val="Compact"/>
      </w:pPr>
      <w:r>
        <w:t xml:space="preserve">uma aprovação parecer fabricada ou incompleta;</w:t>
      </w:r>
    </w:p>
    <w:p>
      <w:pPr>
        <w:numPr>
          <w:ilvl w:val="0"/>
          <w:numId w:val="1008"/>
        </w:numPr>
        <w:pStyle w:val="Compact"/>
      </w:pPr>
      <w:r>
        <w:t xml:space="preserve">uma alteração de pagamento ou folha for incomum ou contrariar política;</w:t>
      </w:r>
    </w:p>
    <w:p>
      <w:pPr>
        <w:numPr>
          <w:ilvl w:val="0"/>
          <w:numId w:val="1008"/>
        </w:numPr>
        <w:pStyle w:val="Compact"/>
      </w:pPr>
      <w:r>
        <w:t xml:space="preserve">uma mudança de conta bancária ou beneficiário criar risco de fraude;</w:t>
      </w:r>
    </w:p>
    <w:p>
      <w:pPr>
        <w:numPr>
          <w:ilvl w:val="0"/>
          <w:numId w:val="1008"/>
        </w:numPr>
        <w:pStyle w:val="Compact"/>
      </w:pPr>
      <w:r>
        <w:t xml:space="preserve">for necessária decisão regulada; ou</w:t>
      </w:r>
    </w:p>
    <w:p>
      <w:pPr>
        <w:numPr>
          <w:ilvl w:val="0"/>
          <w:numId w:val="1008"/>
        </w:numPr>
        <w:pStyle w:val="Compact"/>
      </w:pPr>
      <w:r>
        <w:t xml:space="preserve">alguém pressionar você a contornar um controle.</w:t>
      </w:r>
    </w:p>
    <w:p>
      <w:pPr>
        <w:pStyle w:val="FirstParagraph"/>
      </w:pPr>
      <w:r>
        <w:t xml:space="preserve">Documente fatos, ações, aprovações e riscos não resolvidos sem exagero ou retaliação. Metas de produtividade nunca prevalecem sobre precisão, privacidade, tratamento legal, acessibilidade ou controles internos.</w:t>
      </w:r>
    </w:p>
    <w:bookmarkEnd w:id="31"/>
    <w:bookmarkStart w:id="39" w:name="X9710cd68af5682b341ecb10d54ea78f1242735e"/>
    <w:p>
      <w:pPr>
        <w:pStyle w:val="Heading2"/>
      </w:pPr>
      <w:r>
        <w:t xml:space="preserve">6. Pesquisa de renda, benefícios e perspectivas</w:t>
      </w:r>
    </w:p>
    <w:p>
      <w:pPr>
        <w:pStyle w:val="FirstParagraph"/>
      </w:pPr>
      <w:r>
        <w:t xml:space="preserve">Escrituração contábil e folha de pagamento são categorias ocupacionais relacionadas, mas distintas. Não combine seus dados salariais em um único salário nacional de “Especialista em Escrituração Contábil e Folha de Pagamento”.</w:t>
      </w:r>
    </w:p>
    <w:bookmarkStart w:id="32" w:name="X248ec2e92f8de95fdf12f9e847e42818c2d7c5a"/>
    <w:p>
      <w:pPr>
        <w:pStyle w:val="Heading3"/>
      </w:pPr>
      <w:r>
        <w:t xml:space="preserve">Estados Unidos — dados ocupacionais oficiais de escrituração</w:t>
      </w:r>
    </w:p>
    <w:p>
      <w:pPr>
        <w:pStyle w:val="FirstParagraph"/>
      </w:pPr>
      <w:r>
        <w:t xml:space="preserve">O U.S. Bureau of Labor Statistics (BLS) informa que</w:t>
      </w:r>
      <w:r>
        <w:t xml:space="preserve"> </w:t>
      </w:r>
      <w:r>
        <w:rPr>
          <w:bCs/>
          <w:b/>
        </w:rPr>
        <w:t xml:space="preserve">Bookkeeping, Accounting, and Auditing Clerks (SOC 43-3031)</w:t>
      </w:r>
      <w:r>
        <w:t xml:space="preserve"> </w:t>
      </w:r>
      <w:r>
        <w:t xml:space="preserve">tiveram</w:t>
      </w:r>
      <w:r>
        <w:t xml:space="preserve"> </w:t>
      </w:r>
      <w:r>
        <w:rPr>
          <w:bCs/>
          <w:b/>
        </w:rPr>
        <w:t xml:space="preserve">mediana salarial anual de US</w:t>
      </w:r>
      <m:oMath>
        <m:r>
          <m:t>49.210</m:t>
        </m:r>
        <m:r>
          <m:t>e</m:t>
        </m:r>
        <m:r>
          <m:t>m</m:t>
        </m:r>
        <m:r>
          <m:t>m</m:t>
        </m:r>
        <m:r>
          <m:t>a</m:t>
        </m:r>
        <m:r>
          <m:t>i</m:t>
        </m:r>
        <m:r>
          <m:t>o</m:t>
        </m:r>
        <m:r>
          <m:t>d</m:t>
        </m:r>
        <m:r>
          <m:t>e</m:t>
        </m:r>
        <m:r>
          <m:t>2024</m:t>
        </m:r>
        <m:r>
          <m:rPr>
            <m:sty m:val="p"/>
          </m:rPr>
          <m:t>*</m:t>
        </m:r>
        <m:r>
          <m:rPr>
            <m:sty m:val="p"/>
          </m:rPr>
          <m:t>*</m:t>
        </m:r>
        <m:r>
          <m:rPr>
            <m:sty m:val="p"/>
          </m:rPr>
          <m:t>.</m:t>
        </m:r>
        <m:r>
          <m:t>O</m:t>
        </m:r>
        <m:r>
          <m:t>s</m:t>
        </m:r>
        <m:r>
          <m:t>10</m:t>
        </m:r>
      </m:oMath>
      <w:r>
        <w:rPr>
          <w:bCs/>
          <w:b/>
        </w:rPr>
        <w:t xml:space="preserve">34.600</w:t>
      </w:r>
      <w:r>
        <w:t xml:space="preserve">, e os 10% com maiores salários ficaram acima de</w:t>
      </w:r>
      <w:r>
        <w:t xml:space="preserve"> </w:t>
      </w:r>
      <w:r>
        <w:rPr>
          <w:bCs/>
          <w:b/>
        </w:rPr>
        <w:t xml:space="preserve">US$72.660</w:t>
      </w:r>
      <w:r>
        <w:t xml:space="preserve">.</w:t>
      </w:r>
    </w:p>
    <w:p>
      <w:pPr>
        <w:pStyle w:val="BodyText"/>
      </w:pPr>
      <w:r>
        <w:t xml:space="preserve">O BLS projeta que o emprego nessa ocupação</w:t>
      </w:r>
      <w:r>
        <w:t xml:space="preserve"> </w:t>
      </w:r>
      <w:r>
        <w:rPr>
          <w:bCs/>
          <w:b/>
        </w:rPr>
        <w:t xml:space="preserve">diminuirá 6% entre 2024 e 2034</w:t>
      </w:r>
      <w:r>
        <w:t xml:space="preserve">, embora estime cerca de</w:t>
      </w:r>
      <w:r>
        <w:t xml:space="preserve"> </w:t>
      </w:r>
      <w:r>
        <w:rPr>
          <w:bCs/>
          <w:b/>
        </w:rPr>
        <w:t xml:space="preserve">170.000 vagas por ano</w:t>
      </w:r>
      <w:r>
        <w:t xml:space="preserve">, em média, devido à saída de trabalhadores da ocupação ou da força de trabalho. O BLS observa que a automação reduz tarefas rotineiras de entrada de dados e aumenta a importância de análise, orientação, conciliação e tratamento de exceções.</w:t>
      </w:r>
    </w:p>
    <w:bookmarkEnd w:id="32"/>
    <w:bookmarkStart w:id="33" w:name="Xb8866f2d85cab4ceb1edd31f8276d4668bb28d3"/>
    <w:p>
      <w:pPr>
        <w:pStyle w:val="Heading3"/>
      </w:pPr>
      <w:r>
        <w:t xml:space="preserve">Estados Unidos — dados ocupacionais oficiais de folha</w:t>
      </w:r>
    </w:p>
    <w:p>
      <w:pPr>
        <w:pStyle w:val="FirstParagraph"/>
      </w:pPr>
      <w:r>
        <w:t xml:space="preserve">O BLS informa</w:t>
      </w:r>
      <w:r>
        <w:t xml:space="preserve"> </w:t>
      </w:r>
      <w:r>
        <w:rPr>
          <w:bCs/>
          <w:b/>
        </w:rPr>
        <w:t xml:space="preserve">mediana salarial anual de US$55.290 em maio de 2024</w:t>
      </w:r>
      <w:r>
        <w:t xml:space="preserve"> </w:t>
      </w:r>
      <w:r>
        <w:t xml:space="preserve">para</w:t>
      </w:r>
      <w:r>
        <w:t xml:space="preserve"> </w:t>
      </w:r>
      <w:r>
        <w:rPr>
          <w:bCs/>
          <w:b/>
        </w:rPr>
        <w:t xml:space="preserve">Payroll and Timekeeping Clerks</w:t>
      </w:r>
      <w:r>
        <w:t xml:space="preserve">, dentro do grupo Financial Clerks. Esta é a referência oficial específica de folha usada neste guia. Ela não deve ser apresentada como salário de escrituração nem como salário garantido para Payroll Specialist.</w:t>
      </w:r>
    </w:p>
    <w:bookmarkEnd w:id="33"/>
    <w:bookmarkStart w:id="34" w:name="Xaca1ec0710a02e0638ff4136149104bc7a995ba"/>
    <w:p>
      <w:pPr>
        <w:pStyle w:val="Heading3"/>
      </w:pPr>
      <w:r>
        <w:t xml:space="preserve">Estados Unidos — estimativas atuais de mercado não governamentais</w:t>
      </w:r>
    </w:p>
    <w:p>
      <w:pPr>
        <w:pStyle w:val="FirstParagraph"/>
      </w:pPr>
      <w:r>
        <w:t xml:space="preserve">Como indicadores de mercado separados, revisados em agosto de 2026:</w:t>
      </w:r>
    </w:p>
    <w:p>
      <w:pPr>
        <w:numPr>
          <w:ilvl w:val="0"/>
          <w:numId w:val="1009"/>
        </w:numPr>
        <w:pStyle w:val="Compact"/>
      </w:pPr>
      <w:r>
        <w:t xml:space="preserve">ZipRecruiter informou uma estimativa média nos Estados Unidos para</w:t>
      </w:r>
      <w:r>
        <w:t xml:space="preserve"> </w:t>
      </w:r>
      <w:r>
        <w:rPr>
          <w:bCs/>
          <w:b/>
        </w:rPr>
        <w:t xml:space="preserve">Bookkeeper</w:t>
      </w:r>
      <w:r>
        <w:t xml:space="preserve"> </w:t>
      </w:r>
      <w:r>
        <w:t xml:space="preserve">de</w:t>
      </w:r>
      <w:r>
        <w:t xml:space="preserve"> </w:t>
      </w:r>
      <w:r>
        <w:rPr>
          <w:bCs/>
          <w:b/>
        </w:rPr>
        <w:t xml:space="preserve">US</w:t>
      </w:r>
      <m:oMath>
        <m:r>
          <m:t>50.573</m:t>
        </m:r>
        <m:r>
          <m:t>p</m:t>
        </m:r>
        <m:r>
          <m:t>o</m:t>
        </m:r>
        <m:r>
          <m:t>r</m:t>
        </m:r>
        <m:r>
          <m:t>a</m:t>
        </m:r>
        <m:r>
          <m:t>n</m:t>
        </m:r>
        <m:r>
          <m:t>o</m:t>
        </m:r>
        <m:r>
          <m:rPr>
            <m:sty m:val="p"/>
          </m:rPr>
          <m:t>(</m:t>
        </m:r>
        <m:r>
          <m:t>U</m:t>
        </m:r>
        <m:r>
          <m:t>S</m:t>
        </m:r>
      </m:oMath>
      <w:r>
        <w:rPr>
          <w:bCs/>
          <w:b/>
        </w:rPr>
        <w:t xml:space="preserve">24,31/hora) em 18 de julho de 2026</w:t>
      </w:r>
      <w:r>
        <w:t xml:space="preserve">.</w:t>
      </w:r>
    </w:p>
    <w:p>
      <w:pPr>
        <w:numPr>
          <w:ilvl w:val="0"/>
          <w:numId w:val="1009"/>
        </w:numPr>
        <w:pStyle w:val="Compact"/>
      </w:pPr>
      <w:r>
        <w:t xml:space="preserve">ZipRecruiter informou uma estimativa média para</w:t>
      </w:r>
      <w:r>
        <w:t xml:space="preserve"> </w:t>
      </w:r>
      <w:r>
        <w:rPr>
          <w:bCs/>
          <w:b/>
        </w:rPr>
        <w:t xml:space="preserve">Payroll Specialist</w:t>
      </w:r>
      <w:r>
        <w:t xml:space="preserve"> </w:t>
      </w:r>
      <w:r>
        <w:t xml:space="preserve">de</w:t>
      </w:r>
      <w:r>
        <w:t xml:space="preserve"> </w:t>
      </w:r>
      <w:r>
        <w:rPr>
          <w:bCs/>
          <w:b/>
        </w:rPr>
        <w:t xml:space="preserve">US</w:t>
      </w:r>
      <m:oMath>
        <m:r>
          <m:t>56.982</m:t>
        </m:r>
        <m:r>
          <m:t>p</m:t>
        </m:r>
        <m:r>
          <m:t>o</m:t>
        </m:r>
        <m:r>
          <m:t>r</m:t>
        </m:r>
        <m:r>
          <m:t>a</m:t>
        </m:r>
        <m:r>
          <m:t>n</m:t>
        </m:r>
        <m:r>
          <m:t>o</m:t>
        </m:r>
        <m:r>
          <m:rPr>
            <m:sty m:val="p"/>
          </m:rPr>
          <m:t>(</m:t>
        </m:r>
        <m:r>
          <m:t>U</m:t>
        </m:r>
        <m:r>
          <m:t>S</m:t>
        </m:r>
      </m:oMath>
      <w:r>
        <w:rPr>
          <w:bCs/>
          <w:b/>
        </w:rPr>
        <w:t xml:space="preserve">27,40/hora) em 26 de julho de 2026</w:t>
      </w:r>
      <w:r>
        <w:t xml:space="preserve">.</w:t>
      </w:r>
    </w:p>
    <w:p>
      <w:pPr>
        <w:pStyle w:val="FirstParagraph"/>
      </w:pPr>
      <w:r>
        <w:t xml:space="preserve">Essas são estimativas de mercado não governamentais derivadas de anúncios de emprego e dados de terceiros. Não são estatísticas salariais oficiais nem garantias. O QA de publicação deve verificar novamente esses valores e datas porque páginas de mercado mudam com frequência.</w:t>
      </w:r>
    </w:p>
    <w:bookmarkEnd w:id="34"/>
    <w:bookmarkStart w:id="35" w:name="canadá--escrituração"/>
    <w:p>
      <w:pPr>
        <w:pStyle w:val="Heading3"/>
      </w:pPr>
      <w:r>
        <w:t xml:space="preserve">Canadá — escrituração</w:t>
      </w:r>
    </w:p>
    <w:p>
      <w:pPr>
        <w:pStyle w:val="FirstParagraph"/>
      </w:pPr>
      <w:r>
        <w:t xml:space="preserve">O Job Bank do Governo do Canadá mapeia bookkeeper/técnico contábil para</w:t>
      </w:r>
      <w:r>
        <w:t xml:space="preserve"> </w:t>
      </w:r>
      <w:r>
        <w:rPr>
          <w:bCs/>
          <w:b/>
        </w:rPr>
        <w:t xml:space="preserve">Accounting technicians and bookkeepers, NOC 12200</w:t>
      </w:r>
      <w:r>
        <w:t xml:space="preserve">. A tabela nacional de salários revisada para esta edição informa</w:t>
      </w:r>
      <w:r>
        <w:t xml:space="preserve"> </w:t>
      </w:r>
      <w:r>
        <w:rPr>
          <w:bCs/>
          <w:b/>
        </w:rPr>
        <w:t xml:space="preserve">C</w:t>
      </w:r>
      <m:oMath>
        <m:r>
          <m:t>19</m:t>
        </m:r>
        <m:r>
          <m:rPr>
            <m:sty m:val="p"/>
          </m:rPr>
          <m:t>,</m:t>
        </m:r>
        <m:r>
          <m:t>55</m:t>
        </m:r>
        <m:r>
          <m:t>b</m:t>
        </m:r>
        <m:r>
          <m:t>a</m:t>
        </m:r>
        <m:r>
          <m:t>i</m:t>
        </m:r>
        <m:r>
          <m:t>x</m:t>
        </m:r>
        <m:r>
          <m:t>o</m:t>
        </m:r>
        <m:r>
          <m:rPr>
            <m:sty m:val="p"/>
          </m:rPr>
          <m:t>/</m:t>
        </m:r>
        <m:r>
          <m:t>C</m:t>
        </m:r>
      </m:oMath>
      <w:r>
        <w:rPr>
          <w:bCs/>
          <w:b/>
        </w:rPr>
        <w:t xml:space="preserve">28,02 mediano / C$45,07 alto por hora</w:t>
      </w:r>
      <w:r>
        <w:t xml:space="preserve">. O Job Bank informa que a tabela foi atualizada em</w:t>
      </w:r>
      <w:r>
        <w:t xml:space="preserve"> </w:t>
      </w:r>
      <w:r>
        <w:rPr>
          <w:bCs/>
          <w:b/>
        </w:rPr>
        <w:t xml:space="preserve">19 de novembro de 2025</w:t>
      </w:r>
      <w:r>
        <w:t xml:space="preserve">, usa um</w:t>
      </w:r>
      <w:r>
        <w:t xml:space="preserve"> </w:t>
      </w:r>
      <w:r>
        <w:rPr>
          <w:bCs/>
          <w:b/>
        </w:rPr>
        <w:t xml:space="preserve">período de referência 2023–2024</w:t>
      </w:r>
      <w:r>
        <w:t xml:space="preserve"> </w:t>
      </w:r>
      <w:r>
        <w:t xml:space="preserve">e se baseia na Labour Force Survey do Statistics Canada.</w:t>
      </w:r>
    </w:p>
    <w:bookmarkEnd w:id="35"/>
    <w:bookmarkStart w:id="36" w:name="canadá--folha-de-pagamento"/>
    <w:p>
      <w:pPr>
        <w:pStyle w:val="Heading3"/>
      </w:pPr>
      <w:r>
        <w:t xml:space="preserve">Canadá — folha de pagamento</w:t>
      </w:r>
    </w:p>
    <w:p>
      <w:pPr>
        <w:pStyle w:val="FirstParagraph"/>
      </w:pPr>
      <w:r>
        <w:t xml:space="preserve">O Job Bank do Governo do Canadá mapeia administração de folha para</w:t>
      </w:r>
      <w:r>
        <w:t xml:space="preserve"> </w:t>
      </w:r>
      <w:r>
        <w:rPr>
          <w:bCs/>
          <w:b/>
        </w:rPr>
        <w:t xml:space="preserve">NOC 13102</w:t>
      </w:r>
      <w:r>
        <w:t xml:space="preserve">. A tabela nacional de salários revisada para esta edição informa</w:t>
      </w:r>
      <w:r>
        <w:t xml:space="preserve"> </w:t>
      </w:r>
      <w:r>
        <w:rPr>
          <w:bCs/>
          <w:b/>
        </w:rPr>
        <w:t xml:space="preserve">C</w:t>
      </w:r>
      <m:oMath>
        <m:r>
          <m:t>20</m:t>
        </m:r>
        <m:r>
          <m:rPr>
            <m:sty m:val="p"/>
          </m:rPr>
          <m:t>,</m:t>
        </m:r>
        <m:r>
          <m:t>00</m:t>
        </m:r>
        <m:r>
          <m:t>b</m:t>
        </m:r>
        <m:r>
          <m:t>a</m:t>
        </m:r>
        <m:r>
          <m:t>i</m:t>
        </m:r>
        <m:r>
          <m:t>x</m:t>
        </m:r>
        <m:r>
          <m:t>o</m:t>
        </m:r>
        <m:r>
          <m:rPr>
            <m:sty m:val="p"/>
          </m:rPr>
          <m:t>/</m:t>
        </m:r>
        <m:r>
          <m:t>C</m:t>
        </m:r>
      </m:oMath>
      <w:r>
        <w:rPr>
          <w:bCs/>
          <w:b/>
        </w:rPr>
        <w:t xml:space="preserve">30,00 mediano / C$43,27 alto por hora</w:t>
      </w:r>
      <w:r>
        <w:t xml:space="preserve">. O Job Bank informa que a tabela foi atualizada em</w:t>
      </w:r>
      <w:r>
        <w:t xml:space="preserve"> </w:t>
      </w:r>
      <w:r>
        <w:rPr>
          <w:bCs/>
          <w:b/>
        </w:rPr>
        <w:t xml:space="preserve">19 de novembro de 2025</w:t>
      </w:r>
      <w:r>
        <w:t xml:space="preserve">, usa um</w:t>
      </w:r>
      <w:r>
        <w:t xml:space="preserve"> </w:t>
      </w:r>
      <w:r>
        <w:rPr>
          <w:bCs/>
          <w:b/>
        </w:rPr>
        <w:t xml:space="preserve">período de referência 2023–2024</w:t>
      </w:r>
      <w:r>
        <w:t xml:space="preserve"> </w:t>
      </w:r>
      <w:r>
        <w:t xml:space="preserve">e se baseia na Labour Force Survey do Statistics Canada.</w:t>
      </w:r>
    </w:p>
    <w:bookmarkEnd w:id="36"/>
    <w:bookmarkStart w:id="37" w:name="colômbia-e-américa-latina"/>
    <w:p>
      <w:pPr>
        <w:pStyle w:val="Heading3"/>
      </w:pPr>
      <w:r>
        <w:t xml:space="preserve">Colômbia e América Latina</w:t>
      </w:r>
    </w:p>
    <w:p>
      <w:pPr>
        <w:pStyle w:val="FirstParagraph"/>
      </w:pPr>
      <w:r>
        <w:t xml:space="preserve">Não invente um salário nacional para Especialista em Escrituração Contábil e Folha de Pagamento quando não houver série ocupacional diretamente comparável verificada. Na Colômbia, compare vagas atuais do Servicio Público de Empleo e de empregadores para títulos reais como</w:t>
      </w:r>
      <w:r>
        <w:t xml:space="preserve"> </w:t>
      </w:r>
      <w:r>
        <w:rPr>
          <w:rStyle w:val="VerbatimChar"/>
        </w:rPr>
        <w:t xml:space="preserve">auxiliar contable</w:t>
      </w:r>
      <w:r>
        <w:t xml:space="preserve">,</w:t>
      </w:r>
      <w:r>
        <w:t xml:space="preserve"> </w:t>
      </w:r>
      <w:r>
        <w:rPr>
          <w:rStyle w:val="VerbatimChar"/>
        </w:rPr>
        <w:t xml:space="preserve">auxiliar de nómina</w:t>
      </w:r>
      <w:r>
        <w:t xml:space="preserve">,</w:t>
      </w:r>
      <w:r>
        <w:t xml:space="preserve"> </w:t>
      </w:r>
      <w:r>
        <w:rPr>
          <w:rStyle w:val="VerbatimChar"/>
        </w:rPr>
        <w:t xml:space="preserve">analista de nómina</w:t>
      </w:r>
      <w:r>
        <w:t xml:space="preserve">,</w:t>
      </w:r>
      <w:r>
        <w:t xml:space="preserve"> </w:t>
      </w:r>
      <w:r>
        <w:rPr>
          <w:rStyle w:val="VerbatimChar"/>
        </w:rPr>
        <w:t xml:space="preserve">técnico contable</w:t>
      </w:r>
      <w:r>
        <w:t xml:space="preserve">,</w:t>
      </w:r>
      <w:r>
        <w:t xml:space="preserve"> </w:t>
      </w:r>
      <w:r>
        <w:rPr>
          <w:rStyle w:val="VerbatimChar"/>
        </w:rPr>
        <w:t xml:space="preserve">auxiliar administrativo-contable</w:t>
      </w:r>
      <w:r>
        <w:t xml:space="preserve"> </w:t>
      </w:r>
      <w:r>
        <w:t xml:space="preserve">ou funções relacionadas. Registre salário, benefícios, tipo de contrato, cidade, escolaridade, experiência, software e atribuições.</w:t>
      </w:r>
    </w:p>
    <w:p>
      <w:pPr>
        <w:pStyle w:val="BodyText"/>
      </w:pPr>
      <w:r>
        <w:t xml:space="preserve">Na América Latina, as regras de folha variam de forma significativa por autoridade tributária, legislação trabalhista, sistema de seguridade social, benefícios, moeda, práticas do empregador e software. É essencial comparar título e atribuições locais.</w:t>
      </w:r>
    </w:p>
    <w:bookmarkEnd w:id="37"/>
    <w:bookmarkStart w:id="38" w:name="X74fc0cb2a2e090f837e1560e09b876d653b9790"/>
    <w:p>
      <w:pPr>
        <w:pStyle w:val="Heading3"/>
      </w:pPr>
      <w:r>
        <w:t xml:space="preserve">Lista de verificação para pesquisa salarial local</w:t>
      </w:r>
    </w:p>
    <w:p>
      <w:pPr>
        <w:pStyle w:val="FirstParagraph"/>
      </w:pPr>
      <w:r>
        <w:t xml:space="preserve">Para cada localidade, registre:</w:t>
      </w:r>
    </w:p>
    <w:p>
      <w:pPr>
        <w:numPr>
          <w:ilvl w:val="0"/>
          <w:numId w:val="1010"/>
        </w:numPr>
        <w:pStyle w:val="Compact"/>
      </w:pPr>
      <w:r>
        <w:t xml:space="preserve">título exato e atribuições;</w:t>
      </w:r>
    </w:p>
    <w:p>
      <w:pPr>
        <w:numPr>
          <w:ilvl w:val="0"/>
          <w:numId w:val="1010"/>
        </w:numPr>
        <w:pStyle w:val="Compact"/>
      </w:pPr>
      <w:r>
        <w:t xml:space="preserve">empregador e setor;</w:t>
      </w:r>
    </w:p>
    <w:p>
      <w:pPr>
        <w:numPr>
          <w:ilvl w:val="0"/>
          <w:numId w:val="1010"/>
        </w:numPr>
        <w:pStyle w:val="Compact"/>
      </w:pPr>
      <w:r>
        <w:t xml:space="preserve">data da vaga;</w:t>
      </w:r>
    </w:p>
    <w:p>
      <w:pPr>
        <w:numPr>
          <w:ilvl w:val="0"/>
          <w:numId w:val="1010"/>
        </w:numPr>
        <w:pStyle w:val="Compact"/>
      </w:pPr>
      <w:r>
        <w:t xml:space="preserve">salário-base por hora, mês ou ano;</w:t>
      </w:r>
    </w:p>
    <w:p>
      <w:pPr>
        <w:numPr>
          <w:ilvl w:val="0"/>
          <w:numId w:val="1010"/>
        </w:numPr>
        <w:pStyle w:val="Compact"/>
      </w:pPr>
      <w:r>
        <w:t xml:space="preserve">horas extras, bônus, comissão, adicional ou remuneração variável;</w:t>
      </w:r>
    </w:p>
    <w:p>
      <w:pPr>
        <w:numPr>
          <w:ilvl w:val="0"/>
          <w:numId w:val="1010"/>
        </w:numPr>
        <w:pStyle w:val="Compact"/>
      </w:pPr>
      <w:r>
        <w:t xml:space="preserve">situação de emprego e carga horária;</w:t>
      </w:r>
    </w:p>
    <w:p>
      <w:pPr>
        <w:numPr>
          <w:ilvl w:val="0"/>
          <w:numId w:val="1010"/>
        </w:numPr>
        <w:pStyle w:val="Compact"/>
      </w:pPr>
      <w:r>
        <w:t xml:space="preserve">escolaridade, credencial, software e experiência exigidos;</w:t>
      </w:r>
    </w:p>
    <w:p>
      <w:pPr>
        <w:numPr>
          <w:ilvl w:val="0"/>
          <w:numId w:val="1010"/>
        </w:numPr>
        <w:pStyle w:val="Compact"/>
      </w:pPr>
      <w:r>
        <w:t xml:space="preserve">benefícios, aposentadoria, licenças, apoio educacional e custos não pagos; e</w:t>
      </w:r>
    </w:p>
    <w:p>
      <w:pPr>
        <w:numPr>
          <w:ilvl w:val="0"/>
          <w:numId w:val="1010"/>
        </w:numPr>
        <w:pStyle w:val="Compact"/>
      </w:pPr>
      <w:r>
        <w:t xml:space="preserve">se a função inclui fechamento, temporada tributária, trabalho noturno, fins de semana ou plantão.</w:t>
      </w:r>
    </w:p>
    <w:bookmarkEnd w:id="38"/>
    <w:bookmarkEnd w:id="39"/>
    <w:bookmarkStart w:id="45" w:name="X2a6c2b4b79ffb7084493610b15a7495eb38d9f4"/>
    <w:p>
      <w:pPr>
        <w:pStyle w:val="Heading2"/>
      </w:pPr>
      <w:r>
        <w:t xml:space="preserve">7. Educação e credenciais</w:t>
      </w:r>
    </w:p>
    <w:bookmarkStart w:id="40" w:name="X80e9c22eaaddce28fa091d19fdad8ab3cd034fc"/>
    <w:p>
      <w:pPr>
        <w:pStyle w:val="Heading3"/>
      </w:pPr>
      <w:r>
        <w:t xml:space="preserve">Caminhos de escrituração nos Estados Unidos</w:t>
      </w:r>
    </w:p>
    <w:p>
      <w:pPr>
        <w:pStyle w:val="FirstParagraph"/>
      </w:pPr>
      <w:r>
        <w:t xml:space="preserve">O BLS informa que os requisitos de entrada variam. Alguns empregadores exigem ou preferem cursos universitários ou diploma em contabilidade ou área relacionada; outros contratam pessoas com ensino médio e oferecem treinamento no trabalho. Preparação útil pode incluir fundamentos de contabilidade, planilhas, conciliação, controles internos, contas a pagar/receber, fundamentos de folha, software contábil e comunicação empresarial.</w:t>
      </w:r>
    </w:p>
    <w:p>
      <w:pPr>
        <w:pStyle w:val="BodyText"/>
      </w:pPr>
      <w:r>
        <w:t xml:space="preserve">Credenciais privadas de escrituração podem ser úteis para alguns empregadores, mas este guia não trata credencial privada como licença governamental ou requisito universal de contratação. Verifique a expectativa real do empregador antes de pagar.</w:t>
      </w:r>
    </w:p>
    <w:bookmarkEnd w:id="40"/>
    <w:bookmarkStart w:id="41" w:name="caminhos-de-folha-nos-estados-unidos"/>
    <w:p>
      <w:pPr>
        <w:pStyle w:val="Heading3"/>
      </w:pPr>
      <w:r>
        <w:t xml:space="preserve">Caminhos de folha nos Estados Unidos</w:t>
      </w:r>
    </w:p>
    <w:p>
      <w:pPr>
        <w:pStyle w:val="FirstParagraph"/>
      </w:pPr>
      <w:r>
        <w:t xml:space="preserve">A PayrollOrg oferece credenciais de setor, incluindo</w:t>
      </w:r>
      <w:r>
        <w:t xml:space="preserve"> </w:t>
      </w:r>
      <w:r>
        <w:rPr>
          <w:bCs/>
          <w:b/>
        </w:rPr>
        <w:t xml:space="preserve">Fundamental Payroll Certification (FPC)</w:t>
      </w:r>
      <w:r>
        <w:t xml:space="preserve"> </w:t>
      </w:r>
      <w:r>
        <w:t xml:space="preserve">e</w:t>
      </w:r>
      <w:r>
        <w:t xml:space="preserve"> </w:t>
      </w:r>
      <w:r>
        <w:rPr>
          <w:bCs/>
          <w:b/>
        </w:rPr>
        <w:t xml:space="preserve">Certified Payroll Professional (CPP)</w:t>
      </w:r>
      <w:r>
        <w:t xml:space="preserve">. A PayrollOrg descreve FPC como credencial fundamental de folha e informa que não há requisito de experiência em folha para realizar o exame FPC. O CPP é uma credencial avançada com requisitos de elegibilidade definidos pela PayrollOrg.</w:t>
      </w:r>
    </w:p>
    <w:p>
      <w:pPr>
        <w:pStyle w:val="BodyText"/>
      </w:pPr>
      <w:r>
        <w:t xml:space="preserve">Essas credenciais são certificações do setor, não licenças governamentais. Verifique elegibilidade atual, taxas, conteúdo de prova, requisitos de recertificação e valor para empregadores diretamente com a PayrollOrg antes de pagar.</w:t>
      </w:r>
    </w:p>
    <w:bookmarkEnd w:id="41"/>
    <w:bookmarkStart w:id="42" w:name="canadá"/>
    <w:p>
      <w:pPr>
        <w:pStyle w:val="Heading3"/>
      </w:pPr>
      <w:r>
        <w:t xml:space="preserve">Canadá</w:t>
      </w:r>
    </w:p>
    <w:p>
      <w:pPr>
        <w:pStyle w:val="FirstParagraph"/>
      </w:pPr>
      <w:r>
        <w:t xml:space="preserve">O Job Bank mapeia escrituração para NOC 12200 e administração de folha para NOC 13102. Esses perfis descrevem preparação nacional típica, não um requisito idêntico para todos os empregadores. Verifique requisitos exatos de empregador, província, idioma, software e experiência.</w:t>
      </w:r>
    </w:p>
    <w:bookmarkEnd w:id="42"/>
    <w:bookmarkStart w:id="43" w:name="colômbia"/>
    <w:p>
      <w:pPr>
        <w:pStyle w:val="Heading3"/>
      </w:pPr>
      <w:r>
        <w:t xml:space="preserve">Colômbia</w:t>
      </w:r>
    </w:p>
    <w:p>
      <w:pPr>
        <w:pStyle w:val="FirstParagraph"/>
      </w:pPr>
      <w:r>
        <w:t xml:space="preserve">O SENA oferece programas mais longos de contabilidade e cursos complementares mais curtos. Exemplos atuais revisados para este guia incluem:</w:t>
      </w:r>
    </w:p>
    <w:p>
      <w:pPr>
        <w:numPr>
          <w:ilvl w:val="0"/>
          <w:numId w:val="1011"/>
        </w:numPr>
        <w:pStyle w:val="Compact"/>
      </w:pPr>
      <w:r>
        <w:rPr>
          <w:rStyle w:val="VerbatimChar"/>
        </w:rPr>
        <w:t xml:space="preserve">Contabilización de operaciones comerciales y financieras</w:t>
      </w:r>
      <w:r>
        <w:t xml:space="preserve"> </w:t>
      </w:r>
      <w:r>
        <w:t xml:space="preserve">— programa técnico;</w:t>
      </w:r>
    </w:p>
    <w:p>
      <w:pPr>
        <w:numPr>
          <w:ilvl w:val="0"/>
          <w:numId w:val="1011"/>
        </w:numPr>
        <w:pStyle w:val="Compact"/>
      </w:pPr>
      <w:r>
        <w:rPr>
          <w:rStyle w:val="VerbatimChar"/>
        </w:rPr>
        <w:t xml:space="preserve">Gestión contable y de información financiera</w:t>
      </w:r>
      <w:r>
        <w:t xml:space="preserve"> </w:t>
      </w:r>
      <w:r>
        <w:t xml:space="preserve">— programa tecnólogo;</w:t>
      </w:r>
    </w:p>
    <w:p>
      <w:pPr>
        <w:numPr>
          <w:ilvl w:val="0"/>
          <w:numId w:val="1011"/>
        </w:numPr>
        <w:pStyle w:val="Compact"/>
      </w:pPr>
      <w:r>
        <w:rPr>
          <w:rStyle w:val="VerbatimChar"/>
        </w:rPr>
        <w:t xml:space="preserve">Diseño, liquidación y pago de nómina</w:t>
      </w:r>
      <w:r>
        <w:t xml:space="preserve"> </w:t>
      </w:r>
      <w:r>
        <w:t xml:space="preserve">— curso complementar de 48 horas; e</w:t>
      </w:r>
    </w:p>
    <w:p>
      <w:pPr>
        <w:numPr>
          <w:ilvl w:val="0"/>
          <w:numId w:val="1011"/>
        </w:numPr>
        <w:pStyle w:val="Compact"/>
      </w:pPr>
      <w:r>
        <w:rPr>
          <w:rStyle w:val="VerbatimChar"/>
        </w:rPr>
        <w:t xml:space="preserve">Básico de contabilidad costos y presupuestos</w:t>
      </w:r>
      <w:r>
        <w:t xml:space="preserve"> </w:t>
      </w:r>
      <w:r>
        <w:t xml:space="preserve">— curso complementar de 40 horas.</w:t>
      </w:r>
    </w:p>
    <w:p>
      <w:pPr>
        <w:pStyle w:val="FirstParagraph"/>
      </w:pPr>
      <w:r>
        <w:t xml:space="preserve">Disponibilidade, modalidade, local, datas de inscrição e requisitos mudam. Um curso complementar curto é desenvolvimento útil de habilidades, mas não equivale automaticamente a uma qualificação técnica ou tecnóloga completa.</w:t>
      </w:r>
    </w:p>
    <w:bookmarkEnd w:id="43"/>
    <w:bookmarkStart w:id="44" w:name="américa-latina"/>
    <w:p>
      <w:pPr>
        <w:pStyle w:val="Heading3"/>
      </w:pPr>
      <w:r>
        <w:t xml:space="preserve">América Latina</w:t>
      </w:r>
    </w:p>
    <w:p>
      <w:pPr>
        <w:pStyle w:val="FirstParagraph"/>
      </w:pPr>
      <w:r>
        <w:t xml:space="preserve">Não presuma que uma credencial dos Estados Unidos, Canadá ou Colômbia seja automaticamente transferível para outro país. Verifique legislação local trabalhista, tributária, de seguridade social, escrituração, profissão contábil, proteção de dados e requisitos do empregador antes de pagar ou afirmar qualificação.</w:t>
      </w:r>
    </w:p>
    <w:bookmarkEnd w:id="44"/>
    <w:bookmarkEnd w:id="45"/>
    <w:bookmarkStart w:id="50" w:name="X65325dad3c71126bfc9dcad3973b7494a507c93"/>
    <w:p>
      <w:pPr>
        <w:pStyle w:val="Heading2"/>
      </w:pPr>
      <w:r>
        <w:t xml:space="preserve">8. Treinamento gratuito ou de baixo custo, financiamento, bolsas e apoio do empregador</w:t>
      </w:r>
    </w:p>
    <w:p>
      <w:pPr>
        <w:pStyle w:val="FirstParagraph"/>
      </w:pPr>
      <w:r>
        <w:t xml:space="preserve">Use uma sequência</w:t>
      </w:r>
      <w:r>
        <w:t xml:space="preserve"> </w:t>
      </w:r>
      <w:r>
        <w:rPr>
          <w:bCs/>
          <w:b/>
        </w:rPr>
        <w:t xml:space="preserve">gratuito primeiro</w:t>
      </w:r>
      <w:r>
        <w:t xml:space="preserve">:</w:t>
      </w:r>
    </w:p>
    <w:p>
      <w:pPr>
        <w:numPr>
          <w:ilvl w:val="0"/>
          <w:numId w:val="1012"/>
        </w:numPr>
        <w:pStyle w:val="Compact"/>
      </w:pPr>
      <w:r>
        <w:t xml:space="preserve">Conheça o trabalho por bibliotecas públicas, tutoriais oficiais, cursos abertos, materiais do empregador e recursos confiáveis sem fins lucrativos.</w:t>
      </w:r>
    </w:p>
    <w:p>
      <w:pPr>
        <w:numPr>
          <w:ilvl w:val="0"/>
          <w:numId w:val="1012"/>
        </w:numPr>
        <w:pStyle w:val="Compact"/>
      </w:pPr>
      <w:r>
        <w:t xml:space="preserve">Identifique o requisito exato do empregador antes de comprar uma credencial.</w:t>
      </w:r>
    </w:p>
    <w:p>
      <w:pPr>
        <w:numPr>
          <w:ilvl w:val="0"/>
          <w:numId w:val="1012"/>
        </w:numPr>
        <w:pStyle w:val="Compact"/>
      </w:pPr>
      <w:r>
        <w:t xml:space="preserve">Procure financiamento público e opções pagas pelo empregador antes de pagar do próprio bolso.</w:t>
      </w:r>
    </w:p>
    <w:p>
      <w:pPr>
        <w:numPr>
          <w:ilvl w:val="0"/>
          <w:numId w:val="1012"/>
        </w:numPr>
        <w:pStyle w:val="Compact"/>
      </w:pPr>
      <w:r>
        <w:t xml:space="preserve">Compare community colleges, instituições técnicas, universidades públicas, SENA ou equivalente público, provedores sem fins lucrativos aprovados e aprendizagem baseada no trabalho.</w:t>
      </w:r>
    </w:p>
    <w:p>
      <w:pPr>
        <w:numPr>
          <w:ilvl w:val="0"/>
          <w:numId w:val="1012"/>
        </w:numPr>
        <w:pStyle w:val="Compact"/>
      </w:pPr>
      <w:r>
        <w:t xml:space="preserve">Pague somente quando o programa gerar um próximo passo verificado, como crédito transferível, elegibilidade a exame, reconhecimento documentado pelo empregador ou lacuna específica de habilidade já confirmada.</w:t>
      </w:r>
    </w:p>
    <w:bookmarkStart w:id="46" w:name="X9c02a40ed0c6af2ae9520f34ff87e5da8c6defa"/>
    <w:p>
      <w:pPr>
        <w:pStyle w:val="Heading3"/>
      </w:pPr>
      <w:r>
        <w:t xml:space="preserve">Rotas de financiamento nos Estados Unidos</w:t>
      </w:r>
    </w:p>
    <w:p>
      <w:pPr>
        <w:pStyle w:val="FirstParagraph"/>
      </w:pPr>
      <w:r>
        <w:t xml:space="preserve">Dependendo de elegibilidade e localidade, verifique:</w:t>
      </w:r>
    </w:p>
    <w:p>
      <w:pPr>
        <w:numPr>
          <w:ilvl w:val="0"/>
          <w:numId w:val="1013"/>
        </w:numPr>
        <w:pStyle w:val="Compact"/>
      </w:pPr>
      <w:r>
        <w:t xml:space="preserve">American Job Centers e serviços da Workforce Innovation and Opportunity Act;</w:t>
      </w:r>
    </w:p>
    <w:p>
      <w:pPr>
        <w:numPr>
          <w:ilvl w:val="0"/>
          <w:numId w:val="1013"/>
        </w:numPr>
        <w:pStyle w:val="Compact"/>
      </w:pPr>
      <w:r>
        <w:t xml:space="preserve">programas estaduais de força de trabalho e reabilitação vocacional;</w:t>
      </w:r>
    </w:p>
    <w:p>
      <w:pPr>
        <w:numPr>
          <w:ilvl w:val="0"/>
          <w:numId w:val="1013"/>
        </w:numPr>
        <w:pStyle w:val="Compact"/>
      </w:pPr>
      <w:r>
        <w:t xml:space="preserve">subsídios, bolsas e auxílio institucional em community colleges;</w:t>
      </w:r>
    </w:p>
    <w:p>
      <w:pPr>
        <w:numPr>
          <w:ilvl w:val="0"/>
          <w:numId w:val="1013"/>
        </w:numPr>
        <w:pStyle w:val="Compact"/>
      </w:pPr>
      <w:r>
        <w:t xml:space="preserve">elegibilidade para Federal Student Aid em programas e instituições qualificadas;</w:t>
      </w:r>
    </w:p>
    <w:p>
      <w:pPr>
        <w:numPr>
          <w:ilvl w:val="0"/>
          <w:numId w:val="1013"/>
        </w:numPr>
        <w:pStyle w:val="Compact"/>
      </w:pPr>
      <w:r>
        <w:t xml:space="preserve">auxílio educacional ou treinamento pago diretamente pelo empregador;</w:t>
      </w:r>
    </w:p>
    <w:p>
      <w:pPr>
        <w:numPr>
          <w:ilvl w:val="0"/>
          <w:numId w:val="1013"/>
        </w:numPr>
        <w:pStyle w:val="Compact"/>
      </w:pPr>
      <w:r>
        <w:t xml:space="preserve">bolsas de associações profissionais, quando disponíveis; e</w:t>
      </w:r>
    </w:p>
    <w:p>
      <w:pPr>
        <w:numPr>
          <w:ilvl w:val="0"/>
          <w:numId w:val="1013"/>
        </w:numPr>
        <w:pStyle w:val="Compact"/>
      </w:pPr>
      <w:r>
        <w:t xml:space="preserve">Registered Apprenticeship ou outra aprendizagem remunerada baseada no trabalho, quando verificada.</w:t>
      </w:r>
    </w:p>
    <w:p>
      <w:pPr>
        <w:pStyle w:val="FirstParagraph"/>
      </w:pPr>
      <w:r>
        <w:t xml:space="preserve">A disponibilidade muda. Verifique elegibilidade, custos cobertos, consequências tributárias, regras de reembolso e reconhecimento para a função pretendida.</w:t>
      </w:r>
    </w:p>
    <w:bookmarkEnd w:id="46"/>
    <w:bookmarkStart w:id="47" w:name="Xa62eb16b3321111879c881563174493cab5af12"/>
    <w:p>
      <w:pPr>
        <w:pStyle w:val="Heading3"/>
      </w:pPr>
      <w:r>
        <w:t xml:space="preserve">Assistência educacional do empregador nos Estados Unidos</w:t>
      </w:r>
    </w:p>
    <w:p>
      <w:pPr>
        <w:pStyle w:val="FirstParagraph"/>
      </w:pPr>
      <w:r>
        <w:t xml:space="preserve">Orientação do IRS de abril de 2026 informa que, sob um programa escrito qualificável da Section 127, até</w:t>
      </w:r>
      <w:r>
        <w:t xml:space="preserve"> </w:t>
      </w:r>
      <w:r>
        <w:rPr>
          <w:bCs/>
          <w:b/>
        </w:rPr>
        <w:t xml:space="preserve">US$5.250</w:t>
      </w:r>
      <w:r>
        <w:t xml:space="preserve"> </w:t>
      </w:r>
      <w:r>
        <w:t xml:space="preserve">de assistência educacional qualificável pode ser excluída da renda bruta nos anos-calendário de 2025 e 2026. Planos de empregadores podem diferir em elegibilidade, despesas cobertas, pagamento direto ou reembolso, notas, requisitos de permanência, regras de devolução e prazos.</w:t>
      </w:r>
    </w:p>
    <w:p>
      <w:pPr>
        <w:pStyle w:val="BodyText"/>
      </w:pPr>
      <w:r>
        <w:t xml:space="preserve">Não dependa de uma afirmação genérica de que uma obrigação de serviço dura determinado número de anos. Obtenha o plano escrito e o acordo do empregador.</w:t>
      </w:r>
    </w:p>
    <w:bookmarkEnd w:id="47"/>
    <w:bookmarkStart w:id="48" w:name="canadá-1"/>
    <w:p>
      <w:pPr>
        <w:pStyle w:val="Heading3"/>
      </w:pPr>
      <w:r>
        <w:t xml:space="preserve">Canadá</w:t>
      </w:r>
    </w:p>
    <w:p>
      <w:pPr>
        <w:pStyle w:val="FirstParagraph"/>
      </w:pPr>
      <w:r>
        <w:t xml:space="preserve">Verifique programas provinciais ou territoriais de emprego e treinamento, instituições públicas, aprendizagem paga pelo empregador, bolsas e auxílios, organizações de emprego/treinamento para recém-chegados ou povos indígenas quando aplicável e aprendizagem integrada ao trabalho. Confirme elegibilidade atual e reconhecimento pelo empregador.</w:t>
      </w:r>
    </w:p>
    <w:bookmarkEnd w:id="48"/>
    <w:bookmarkStart w:id="49" w:name="colômbia-1"/>
    <w:p>
      <w:pPr>
        <w:pStyle w:val="Heading3"/>
      </w:pPr>
      <w:r>
        <w:t xml:space="preserve">Colômbia</w:t>
      </w:r>
    </w:p>
    <w:p>
      <w:pPr>
        <w:pStyle w:val="FirstParagraph"/>
      </w:pPr>
      <w:r>
        <w:t xml:space="preserve">Verifique ofertas atuais do SENA, rotas de treinamento e vagas do Servicio Público de Empleo, cajas de compensación quando elegível, treinamento do empregador, educação continuada pública ou universitária e programas comunitários confiáveis. Gratuito ou público não significa automaticamente adequado; confirme pertinência ocupacional e nível do programa.</w:t>
      </w:r>
    </w:p>
    <w:bookmarkEnd w:id="49"/>
    <w:bookmarkEnd w:id="50"/>
    <w:bookmarkStart w:id="51" w:name="X46085566d534f92614731b655c991724149c0bc"/>
    <w:p>
      <w:pPr>
        <w:pStyle w:val="Heading2"/>
      </w:pPr>
      <w:r>
        <w:t xml:space="preserve">9. Aprendizagem, formação no trabalho e progressão de carreira</w:t>
      </w:r>
    </w:p>
    <w:p>
      <w:pPr>
        <w:pStyle w:val="FirstParagraph"/>
      </w:pPr>
      <w:r>
        <w:t xml:space="preserve">Não presuma que a palavra</w:t>
      </w:r>
      <w:r>
        <w:t xml:space="preserve"> </w:t>
      </w:r>
      <w:r>
        <w:rPr>
          <w:rStyle w:val="VerbatimChar"/>
        </w:rPr>
        <w:t xml:space="preserve">apprenticeship</w:t>
      </w:r>
      <w:r>
        <w:t xml:space="preserve"> </w:t>
      </w:r>
      <w:r>
        <w:t xml:space="preserve">tenha o mesmo significado em todos os países.</w:t>
      </w:r>
    </w:p>
    <w:p>
      <w:pPr>
        <w:pStyle w:val="BodyText"/>
      </w:pPr>
      <w:r>
        <w:t xml:space="preserve">Nos Estados Unidos, use Apprenticeship.gov e a autoridade responsável para verificar se um programa que se apresenta como Registered Apprenticeship está realmente registrado. Pesquise títulos relacionados, como bookkeeping, accounting technician, payroll, financial clerk, business administration ou accounting assistant. A disponibilidade varia por localidade e empregador.</w:t>
      </w:r>
    </w:p>
    <w:p>
      <w:pPr>
        <w:pStyle w:val="BodyText"/>
      </w:pPr>
      <w:r>
        <w:t xml:space="preserve">Para qualquer programa baseado no trabalho, verifique:</w:t>
      </w:r>
    </w:p>
    <w:p>
      <w:pPr>
        <w:numPr>
          <w:ilvl w:val="0"/>
          <w:numId w:val="1014"/>
        </w:numPr>
        <w:pStyle w:val="Compact"/>
      </w:pPr>
      <w:r>
        <w:t xml:space="preserve">condição remunerada ou não remunerada;</w:t>
      </w:r>
    </w:p>
    <w:p>
      <w:pPr>
        <w:numPr>
          <w:ilvl w:val="0"/>
          <w:numId w:val="1014"/>
        </w:numPr>
        <w:pStyle w:val="Compact"/>
      </w:pPr>
      <w:r>
        <w:t xml:space="preserve">classificação como empregado ou aluno;</w:t>
      </w:r>
    </w:p>
    <w:p>
      <w:pPr>
        <w:numPr>
          <w:ilvl w:val="0"/>
          <w:numId w:val="1014"/>
        </w:numPr>
        <w:pStyle w:val="Compact"/>
      </w:pPr>
      <w:r>
        <w:t xml:space="preserve">salário e progressão salarial;</w:t>
      </w:r>
    </w:p>
    <w:p>
      <w:pPr>
        <w:numPr>
          <w:ilvl w:val="0"/>
          <w:numId w:val="1014"/>
        </w:numPr>
        <w:pStyle w:val="Compact"/>
      </w:pPr>
      <w:r>
        <w:t xml:space="preserve">supervisão;</w:t>
      </w:r>
    </w:p>
    <w:p>
      <w:pPr>
        <w:numPr>
          <w:ilvl w:val="0"/>
          <w:numId w:val="1014"/>
        </w:numPr>
        <w:pStyle w:val="Compact"/>
      </w:pPr>
      <w:r>
        <w:t xml:space="preserve">instrução relacionada;</w:t>
      </w:r>
    </w:p>
    <w:p>
      <w:pPr>
        <w:numPr>
          <w:ilvl w:val="0"/>
          <w:numId w:val="1014"/>
        </w:numPr>
        <w:pStyle w:val="Compact"/>
      </w:pPr>
      <w:r>
        <w:t xml:space="preserve">horas documentadas;</w:t>
      </w:r>
    </w:p>
    <w:p>
      <w:pPr>
        <w:numPr>
          <w:ilvl w:val="0"/>
          <w:numId w:val="1014"/>
        </w:numPr>
        <w:pStyle w:val="Compact"/>
      </w:pPr>
      <w:r>
        <w:t xml:space="preserve">cobertura de acidentes e seguro;</w:t>
      </w:r>
    </w:p>
    <w:p>
      <w:pPr>
        <w:numPr>
          <w:ilvl w:val="0"/>
          <w:numId w:val="1014"/>
        </w:numPr>
        <w:pStyle w:val="Compact"/>
      </w:pPr>
      <w:r>
        <w:t xml:space="preserve">crédito acadêmico ou credencial;</w:t>
      </w:r>
    </w:p>
    <w:p>
      <w:pPr>
        <w:numPr>
          <w:ilvl w:val="0"/>
          <w:numId w:val="1014"/>
        </w:numPr>
        <w:pStyle w:val="Compact"/>
      </w:pPr>
      <w:r>
        <w:t xml:space="preserve">portabilidade; e</w:t>
      </w:r>
    </w:p>
    <w:p>
      <w:pPr>
        <w:numPr>
          <w:ilvl w:val="0"/>
          <w:numId w:val="1014"/>
        </w:numPr>
        <w:pStyle w:val="Compact"/>
      </w:pPr>
      <w:r>
        <w:t xml:space="preserve">o que ocorre se o empregador encerrar o programa.</w:t>
      </w:r>
    </w:p>
    <w:p>
      <w:pPr>
        <w:pStyle w:val="FirstParagraph"/>
      </w:pPr>
      <w:r>
        <w:t xml:space="preserve">No Canadá e na América Latina, avalie apprenticeships, estágios, práticas, educação cooperativa, funções de trainee e programas de transição do empregador conforme seu real status jurídico e educacional.</w:t>
      </w:r>
    </w:p>
    <w:bookmarkEnd w:id="51"/>
    <w:bookmarkStart w:id="52" w:name="Xb4448059ca8c75c1f40c2275dae7a0923614381"/>
    <w:p>
      <w:pPr>
        <w:pStyle w:val="Heading2"/>
      </w:pPr>
      <w:r>
        <w:t xml:space="preserve">10. Aprendizagem apoiada pelo empregador e acordos de reembolso</w:t>
      </w:r>
    </w:p>
    <w:p>
      <w:pPr>
        <w:pStyle w:val="FirstParagraph"/>
      </w:pPr>
      <w:r>
        <w:t xml:space="preserve">Empregadores podem oferecer treinamento pago diretamente, reembolso de mensalidades, taxas de certificação, tempo de estudo remunerado, mentoria, treinamento em software, bolsas ou assistência educacional perdoável.</w:t>
      </w:r>
    </w:p>
    <w:p>
      <w:pPr>
        <w:pStyle w:val="BodyText"/>
      </w:pPr>
      <w:r>
        <w:t xml:space="preserve">Antes de aceitar, obtenha por escrito:</w:t>
      </w:r>
    </w:p>
    <w:p>
      <w:pPr>
        <w:numPr>
          <w:ilvl w:val="0"/>
          <w:numId w:val="1015"/>
        </w:numPr>
        <w:pStyle w:val="Compact"/>
      </w:pPr>
      <w:r>
        <w:t xml:space="preserve">despesas cobertas e limite máximo;</w:t>
      </w:r>
    </w:p>
    <w:p>
      <w:pPr>
        <w:numPr>
          <w:ilvl w:val="0"/>
          <w:numId w:val="1015"/>
        </w:numPr>
        <w:pStyle w:val="Compact"/>
      </w:pPr>
      <w:r>
        <w:t xml:space="preserve">pagamento direto versus reembolso;</w:t>
      </w:r>
    </w:p>
    <w:p>
      <w:pPr>
        <w:numPr>
          <w:ilvl w:val="0"/>
          <w:numId w:val="1015"/>
        </w:numPr>
        <w:pStyle w:val="Compact"/>
      </w:pPr>
      <w:r>
        <w:t xml:space="preserve">requisitos de nota, exame, presença ou desempenho;</w:t>
      </w:r>
    </w:p>
    <w:p>
      <w:pPr>
        <w:numPr>
          <w:ilvl w:val="0"/>
          <w:numId w:val="1015"/>
        </w:numPr>
        <w:pStyle w:val="Compact"/>
      </w:pPr>
      <w:r>
        <w:t xml:space="preserve">período de emprego exigido, se houver;</w:t>
      </w:r>
    </w:p>
    <w:p>
      <w:pPr>
        <w:numPr>
          <w:ilvl w:val="0"/>
          <w:numId w:val="1015"/>
        </w:numPr>
        <w:pStyle w:val="Compact"/>
      </w:pPr>
      <w:r>
        <w:t xml:space="preserve">quando qualquer período de serviço começa;</w:t>
      </w:r>
    </w:p>
    <w:p>
      <w:pPr>
        <w:numPr>
          <w:ilvl w:val="0"/>
          <w:numId w:val="1015"/>
        </w:numPr>
        <w:pStyle w:val="Compact"/>
      </w:pPr>
      <w:r>
        <w:t xml:space="preserve">regras de reembolso proporcional ou total;</w:t>
      </w:r>
    </w:p>
    <w:p>
      <w:pPr>
        <w:numPr>
          <w:ilvl w:val="0"/>
          <w:numId w:val="1015"/>
        </w:numPr>
        <w:pStyle w:val="Compact"/>
      </w:pPr>
      <w:r>
        <w:t xml:space="preserve">tratamento de demissão, eliminação de cargo, fechamento, deficiência, ativação militar, aposentadoria, morte ou transferência determinada pelo empregador;</w:t>
      </w:r>
    </w:p>
    <w:p>
      <w:pPr>
        <w:numPr>
          <w:ilvl w:val="0"/>
          <w:numId w:val="1015"/>
        </w:numPr>
        <w:pStyle w:val="Compact"/>
      </w:pPr>
      <w:r>
        <w:t xml:space="preserve">se descontos em folha ou verbas finais são autorizados e legais; e</w:t>
      </w:r>
    </w:p>
    <w:p>
      <w:pPr>
        <w:numPr>
          <w:ilvl w:val="0"/>
          <w:numId w:val="1015"/>
        </w:numPr>
        <w:pStyle w:val="Compact"/>
      </w:pPr>
      <w:r>
        <w:t xml:space="preserve">propriedade de históricos, registros de treinamento, certificados e credenciais.</w:t>
      </w:r>
    </w:p>
    <w:p>
      <w:pPr>
        <w:pStyle w:val="FirstParagraph"/>
      </w:pPr>
      <w:r>
        <w:t xml:space="preserve">Não presuma que o reembolso seja automaticamente dispensado após demissão ou reestruturação. Obtenha o acordo aplicável e busque orientação qualificada quando as consequências financeiras forem relevantes.</w:t>
      </w:r>
    </w:p>
    <w:bookmarkEnd w:id="52"/>
    <w:bookmarkStart w:id="53" w:name="X82ecbe752fecbd2a3772d86fdb08f116ce408b0"/>
    <w:p>
      <w:pPr>
        <w:pStyle w:val="Heading2"/>
      </w:pPr>
      <w:r>
        <w:t xml:space="preserve">11. Acessibilidade e inclusão</w:t>
      </w:r>
    </w:p>
    <w:p>
      <w:pPr>
        <w:pStyle w:val="FirstParagraph"/>
      </w:pPr>
      <w:r>
        <w:t xml:space="preserve">A acessibilidade deve ser verificada em toda a trajetória, não apenas na admissão.</w:t>
      </w:r>
    </w:p>
    <w:p>
      <w:pPr>
        <w:pStyle w:val="BodyText"/>
      </w:pPr>
      <w:r>
        <w:t xml:space="preserve">Necessidades possíveis incluem documentos acessíveis, compatibilidade com leitores de tela, legendas, intérpretes, ambientes silenciosos para prova, horários flexíveis, equipamento ergonômico, métodos alternativos de treinamento, acesso de mobilidade, transporte acessível, apoio linguístico, tempo adicional de processamento quando permitido e adaptações relacionadas à deficiência.</w:t>
      </w:r>
    </w:p>
    <w:p>
      <w:pPr>
        <w:pStyle w:val="BodyText"/>
      </w:pPr>
      <w:r>
        <w:t xml:space="preserve">Escola, empregador, organismo certificador, fornecedor de prova, patrocinador de aprendizagem e órgão público podem ter processos separados de adaptação. Pergunte com antecedência suficiente para entender documentação e recursos de apelação, evitando revelar informações além do necessário.</w:t>
      </w:r>
    </w:p>
    <w:bookmarkEnd w:id="53"/>
    <w:bookmarkStart w:id="54" w:name="X0d43ac31f409063dc07b1d463b85e0906b9d960"/>
    <w:p>
      <w:pPr>
        <w:pStyle w:val="Heading2"/>
      </w:pPr>
      <w:r>
        <w:t xml:space="preserve">12. Privacidade, cibersegurança e IA ética</w:t>
      </w:r>
    </w:p>
    <w:p>
      <w:pPr>
        <w:pStyle w:val="FirstParagraph"/>
      </w:pPr>
      <w:r>
        <w:t xml:space="preserve">Profissionais de escrituração e folha podem lidar com informações altamente sensíveis, incluindo dados bancários, identificadores tributários, salários, deduções, penhoras, escolhas de benefícios, endereços, datas de nascimento, faturas, instruções de pagamento, números de conta e informações financeiras empresariais.</w:t>
      </w:r>
    </w:p>
    <w:p>
      <w:pPr>
        <w:pStyle w:val="BodyText"/>
      </w:pPr>
      <w:r>
        <w:t xml:space="preserve">Use somente sistemas, dispositivos, contas, armazenamento, mensagens, transferência de arquivos e ferramentas de IA aprovados pelo empregador. Nunca cole informações confidenciais de empregados, folha, banco, tributos, fornecedor, cliente ou empregador em um serviço público de IA, a menos que o empregador tenha autorizado explicitamente tanto o serviço quanto o uso desses dados.</w:t>
      </w:r>
    </w:p>
    <w:p>
      <w:pPr>
        <w:pStyle w:val="BodyText"/>
      </w:pPr>
      <w:r>
        <w:t xml:space="preserve">Use autenticação multifator quando exigida ou disponível. Proteja senhas, identificadores pessoais, dados bancários, registros tributários e credenciais de pagamento. Trate pedidos inesperados para alterar destinos de pagamento ou contas bancárias de empregados como alto risco até verificação por canais aprovados.</w:t>
      </w:r>
    </w:p>
    <w:p>
      <w:pPr>
        <w:pStyle w:val="BodyText"/>
      </w:pPr>
      <w:r>
        <w:t xml:space="preserve">A IA pode apoiar redação genérica, exercícios de treinamento com dados fictícios, explicação de fórmulas ou documentação de fluxo quando permitido, mas não deve fabricar transações, lançamentos de folha, aprovações, conclusões tributárias, conciliações, evidência de auditoria ou registros de empregados. Verifique informação factual gerada por IA antes de utilizá-la.</w:t>
      </w:r>
    </w:p>
    <w:bookmarkEnd w:id="54"/>
    <w:bookmarkStart w:id="55" w:name="X153553dc392c6fe8ce4e00f27e6c45b28894b56"/>
    <w:p>
      <w:pPr>
        <w:pStyle w:val="Heading2"/>
      </w:pPr>
      <w:r>
        <w:t xml:space="preserve">13. Construa evidências de capacidade</w:t>
      </w:r>
    </w:p>
    <w:p>
      <w:pPr>
        <w:pStyle w:val="FirstParagraph"/>
      </w:pPr>
      <w:r>
        <w:t xml:space="preserve">Trabalhos de portfólio éticos podem demonstrar julgamento sem expor dados confidenciais reais. Exemplos:</w:t>
      </w:r>
    </w:p>
    <w:p>
      <w:pPr>
        <w:numPr>
          <w:ilvl w:val="0"/>
          <w:numId w:val="1016"/>
        </w:numPr>
        <w:pStyle w:val="Compact"/>
      </w:pPr>
      <w:r>
        <w:t xml:space="preserve">uma conciliação bancária fictícia com itens conciliatórios documentados;</w:t>
      </w:r>
    </w:p>
    <w:p>
      <w:pPr>
        <w:numPr>
          <w:ilvl w:val="0"/>
          <w:numId w:val="1016"/>
        </w:numPr>
        <w:pStyle w:val="Compact"/>
      </w:pPr>
      <w:r>
        <w:t xml:space="preserve">uma lista fictícia de fechamento mensal;</w:t>
      </w:r>
    </w:p>
    <w:p>
      <w:pPr>
        <w:numPr>
          <w:ilvl w:val="0"/>
          <w:numId w:val="1016"/>
        </w:numPr>
        <w:pStyle w:val="Compact"/>
      </w:pPr>
      <w:r>
        <w:t xml:space="preserve">lançamentos contábeis de exemplo com requisitos de aprovação e suporte;</w:t>
      </w:r>
    </w:p>
    <w:p>
      <w:pPr>
        <w:numPr>
          <w:ilvl w:val="0"/>
          <w:numId w:val="1016"/>
        </w:numPr>
        <w:pStyle w:val="Compact"/>
      </w:pPr>
      <w:r>
        <w:t xml:space="preserve">uma folha fictícia e revisão de exceções;</w:t>
      </w:r>
    </w:p>
    <w:p>
      <w:pPr>
        <w:numPr>
          <w:ilvl w:val="0"/>
          <w:numId w:val="1016"/>
        </w:numPr>
        <w:pStyle w:val="Compact"/>
      </w:pPr>
      <w:r>
        <w:t xml:space="preserve">um walkthrough de controle para mudanças de dados bancários de fornecedor ou empregado;</w:t>
      </w:r>
    </w:p>
    <w:p>
      <w:pPr>
        <w:numPr>
          <w:ilvl w:val="0"/>
          <w:numId w:val="1016"/>
        </w:numPr>
        <w:pStyle w:val="Compact"/>
      </w:pPr>
      <w:r>
        <w:t xml:space="preserve">uma planilha com fórmulas, validação, checagens de erro e totais de conciliação; e</w:t>
      </w:r>
    </w:p>
    <w:p>
      <w:pPr>
        <w:numPr>
          <w:ilvl w:val="0"/>
          <w:numId w:val="1016"/>
        </w:numPr>
        <w:pStyle w:val="Compact"/>
      </w:pPr>
      <w:r>
        <w:t xml:space="preserve">comparação de dois caminhos de treinamento com critérios documentados de custo, reconhecimento e portabilidade.</w:t>
      </w:r>
    </w:p>
    <w:p>
      <w:pPr>
        <w:pStyle w:val="FirstParagraph"/>
      </w:pPr>
      <w:r>
        <w:t xml:space="preserve">Use dados fictícios, públicos ou totalmente sanitizados. Explique o problema, sua função, processo, controles, resultado e aprendizado. Não exponha material proprietário nem atribua resultados da equipe como trabalho individual.</w:t>
      </w:r>
    </w:p>
    <w:bookmarkEnd w:id="55"/>
    <w:bookmarkStart w:id="56" w:name="X6017ce7a740d76113af7c50ec835b9dcf7a7422"/>
    <w:p>
      <w:pPr>
        <w:pStyle w:val="Heading2"/>
      </w:pPr>
      <w:r>
        <w:t xml:space="preserve">14. Preparação para entrevistas</w:t>
      </w:r>
    </w:p>
    <w:p>
      <w:pPr>
        <w:pStyle w:val="FirstParagraph"/>
      </w:pPr>
      <w:r>
        <w:t xml:space="preserve">Prepare exemplos concisos para perguntas como:</w:t>
      </w:r>
    </w:p>
    <w:p>
      <w:pPr>
        <w:numPr>
          <w:ilvl w:val="0"/>
          <w:numId w:val="1017"/>
        </w:numPr>
        <w:pStyle w:val="Compact"/>
      </w:pPr>
      <w:r>
        <w:t xml:space="preserve">Como você investiga uma diferença de conciliação sem explicação?</w:t>
      </w:r>
    </w:p>
    <w:p>
      <w:pPr>
        <w:numPr>
          <w:ilvl w:val="0"/>
          <w:numId w:val="1017"/>
        </w:numPr>
        <w:pStyle w:val="Compact"/>
      </w:pPr>
      <w:r>
        <w:t xml:space="preserve">Quais controles reduzem fraude de folha ou mudanças não autorizadas?</w:t>
      </w:r>
    </w:p>
    <w:p>
      <w:pPr>
        <w:numPr>
          <w:ilvl w:val="0"/>
          <w:numId w:val="1017"/>
        </w:numPr>
        <w:pStyle w:val="Compact"/>
      </w:pPr>
      <w:r>
        <w:t xml:space="preserve">Como você verifica uma mudança na conta bancária de um empregado?</w:t>
      </w:r>
    </w:p>
    <w:p>
      <w:pPr>
        <w:numPr>
          <w:ilvl w:val="0"/>
          <w:numId w:val="1017"/>
        </w:numPr>
        <w:pStyle w:val="Compact"/>
      </w:pPr>
      <w:r>
        <w:t xml:space="preserve">Como protege informações financeiras e de empregados?</w:t>
      </w:r>
    </w:p>
    <w:p>
      <w:pPr>
        <w:numPr>
          <w:ilvl w:val="0"/>
          <w:numId w:val="1017"/>
        </w:numPr>
        <w:pStyle w:val="Compact"/>
      </w:pPr>
      <w:r>
        <w:t xml:space="preserve">O que faz quando um gerente pede um lançamento sem suporte adequado?</w:t>
      </w:r>
    </w:p>
    <w:p>
      <w:pPr>
        <w:numPr>
          <w:ilvl w:val="0"/>
          <w:numId w:val="1017"/>
        </w:numPr>
        <w:pStyle w:val="Compact"/>
      </w:pPr>
      <w:r>
        <w:t xml:space="preserve">Como lida com um erro de folha descoberto após o processamento?</w:t>
      </w:r>
    </w:p>
    <w:p>
      <w:pPr>
        <w:numPr>
          <w:ilvl w:val="0"/>
          <w:numId w:val="1017"/>
        </w:numPr>
        <w:pStyle w:val="Compact"/>
      </w:pPr>
      <w:r>
        <w:t xml:space="preserve">Como usa automação sem perder consciência dos controles?</w:t>
      </w:r>
    </w:p>
    <w:p>
      <w:pPr>
        <w:pStyle w:val="FirstParagraph"/>
      </w:pPr>
      <w:r>
        <w:t xml:space="preserve">Respostas fortes mostram situação, responsabilidade, ação, evidência, controle ou limite e resultado. Não invente autoridade contábil, conhecimento tributário, credenciais, economias, descobertas de fraude ou resultados.</w:t>
      </w:r>
    </w:p>
    <w:bookmarkEnd w:id="56"/>
    <w:bookmarkStart w:id="60" w:name="X4a42470abb1bf06cb62d9231a8220ee2853582f"/>
    <w:p>
      <w:pPr>
        <w:pStyle w:val="Heading2"/>
      </w:pPr>
      <w:r>
        <w:t xml:space="preserve">15. Primeiros 30, 60 e 90 dias</w:t>
      </w:r>
    </w:p>
    <w:bookmarkStart w:id="57" w:name="primeiros-30-dias"/>
    <w:p>
      <w:pPr>
        <w:pStyle w:val="Heading3"/>
      </w:pPr>
      <w:r>
        <w:t xml:space="preserve">Primeiros 30 dias</w:t>
      </w:r>
    </w:p>
    <w:p>
      <w:pPr>
        <w:pStyle w:val="FirstParagraph"/>
      </w:pPr>
      <w:r>
        <w:t xml:space="preserve">Aprenda o plano de contas, calendário da folha, matriz de aprovação, sistemas, controles de acesso, classificação de dados, padrões de conciliação, regras de retenção, procedimentos de escalonamento, adaptações e expectativas de qualidade. Esclareça quais transações e alterações pode executar de forma independente e quais exigem aprovação.</w:t>
      </w:r>
    </w:p>
    <w:bookmarkEnd w:id="57"/>
    <w:bookmarkStart w:id="58" w:name="dias-3160"/>
    <w:p>
      <w:pPr>
        <w:pStyle w:val="Heading3"/>
      </w:pPr>
      <w:r>
        <w:t xml:space="preserve">Dias 31–60</w:t>
      </w:r>
    </w:p>
    <w:p>
      <w:pPr>
        <w:pStyle w:val="FirstParagraph"/>
      </w:pPr>
      <w:r>
        <w:t xml:space="preserve">Realize trabalho rotineiro com revisão adequada, melhore a qualidade da documentação, concilie contas ou controles de folha atribuídos, peça feedback e aprenda padrões comuns de exceção. Evite criar atalhos não documentados para contornar sistemas ou aprovações.</w:t>
      </w:r>
    </w:p>
    <w:bookmarkEnd w:id="58"/>
    <w:bookmarkStart w:id="59" w:name="dias-6190"/>
    <w:p>
      <w:pPr>
        <w:pStyle w:val="Heading3"/>
      </w:pPr>
      <w:r>
        <w:t xml:space="preserve">Dias 61–90</w:t>
      </w:r>
    </w:p>
    <w:p>
      <w:pPr>
        <w:pStyle w:val="FirstParagraph"/>
      </w:pPr>
      <w:r>
        <w:t xml:space="preserve">Assuma um conjunto mais amplo de atividades rotineiras dentro de sua autoridade, identifique uma melhoria baseada em evidências, documente metas de desenvolvimento profissional e verifique o próximo passo de treinamento ou credencial antes de pagar por ele.</w:t>
      </w:r>
    </w:p>
    <w:bookmarkEnd w:id="59"/>
    <w:bookmarkEnd w:id="60"/>
    <w:bookmarkStart w:id="61" w:name="Xdcff44070500c27949fe7257024019eb00fc35c"/>
    <w:p>
      <w:pPr>
        <w:pStyle w:val="Heading2"/>
      </w:pPr>
      <w:r>
        <w:t xml:space="preserve">16. Progressão, portabilidade e planejamento de saída</w:t>
      </w:r>
    </w:p>
    <w:p>
      <w:pPr>
        <w:pStyle w:val="FirstParagraph"/>
      </w:pPr>
      <w:r>
        <w:t xml:space="preserve">Caminhos possíveis incluem bookkeeper sênior, especialista em folha, analista de folha, especialista em contas a pagar/receber, técnico contábil, suporte de contabilidade, operações financeiras, administração de benefícios, sistemas de RH/folha, suporte de conformidade, suporte de controles internos, gestão de escritório ou educação adicional em contabilidade, finanças, negócios, dados ou recursos humanos.</w:t>
      </w:r>
    </w:p>
    <w:p>
      <w:pPr>
        <w:pStyle w:val="BodyText"/>
      </w:pPr>
      <w:r>
        <w:t xml:space="preserve">Não presuma que experiência em escrituração ou folha qualifique automaticamente para profissão regulada de contabilidade, tributos, auditoria, direito ou consultoria financeira. Essas funções podem exigir educação, prova, licenciamento, registro ou prática profissional separados.</w:t>
      </w:r>
    </w:p>
    <w:p>
      <w:pPr>
        <w:pStyle w:val="BodyText"/>
      </w:pPr>
      <w:r>
        <w:t xml:space="preserve">Guarde cópias de registros de treinamento, certificações, educação continuada, avaliações, treinamento em software, horas de aprendizagem no trabalho quando aplicável, acordos de reembolso, decisões de adaptação e registros de emprego. Antes de se mudar, verifique se alguma credencial é reconhecida na nova jurisdição.</w:t>
      </w:r>
    </w:p>
    <w:p>
      <w:pPr>
        <w:pStyle w:val="BodyText"/>
      </w:pPr>
      <w:r>
        <w:t xml:space="preserve">Para trabalho autônomo, pesquise registro, tributos, contratos, seguro, proteção de dados, preços, manutenção de registros, escopo dos serviços, marketing, administração não remunerada e se a lei local restringe certos serviços contábeis ou tributários.</w:t>
      </w:r>
    </w:p>
    <w:bookmarkEnd w:id="61"/>
    <w:bookmarkStart w:id="62" w:name="Xb3e6229a4e54ad23231207a7c36209915344729"/>
    <w:p>
      <w:pPr>
        <w:pStyle w:val="Heading2"/>
      </w:pPr>
      <w:r>
        <w:t xml:space="preserve">17. Antes de se matricular, pagar ou assinar</w:t>
      </w:r>
    </w:p>
    <w:p>
      <w:pPr>
        <w:pStyle w:val="FirstParagraph"/>
      </w:pPr>
      <w:r>
        <w:t xml:space="preserve">Confirme por escrito:</w:t>
      </w:r>
    </w:p>
    <w:p>
      <w:pPr>
        <w:numPr>
          <w:ilvl w:val="0"/>
          <w:numId w:val="1018"/>
        </w:numPr>
        <w:pStyle w:val="Compact"/>
      </w:pPr>
      <w:r>
        <w:t xml:space="preserve">requisitos exatos legais e do empregador para a função pretendida;</w:t>
      </w:r>
    </w:p>
    <w:p>
      <w:pPr>
        <w:numPr>
          <w:ilvl w:val="0"/>
          <w:numId w:val="1018"/>
        </w:numPr>
        <w:pStyle w:val="Compact"/>
      </w:pPr>
      <w:r>
        <w:t xml:space="preserve">custo total do treinamento;</w:t>
      </w:r>
    </w:p>
    <w:p>
      <w:pPr>
        <w:numPr>
          <w:ilvl w:val="0"/>
          <w:numId w:val="1018"/>
        </w:numPr>
        <w:pStyle w:val="Compact"/>
      </w:pPr>
      <w:r>
        <w:t xml:space="preserve">acreditação institucional ou aprovação, quando relevante;</w:t>
      </w:r>
    </w:p>
    <w:p>
      <w:pPr>
        <w:numPr>
          <w:ilvl w:val="0"/>
          <w:numId w:val="1018"/>
        </w:numPr>
        <w:pStyle w:val="Compact"/>
      </w:pPr>
      <w:r>
        <w:t xml:space="preserve">elegibilidade de certificação e requisitos de renovação;</w:t>
      </w:r>
    </w:p>
    <w:p>
      <w:pPr>
        <w:numPr>
          <w:ilvl w:val="0"/>
          <w:numId w:val="1018"/>
        </w:numPr>
        <w:pStyle w:val="Compact"/>
      </w:pPr>
      <w:r>
        <w:t xml:space="preserve">se a credencial é obrigatória, preferida ou opcional;</w:t>
      </w:r>
    </w:p>
    <w:p>
      <w:pPr>
        <w:numPr>
          <w:ilvl w:val="0"/>
          <w:numId w:val="1018"/>
        </w:numPr>
        <w:pStyle w:val="Compact"/>
      </w:pPr>
      <w:r>
        <w:t xml:space="preserve">regras de transferência e portabilidade;</w:t>
      </w:r>
    </w:p>
    <w:p>
      <w:pPr>
        <w:numPr>
          <w:ilvl w:val="0"/>
          <w:numId w:val="1018"/>
        </w:numPr>
        <w:pStyle w:val="Compact"/>
      </w:pPr>
      <w:r>
        <w:t xml:space="preserve">alegações de colocação e como resultados são medidos;</w:t>
      </w:r>
    </w:p>
    <w:p>
      <w:pPr>
        <w:numPr>
          <w:ilvl w:val="0"/>
          <w:numId w:val="1018"/>
        </w:numPr>
        <w:pStyle w:val="Compact"/>
      </w:pPr>
      <w:r>
        <w:t xml:space="preserve">procedimentos de reembolso e reclamação;</w:t>
      </w:r>
    </w:p>
    <w:p>
      <w:pPr>
        <w:numPr>
          <w:ilvl w:val="0"/>
          <w:numId w:val="1018"/>
        </w:numPr>
        <w:pStyle w:val="Compact"/>
      </w:pPr>
      <w:r>
        <w:t xml:space="preserve">financiamento do empregador e termos de devolução;</w:t>
      </w:r>
    </w:p>
    <w:p>
      <w:pPr>
        <w:numPr>
          <w:ilvl w:val="0"/>
          <w:numId w:val="1018"/>
        </w:numPr>
        <w:pStyle w:val="Compact"/>
      </w:pPr>
      <w:r>
        <w:t xml:space="preserve">impacto de horário, viagens, acessibilidade, tecnologia, segurança e cuidado familiar; e</w:t>
      </w:r>
    </w:p>
    <w:p>
      <w:pPr>
        <w:numPr>
          <w:ilvl w:val="0"/>
          <w:numId w:val="1018"/>
        </w:numPr>
        <w:pStyle w:val="Compact"/>
      </w:pPr>
      <w:r>
        <w:t xml:space="preserve">o que você conserva e o que deve se não puder concluir.</w:t>
      </w:r>
    </w:p>
    <w:bookmarkEnd w:id="62"/>
    <w:bookmarkStart w:id="63" w:name="Xaf97c704ebb2eac9526b1365571ffa985a83a81"/>
    <w:p>
      <w:pPr>
        <w:pStyle w:val="Heading2"/>
      </w:pPr>
      <w:r>
        <w:t xml:space="preserve">18. Plano de ação de doze semanas</w:t>
      </w:r>
    </w:p>
    <w:p>
      <w:pPr>
        <w:pStyle w:val="FirstParagraph"/>
      </w:pPr>
      <w:r>
        <w:rPr>
          <w:bCs/>
          <w:b/>
        </w:rPr>
        <w:t xml:space="preserve">Semanas 1–2:</w:t>
      </w:r>
      <w:r>
        <w:t xml:space="preserve"> </w:t>
      </w:r>
      <w:r>
        <w:t xml:space="preserve">Defina pontos fortes, limitações, necessidades de acesso, limites de horário e condições de trabalho não negociáveis.</w:t>
      </w:r>
    </w:p>
    <w:p>
      <w:pPr>
        <w:pStyle w:val="BodyText"/>
      </w:pPr>
      <w:r>
        <w:rPr>
          <w:bCs/>
          <w:b/>
        </w:rPr>
        <w:t xml:space="preserve">Semanas 3–4:</w:t>
      </w:r>
      <w:r>
        <w:t xml:space="preserve"> </w:t>
      </w:r>
      <w:r>
        <w:t xml:space="preserve">Estude separadamente funções de escrituração e folha, incluindo sistemas, conciliações, privacidade, controles, riscos de fraude e escalonamento.</w:t>
      </w:r>
    </w:p>
    <w:p>
      <w:pPr>
        <w:pStyle w:val="BodyText"/>
      </w:pPr>
      <w:r>
        <w:rPr>
          <w:bCs/>
          <w:b/>
        </w:rPr>
        <w:t xml:space="preserve">Semanas 5–6:</w:t>
      </w:r>
      <w:r>
        <w:t xml:space="preserve"> </w:t>
      </w:r>
      <w:r>
        <w:t xml:space="preserve">Revise vagas locais atuais, títulos exatos, salários, benefícios, requisitos de software, educação, credenciais e experiência.</w:t>
      </w:r>
    </w:p>
    <w:p>
      <w:pPr>
        <w:pStyle w:val="BodyText"/>
      </w:pPr>
      <w:r>
        <w:rPr>
          <w:bCs/>
          <w:b/>
        </w:rPr>
        <w:t xml:space="preserve">Semanas 7–8:</w:t>
      </w:r>
      <w:r>
        <w:t xml:space="preserve"> </w:t>
      </w:r>
      <w:r>
        <w:t xml:space="preserve">Compare treinamento público ou gratuito primeiro, community colleges, SENA ou caminhos públicos equivalentes, treinamento do empregador, credenciais, aprendizagem no trabalho, custos totais e portabilidade.</w:t>
      </w:r>
    </w:p>
    <w:p>
      <w:pPr>
        <w:pStyle w:val="BodyText"/>
      </w:pPr>
      <w:r>
        <w:rPr>
          <w:bCs/>
          <w:b/>
        </w:rPr>
        <w:t xml:space="preserve">Semanas 9–10:</w:t>
      </w:r>
      <w:r>
        <w:t xml:space="preserve"> </w:t>
      </w:r>
      <w:r>
        <w:t xml:space="preserve">Verifique financiamento, bolsas, apoio do empregador, questões tributárias, acordos de reembolso, adaptações e consequências de saída.</w:t>
      </w:r>
    </w:p>
    <w:p>
      <w:pPr>
        <w:pStyle w:val="BodyText"/>
      </w:pPr>
      <w:r>
        <w:rPr>
          <w:bCs/>
          <w:b/>
        </w:rPr>
        <w:t xml:space="preserve">Semanas 11–12:</w:t>
      </w:r>
      <w:r>
        <w:t xml:space="preserve"> </w:t>
      </w:r>
      <w:r>
        <w:t xml:space="preserve">Conclua amostras de trabalho com dados fictícios ou públicos, prepare evidências para currículo e histórias de entrevista e decida se avançará, pausará ou escolherá caminho relacionado.</w:t>
      </w:r>
    </w:p>
    <w:bookmarkEnd w:id="63"/>
    <w:bookmarkStart w:id="66" w:name="Xfa7ec07e627fb1cf73c8c0fee5c047dea434bb7"/>
    <w:p>
      <w:pPr>
        <w:pStyle w:val="Heading2"/>
      </w:pPr>
      <w:r>
        <w:t xml:space="preserve">19. Planilhas de decisão e custos</w:t>
      </w:r>
    </w:p>
    <w:bookmarkStart w:id="64" w:name="matriz-de-decisão-profissional"/>
    <w:p>
      <w:pPr>
        <w:pStyle w:val="Heading3"/>
      </w:pPr>
      <w:r>
        <w:t xml:space="preserve">Matriz de decisão profissional</w:t>
      </w:r>
    </w:p>
    <w:p>
      <w:pPr>
        <w:pStyle w:val="FirstParagraph"/>
      </w:pPr>
      <w:r>
        <w:t xml:space="preserve">Marque cada item como</w:t>
      </w:r>
      <w:r>
        <w:t xml:space="preserve"> </w:t>
      </w:r>
      <w:r>
        <w:rPr>
          <w:bCs/>
          <w:b/>
        </w:rPr>
        <w:t xml:space="preserve">Sim</w:t>
      </w:r>
      <w:r>
        <w:t xml:space="preserve">,</w:t>
      </w:r>
      <w:r>
        <w:t xml:space="preserve"> </w:t>
      </w:r>
      <w:r>
        <w:rPr>
          <w:bCs/>
          <w:b/>
        </w:rPr>
        <w:t xml:space="preserve">Ainda não</w:t>
      </w:r>
      <w:r>
        <w:t xml:space="preserve"> </w:t>
      </w:r>
      <w:r>
        <w:t xml:space="preserve">ou</w:t>
      </w:r>
      <w:r>
        <w:t xml:space="preserve"> </w:t>
      </w:r>
      <w:r>
        <w:rPr>
          <w:bCs/>
          <w:b/>
        </w:rPr>
        <w:t xml:space="preserve">Preocupação importante</w:t>
      </w:r>
      <w:r>
        <w:t xml:space="preserve">:</w:t>
      </w:r>
    </w:p>
    <w:p>
      <w:pPr>
        <w:numPr>
          <w:ilvl w:val="0"/>
          <w:numId w:val="1019"/>
        </w:numPr>
        <w:pStyle w:val="Compact"/>
      </w:pPr>
      <w:r>
        <w:t xml:space="preserve">Entendo a diferença entre funções de escrituração e folha.</w:t>
      </w:r>
    </w:p>
    <w:p>
      <w:pPr>
        <w:numPr>
          <w:ilvl w:val="0"/>
          <w:numId w:val="1019"/>
        </w:numPr>
        <w:pStyle w:val="Compact"/>
      </w:pPr>
      <w:r>
        <w:t xml:space="preserve">Consigo trabalhar com precisão sem contornar controles sob pressão de prazo.</w:t>
      </w:r>
    </w:p>
    <w:p>
      <w:pPr>
        <w:numPr>
          <w:ilvl w:val="0"/>
          <w:numId w:val="1019"/>
        </w:numPr>
        <w:pStyle w:val="Compact"/>
      </w:pPr>
      <w:r>
        <w:t xml:space="preserve">Consigo proteger informações financeiras e de empregados.</w:t>
      </w:r>
    </w:p>
    <w:p>
      <w:pPr>
        <w:numPr>
          <w:ilvl w:val="0"/>
          <w:numId w:val="1019"/>
        </w:numPr>
        <w:pStyle w:val="Compact"/>
      </w:pPr>
      <w:r>
        <w:t xml:space="preserve">Verifiquei os requisitos para o título local exato.</w:t>
      </w:r>
    </w:p>
    <w:p>
      <w:pPr>
        <w:numPr>
          <w:ilvl w:val="0"/>
          <w:numId w:val="1019"/>
        </w:numPr>
        <w:pStyle w:val="Compact"/>
      </w:pPr>
      <w:r>
        <w:t xml:space="preserve">Verifiquei salários e benefícios locais atuais.</w:t>
      </w:r>
    </w:p>
    <w:p>
      <w:pPr>
        <w:numPr>
          <w:ilvl w:val="0"/>
          <w:numId w:val="1019"/>
        </w:numPr>
        <w:pStyle w:val="Compact"/>
      </w:pPr>
      <w:r>
        <w:t xml:space="preserve">O caminho completo é financeiramente viável sem dívida prejudicial.</w:t>
      </w:r>
    </w:p>
    <w:p>
      <w:pPr>
        <w:numPr>
          <w:ilvl w:val="0"/>
          <w:numId w:val="1019"/>
        </w:numPr>
        <w:pStyle w:val="Compact"/>
      </w:pPr>
      <w:r>
        <w:t xml:space="preserve">Entendo os termos de reembolso do empregador.</w:t>
      </w:r>
    </w:p>
    <w:p>
      <w:pPr>
        <w:numPr>
          <w:ilvl w:val="0"/>
          <w:numId w:val="1019"/>
        </w:numPr>
        <w:pStyle w:val="Compact"/>
      </w:pPr>
      <w:r>
        <w:t xml:space="preserve">Todo o caminho é acessível para mim.</w:t>
      </w:r>
    </w:p>
    <w:p>
      <w:pPr>
        <w:numPr>
          <w:ilvl w:val="0"/>
          <w:numId w:val="1019"/>
        </w:numPr>
        <w:pStyle w:val="Compact"/>
      </w:pPr>
      <w:r>
        <w:t xml:space="preserve">O horário e a carga dos ciclos de pico são viáveis.</w:t>
      </w:r>
    </w:p>
    <w:p>
      <w:pPr>
        <w:numPr>
          <w:ilvl w:val="0"/>
          <w:numId w:val="1019"/>
        </w:numPr>
        <w:pStyle w:val="Compact"/>
      </w:pPr>
      <w:r>
        <w:t xml:space="preserve">Entendo o que qualquer credencial me permite e não me permite fazer.</w:t>
      </w:r>
    </w:p>
    <w:p>
      <w:pPr>
        <w:numPr>
          <w:ilvl w:val="0"/>
          <w:numId w:val="1019"/>
        </w:numPr>
        <w:pStyle w:val="Compact"/>
      </w:pPr>
      <w:r>
        <w:t xml:space="preserve">Tenho um plano de progressão e saída.</w:t>
      </w:r>
    </w:p>
    <w:bookmarkEnd w:id="64"/>
    <w:bookmarkStart w:id="65" w:name="planilha-de-custos"/>
    <w:p>
      <w:pPr>
        <w:pStyle w:val="Heading3"/>
      </w:pPr>
      <w:r>
        <w:t xml:space="preserve">Planilha de custos</w:t>
      </w:r>
    </w:p>
    <w:p>
      <w:pPr>
        <w:pStyle w:val="FirstParagraph"/>
      </w:pPr>
      <w:r>
        <w:t xml:space="preserve">Registre uma estimativa, quem pode pagar e a fonte/data verificada para:</w:t>
      </w:r>
    </w:p>
    <w:p>
      <w:pPr>
        <w:numPr>
          <w:ilvl w:val="0"/>
          <w:numId w:val="1020"/>
        </w:numPr>
        <w:pStyle w:val="Compact"/>
      </w:pPr>
      <w:r>
        <w:t xml:space="preserve">mensalidades e taxas;</w:t>
      </w:r>
    </w:p>
    <w:p>
      <w:pPr>
        <w:numPr>
          <w:ilvl w:val="0"/>
          <w:numId w:val="1020"/>
        </w:numPr>
        <w:pStyle w:val="Compact"/>
      </w:pPr>
      <w:r>
        <w:t xml:space="preserve">livros e materiais de treinamento;</w:t>
      </w:r>
    </w:p>
    <w:p>
      <w:pPr>
        <w:numPr>
          <w:ilvl w:val="0"/>
          <w:numId w:val="1020"/>
        </w:numPr>
        <w:pStyle w:val="Compact"/>
      </w:pPr>
      <w:r>
        <w:t xml:space="preserve">software, tecnologia e equipamento;</w:t>
      </w:r>
    </w:p>
    <w:p>
      <w:pPr>
        <w:numPr>
          <w:ilvl w:val="0"/>
          <w:numId w:val="1020"/>
        </w:numPr>
        <w:pStyle w:val="Compact"/>
      </w:pPr>
      <w:r>
        <w:t xml:space="preserve">provas, certificações, renovações e educação continuada;</w:t>
      </w:r>
    </w:p>
    <w:p>
      <w:pPr>
        <w:numPr>
          <w:ilvl w:val="0"/>
          <w:numId w:val="1020"/>
        </w:numPr>
        <w:pStyle w:val="Compact"/>
      </w:pPr>
      <w:r>
        <w:t xml:space="preserve">verificações de antecedentes ou documentação exigida;</w:t>
      </w:r>
    </w:p>
    <w:p>
      <w:pPr>
        <w:numPr>
          <w:ilvl w:val="0"/>
          <w:numId w:val="1020"/>
        </w:numPr>
        <w:pStyle w:val="Compact"/>
      </w:pPr>
      <w:r>
        <w:t xml:space="preserve">viagens, estacionamento, moradia e alimentação;</w:t>
      </w:r>
    </w:p>
    <w:p>
      <w:pPr>
        <w:numPr>
          <w:ilvl w:val="0"/>
          <w:numId w:val="1020"/>
        </w:numPr>
        <w:pStyle w:val="Compact"/>
      </w:pPr>
      <w:r>
        <w:t xml:space="preserve">cuidado de crianças ou idosos;</w:t>
      </w:r>
    </w:p>
    <w:p>
      <w:pPr>
        <w:numPr>
          <w:ilvl w:val="0"/>
          <w:numId w:val="1020"/>
        </w:numPr>
        <w:pStyle w:val="Compact"/>
      </w:pPr>
      <w:r>
        <w:t xml:space="preserve">renda perdida ou redução de horas; e</w:t>
      </w:r>
    </w:p>
    <w:p>
      <w:pPr>
        <w:numPr>
          <w:ilvl w:val="0"/>
          <w:numId w:val="1020"/>
        </w:numPr>
        <w:pStyle w:val="Compact"/>
      </w:pPr>
      <w:r>
        <w:t xml:space="preserve">qualquer obrigação de reembolso ao empregador.</w:t>
      </w:r>
    </w:p>
    <w:p>
      <w:r>
        <w:pict>
          <v:rect style="width:0;height:1.5pt" o:hralign="center" o:hrstd="t" o:hr="t"/>
        </w:pict>
      </w:r>
    </w:p>
    <w:bookmarkEnd w:id="65"/>
    <w:bookmarkEnd w:id="66"/>
    <w:bookmarkEnd w:id="67"/>
    <w:bookmarkStart w:id="94" w:name="X6c1b028a98a0cdfa68e3d69fb09bba7b394d68c"/>
    <w:p>
      <w:pPr>
        <w:pStyle w:val="Heading1"/>
      </w:pPr>
      <w:r>
        <w:t xml:space="preserve">Registro controlado de fontes — revisado em agosto de 2026</w:t>
      </w:r>
    </w:p>
    <w:p>
      <w:pPr>
        <w:pStyle w:val="FirstParagraph"/>
      </w:pPr>
      <w:r>
        <w:t xml:space="preserve">O QA de publicação deve verificar novamente datas e links antes da liberação.</w:t>
      </w:r>
    </w:p>
    <w:bookmarkStart w:id="74" w:name="fontes-oficiais-dos-estados-unidos"/>
    <w:p>
      <w:pPr>
        <w:pStyle w:val="Heading2"/>
      </w:pPr>
      <w:r>
        <w:t xml:space="preserve">Fontes oficiais dos Estados Unidos</w:t>
      </w:r>
    </w:p>
    <w:p>
      <w:pPr>
        <w:numPr>
          <w:ilvl w:val="0"/>
          <w:numId w:val="1021"/>
        </w:numPr>
        <w:pStyle w:val="Compact"/>
      </w:pPr>
      <w:r>
        <w:t xml:space="preserve">U.S. Bureau of Labor Statistics — Bookkeeping, Accounting, and Auditing Clerks:</w:t>
      </w:r>
      <w:r>
        <w:t xml:space="preserve"> </w:t>
      </w:r>
      <w:hyperlink r:id="rId68">
        <w:r>
          <w:rPr>
            <w:rStyle w:val="Hyperlink"/>
          </w:rPr>
          <w:t xml:space="preserve">https://www.bls.gov/ooh/office-and-administrative-support/bookkeeping-accounting-and-auditing-clerks.htm</w:t>
        </w:r>
      </w:hyperlink>
    </w:p>
    <w:p>
      <w:pPr>
        <w:numPr>
          <w:ilvl w:val="0"/>
          <w:numId w:val="1021"/>
        </w:numPr>
        <w:pStyle w:val="Compact"/>
      </w:pPr>
      <w:r>
        <w:t xml:space="preserve">U.S. Bureau of Labor Statistics — Financial Clerks:</w:t>
      </w:r>
      <w:r>
        <w:t xml:space="preserve"> </w:t>
      </w:r>
      <w:hyperlink r:id="rId69">
        <w:r>
          <w:rPr>
            <w:rStyle w:val="Hyperlink"/>
          </w:rPr>
          <w:t xml:space="preserve">https://www.bls.gov/ooh/office-and-administrative-support/financial-clerks.htm</w:t>
        </w:r>
      </w:hyperlink>
    </w:p>
    <w:p>
      <w:pPr>
        <w:numPr>
          <w:ilvl w:val="0"/>
          <w:numId w:val="1021"/>
        </w:numPr>
        <w:pStyle w:val="Compact"/>
      </w:pPr>
      <w:r>
        <w:t xml:space="preserve">IRS — Section 127 educational assistance FAQs:</w:t>
      </w:r>
      <w:r>
        <w:t xml:space="preserve"> </w:t>
      </w:r>
      <w:hyperlink r:id="rId70">
        <w:r>
          <w:rPr>
            <w:rStyle w:val="Hyperlink"/>
          </w:rPr>
          <w:t xml:space="preserve">https://www.irs.gov/newsroom/irs-updates-frequently-asked-questions-about-section-127-educational-assistance-programs</w:t>
        </w:r>
      </w:hyperlink>
    </w:p>
    <w:p>
      <w:pPr>
        <w:numPr>
          <w:ilvl w:val="0"/>
          <w:numId w:val="1021"/>
        </w:numPr>
        <w:pStyle w:val="Compact"/>
      </w:pPr>
      <w:r>
        <w:t xml:space="preserve">Apprenticeship.gov:</w:t>
      </w:r>
      <w:r>
        <w:t xml:space="preserve"> </w:t>
      </w:r>
      <w:hyperlink r:id="rId71">
        <w:r>
          <w:rPr>
            <w:rStyle w:val="Hyperlink"/>
          </w:rPr>
          <w:t xml:space="preserve">https://www.apprenticeship.gov/</w:t>
        </w:r>
      </w:hyperlink>
    </w:p>
    <w:p>
      <w:pPr>
        <w:numPr>
          <w:ilvl w:val="0"/>
          <w:numId w:val="1021"/>
        </w:numPr>
        <w:pStyle w:val="Compact"/>
      </w:pPr>
      <w:r>
        <w:t xml:space="preserve">CareerOneStop / American Job Centers:</w:t>
      </w:r>
      <w:r>
        <w:t xml:space="preserve"> </w:t>
      </w:r>
      <w:hyperlink r:id="rId72">
        <w:r>
          <w:rPr>
            <w:rStyle w:val="Hyperlink"/>
          </w:rPr>
          <w:t xml:space="preserve">https://www.careeronestop.org/LocalHelp/AmericanJobCenters/american-job-centers.aspx</w:t>
        </w:r>
      </w:hyperlink>
    </w:p>
    <w:p>
      <w:pPr>
        <w:numPr>
          <w:ilvl w:val="0"/>
          <w:numId w:val="1021"/>
        </w:numPr>
        <w:pStyle w:val="Compact"/>
      </w:pPr>
      <w:r>
        <w:t xml:space="preserve">Federal Student Aid:</w:t>
      </w:r>
      <w:r>
        <w:t xml:space="preserve"> </w:t>
      </w:r>
      <w:hyperlink r:id="rId73">
        <w:r>
          <w:rPr>
            <w:rStyle w:val="Hyperlink"/>
          </w:rPr>
          <w:t xml:space="preserve">https://studentaid.gov/</w:t>
        </w:r>
      </w:hyperlink>
    </w:p>
    <w:bookmarkEnd w:id="74"/>
    <w:bookmarkStart w:id="77" w:name="Xbc085506f64d192a64d966082f76f87f3cd3f10"/>
    <w:p>
      <w:pPr>
        <w:pStyle w:val="Heading2"/>
      </w:pPr>
      <w:r>
        <w:t xml:space="preserve">Fontes de mercado não governamentais dos Estados Unidos</w:t>
      </w:r>
    </w:p>
    <w:p>
      <w:pPr>
        <w:numPr>
          <w:ilvl w:val="0"/>
          <w:numId w:val="1022"/>
        </w:numPr>
        <w:pStyle w:val="Compact"/>
      </w:pPr>
      <w:r>
        <w:t xml:space="preserve">ZipRecruiter — Bookkeeper Salary:</w:t>
      </w:r>
      <w:r>
        <w:t xml:space="preserve"> </w:t>
      </w:r>
      <w:hyperlink r:id="rId75">
        <w:r>
          <w:rPr>
            <w:rStyle w:val="Hyperlink"/>
          </w:rPr>
          <w:t xml:space="preserve">https://www.ziprecruiter.com/Salaries/Bookkeeper-Salary</w:t>
        </w:r>
      </w:hyperlink>
    </w:p>
    <w:p>
      <w:pPr>
        <w:numPr>
          <w:ilvl w:val="0"/>
          <w:numId w:val="1022"/>
        </w:numPr>
        <w:pStyle w:val="Compact"/>
      </w:pPr>
      <w:r>
        <w:t xml:space="preserve">ZipRecruiter — Payroll Specialist Salary:</w:t>
      </w:r>
      <w:r>
        <w:t xml:space="preserve"> </w:t>
      </w:r>
      <w:hyperlink r:id="rId76">
        <w:r>
          <w:rPr>
            <w:rStyle w:val="Hyperlink"/>
          </w:rPr>
          <w:t xml:space="preserve">https://www.ziprecruiter.com/Salaries/Payroll-Specialist-Salary</w:t>
        </w:r>
      </w:hyperlink>
    </w:p>
    <w:bookmarkEnd w:id="77"/>
    <w:bookmarkStart w:id="81" w:name="fontes-de-credenciais-do-setor-de-folha"/>
    <w:p>
      <w:pPr>
        <w:pStyle w:val="Heading2"/>
      </w:pPr>
      <w:r>
        <w:t xml:space="preserve">Fontes de credenciais do setor de folha</w:t>
      </w:r>
    </w:p>
    <w:p>
      <w:pPr>
        <w:numPr>
          <w:ilvl w:val="0"/>
          <w:numId w:val="1023"/>
        </w:numPr>
        <w:pStyle w:val="Compact"/>
      </w:pPr>
      <w:r>
        <w:t xml:space="preserve">PayrollOrg — FPC learning path:</w:t>
      </w:r>
      <w:r>
        <w:t xml:space="preserve"> </w:t>
      </w:r>
      <w:hyperlink r:id="rId78">
        <w:r>
          <w:rPr>
            <w:rStyle w:val="Hyperlink"/>
          </w:rPr>
          <w:t xml:space="preserve">https://payroll.org/education-certification/education/learning-paths/fpc-certification</w:t>
        </w:r>
      </w:hyperlink>
    </w:p>
    <w:p>
      <w:pPr>
        <w:numPr>
          <w:ilvl w:val="0"/>
          <w:numId w:val="1023"/>
        </w:numPr>
        <w:pStyle w:val="Compact"/>
      </w:pPr>
      <w:r>
        <w:t xml:space="preserve">PayrollOrg — CPP learning path:</w:t>
      </w:r>
      <w:r>
        <w:t xml:space="preserve"> </w:t>
      </w:r>
      <w:hyperlink r:id="rId79">
        <w:r>
          <w:rPr>
            <w:rStyle w:val="Hyperlink"/>
          </w:rPr>
          <w:t xml:space="preserve">https://payroll.org/education-certification/education/learning-paths/cpp-certification</w:t>
        </w:r>
      </w:hyperlink>
    </w:p>
    <w:p>
      <w:pPr>
        <w:numPr>
          <w:ilvl w:val="0"/>
          <w:numId w:val="1023"/>
        </w:numPr>
        <w:pStyle w:val="Compact"/>
      </w:pPr>
      <w:r>
        <w:t xml:space="preserve">PayrollOrg — certification overview:</w:t>
      </w:r>
      <w:r>
        <w:t xml:space="preserve"> </w:t>
      </w:r>
      <w:hyperlink r:id="rId80">
        <w:r>
          <w:rPr>
            <w:rStyle w:val="Hyperlink"/>
          </w:rPr>
          <w:t xml:space="preserve">https://payroll.org/certification/certification/overview</w:t>
        </w:r>
      </w:hyperlink>
    </w:p>
    <w:p>
      <w:pPr>
        <w:pStyle w:val="FirstParagraph"/>
      </w:pPr>
      <w:r>
        <w:t xml:space="preserve">Essas são credenciais privadas do setor e não são apresentadas como licenças governamentais.</w:t>
      </w:r>
    </w:p>
    <w:bookmarkEnd w:id="81"/>
    <w:bookmarkStart w:id="86" w:name="fontes-oficiais-do-canadá"/>
    <w:p>
      <w:pPr>
        <w:pStyle w:val="Heading2"/>
      </w:pPr>
      <w:r>
        <w:t xml:space="preserve">Fontes oficiais do Canadá</w:t>
      </w:r>
    </w:p>
    <w:p>
      <w:pPr>
        <w:numPr>
          <w:ilvl w:val="0"/>
          <w:numId w:val="1024"/>
        </w:numPr>
        <w:pStyle w:val="Compact"/>
      </w:pPr>
      <w:r>
        <w:t xml:space="preserve">Government of Canada Job Bank — Accounting Bookkeeper, NOC 12200 summary:</w:t>
      </w:r>
      <w:r>
        <w:t xml:space="preserve"> </w:t>
      </w:r>
      <w:hyperlink r:id="rId82">
        <w:r>
          <w:rPr>
            <w:rStyle w:val="Hyperlink"/>
          </w:rPr>
          <w:t xml:space="preserve">https://www.jobbank.gc.ca/marketreport/summary-occupation/12564/ca</w:t>
        </w:r>
      </w:hyperlink>
    </w:p>
    <w:p>
      <w:pPr>
        <w:numPr>
          <w:ilvl w:val="0"/>
          <w:numId w:val="1024"/>
        </w:numPr>
        <w:pStyle w:val="Compact"/>
      </w:pPr>
      <w:r>
        <w:t xml:space="preserve">Government of Canada Job Bank — Accounting technicians and bookkeepers wages:</w:t>
      </w:r>
      <w:r>
        <w:t xml:space="preserve"> </w:t>
      </w:r>
      <w:hyperlink r:id="rId83">
        <w:r>
          <w:rPr>
            <w:rStyle w:val="Hyperlink"/>
          </w:rPr>
          <w:t xml:space="preserve">https://www.jobbank.gc.ca/wagereport/occupation/24500</w:t>
        </w:r>
      </w:hyperlink>
    </w:p>
    <w:p>
      <w:pPr>
        <w:numPr>
          <w:ilvl w:val="0"/>
          <w:numId w:val="1024"/>
        </w:numPr>
        <w:pStyle w:val="Compact"/>
      </w:pPr>
      <w:r>
        <w:t xml:space="preserve">Government of Canada Job Bank — Payroll Administrator, NOC 13102 summary:</w:t>
      </w:r>
      <w:r>
        <w:t xml:space="preserve"> </w:t>
      </w:r>
      <w:hyperlink r:id="rId84">
        <w:r>
          <w:rPr>
            <w:rStyle w:val="Hyperlink"/>
          </w:rPr>
          <w:t xml:space="preserve">https://www.jobbank.gc.ca/marketreport/summary-occupation/25792/ca</w:t>
        </w:r>
      </w:hyperlink>
    </w:p>
    <w:p>
      <w:pPr>
        <w:numPr>
          <w:ilvl w:val="0"/>
          <w:numId w:val="1024"/>
        </w:numPr>
        <w:pStyle w:val="Compact"/>
      </w:pPr>
      <w:r>
        <w:t xml:space="preserve">Government of Canada Job Bank — Payroll administrators wages:</w:t>
      </w:r>
      <w:r>
        <w:t xml:space="preserve"> </w:t>
      </w:r>
      <w:hyperlink r:id="rId85">
        <w:r>
          <w:rPr>
            <w:rStyle w:val="Hyperlink"/>
          </w:rPr>
          <w:t xml:space="preserve">https://www.jobbank.gc.ca/wagereport/occupation/1636</w:t>
        </w:r>
      </w:hyperlink>
    </w:p>
    <w:bookmarkEnd w:id="86"/>
    <w:bookmarkStart w:id="92" w:name="rotas-oficiaispúblicas-da-colômbia"/>
    <w:p>
      <w:pPr>
        <w:pStyle w:val="Heading2"/>
      </w:pPr>
      <w:r>
        <w:t xml:space="preserve">Rotas oficiais/públicas da Colômbia</w:t>
      </w:r>
    </w:p>
    <w:p>
      <w:pPr>
        <w:numPr>
          <w:ilvl w:val="0"/>
          <w:numId w:val="1025"/>
        </w:numPr>
        <w:pStyle w:val="Compact"/>
      </w:pPr>
      <w:r>
        <w:t xml:space="preserve">SENA Betowa — Contabilización de operaciones comerciales y financieras:</w:t>
      </w:r>
      <w:r>
        <w:t xml:space="preserve"> </w:t>
      </w:r>
      <w:hyperlink r:id="rId87">
        <w:r>
          <w:rPr>
            <w:rStyle w:val="Hyperlink"/>
          </w:rPr>
          <w:t xml:space="preserve">https://betowa.sena.edu.co/oferta/contabilizacion-de-operaciones-comerciales-y-financieras?enrollCourse=3563012&amp;level=2&amp;modality=V&amp;programId=144294</w:t>
        </w:r>
      </w:hyperlink>
    </w:p>
    <w:p>
      <w:pPr>
        <w:numPr>
          <w:ilvl w:val="0"/>
          <w:numId w:val="1025"/>
        </w:numPr>
        <w:pStyle w:val="Compact"/>
      </w:pPr>
      <w:r>
        <w:t xml:space="preserve">SENA Betowa — Gestión contable y de información financiera:</w:t>
      </w:r>
      <w:r>
        <w:t xml:space="preserve"> </w:t>
      </w:r>
      <w:hyperlink r:id="rId88">
        <w:r>
          <w:rPr>
            <w:rStyle w:val="Hyperlink"/>
          </w:rPr>
          <w:t xml:space="preserve">https://betowa.sena.edu.co/oferta/gestion-contable-y-de-informacion-financiera?enrollCourse=3562997&amp;level=6&amp;modality=V&amp;programId=111215</w:t>
        </w:r>
      </w:hyperlink>
    </w:p>
    <w:p>
      <w:pPr>
        <w:numPr>
          <w:ilvl w:val="0"/>
          <w:numId w:val="1025"/>
        </w:numPr>
        <w:pStyle w:val="Compact"/>
      </w:pPr>
      <w:r>
        <w:t xml:space="preserve">SENA Betowa — Diseño, liquidación y pago de nómina:</w:t>
      </w:r>
      <w:r>
        <w:t xml:space="preserve"> </w:t>
      </w:r>
      <w:hyperlink r:id="rId89">
        <w:r>
          <w:rPr>
            <w:rStyle w:val="Hyperlink"/>
          </w:rPr>
          <w:t xml:space="preserve">https://betowa.sena.edu.co/oferta/diseno-liquidacion-y-pago-de-nomina?programId=140534</w:t>
        </w:r>
      </w:hyperlink>
    </w:p>
    <w:p>
      <w:pPr>
        <w:numPr>
          <w:ilvl w:val="0"/>
          <w:numId w:val="1025"/>
        </w:numPr>
        <w:pStyle w:val="Compact"/>
      </w:pPr>
      <w:r>
        <w:t xml:space="preserve">SENA Betowa — Básico de contabilidad costos y presupuestos:</w:t>
      </w:r>
      <w:r>
        <w:t xml:space="preserve"> </w:t>
      </w:r>
      <w:hyperlink r:id="rId90">
        <w:r>
          <w:rPr>
            <w:rStyle w:val="Hyperlink"/>
          </w:rPr>
          <w:t xml:space="preserve">https://betowa.sena.edu.co/oferta/basico-de-contabilidad-costos-y-presupuestos?modality=P</w:t>
        </w:r>
      </w:hyperlink>
    </w:p>
    <w:p>
      <w:pPr>
        <w:numPr>
          <w:ilvl w:val="0"/>
          <w:numId w:val="1025"/>
        </w:numPr>
        <w:pStyle w:val="Compact"/>
      </w:pPr>
      <w:r>
        <w:t xml:space="preserve">Servicio Público de Empleo:</w:t>
      </w:r>
      <w:r>
        <w:t xml:space="preserve"> </w:t>
      </w:r>
      <w:hyperlink r:id="rId91">
        <w:r>
          <w:rPr>
            <w:rStyle w:val="Hyperlink"/>
          </w:rPr>
          <w:t xml:space="preserve">https://www.serviciodeempleo.gov.co/</w:t>
        </w:r>
      </w:hyperlink>
    </w:p>
    <w:p>
      <w:r>
        <w:pict>
          <v:rect style="width:0;height:1.5pt" o:hralign="center" o:hrstd="t" o:hr="t"/>
        </w:pict>
      </w:r>
    </w:p>
    <w:bookmarkEnd w:id="92"/>
    <w:bookmarkStart w:id="93" w:name="controles-de-versão-e-manutenção"/>
    <w:p>
      <w:pPr>
        <w:pStyle w:val="Heading2"/>
      </w:pPr>
      <w:r>
        <w:t xml:space="preserve">Controles de versão e manutenção</w:t>
      </w:r>
    </w:p>
    <w:p>
      <w:pPr>
        <w:numPr>
          <w:ilvl w:val="0"/>
          <w:numId w:val="1026"/>
        </w:numPr>
        <w:pStyle w:val="Compact"/>
      </w:pPr>
      <w:r>
        <w:rPr>
          <w:bCs/>
          <w:b/>
        </w:rPr>
        <w:t xml:space="preserve">Mestre de trabalho:</w:t>
      </w:r>
      <w:r>
        <w:t xml:space="preserve"> </w:t>
      </w:r>
      <w:r>
        <w:t xml:space="preserve">Versão 2.0, agosto de 2026.</w:t>
      </w:r>
    </w:p>
    <w:p>
      <w:pPr>
        <w:numPr>
          <w:ilvl w:val="0"/>
          <w:numId w:val="1026"/>
        </w:numPr>
        <w:pStyle w:val="Compact"/>
      </w:pPr>
      <w:r>
        <w:t xml:space="preserve">Esta tradução deriva do mestre em inglês controlado e congelado para tradução e não constitui, por si só, artefato publicado.</w:t>
      </w:r>
    </w:p>
    <w:p>
      <w:pPr>
        <w:numPr>
          <w:ilvl w:val="0"/>
          <w:numId w:val="1026"/>
        </w:numPr>
        <w:pStyle w:val="Compact"/>
      </w:pPr>
      <w:r>
        <w:t xml:space="preserve">Dados de salário, perspectiva, tributação, financiamento, aprendizagem, credenciais e links devem ser revalidados antes da publicação.</w:t>
      </w:r>
    </w:p>
    <w:p>
      <w:pPr>
        <w:numPr>
          <w:ilvl w:val="0"/>
          <w:numId w:val="1026"/>
        </w:numPr>
        <w:pStyle w:val="Compact"/>
      </w:pPr>
      <w:r>
        <w:t xml:space="preserve">Esta edição não declara certificação humana independente, certificação profissional de tradução, acreditação, revisão jurídica, revisão tributária ou certificação de acessibilidade.</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betowa.sena.edu.co/oferta/basico-de-contabilidad-costos-y-presupuestos?modality=P" TargetMode="External" /><Relationship Type="http://schemas.openxmlformats.org/officeDocument/2006/relationships/hyperlink" Id="rId87" Target="https://betowa.sena.edu.co/oferta/contabilizacion-de-operaciones-comerciales-y-financieras?enrollCourse=3563012&amp;level=2&amp;modality=V&amp;programId=144294" TargetMode="External" /><Relationship Type="http://schemas.openxmlformats.org/officeDocument/2006/relationships/hyperlink" Id="rId89" Target="https://betowa.sena.edu.co/oferta/diseno-liquidacion-y-pago-de-nomina?programId=140534" TargetMode="External" /><Relationship Type="http://schemas.openxmlformats.org/officeDocument/2006/relationships/hyperlink" Id="rId88" Target="https://betowa.sena.edu.co/oferta/gestion-contable-y-de-informacion-financiera?enrollCourse=3562997&amp;level=6&amp;modality=V&amp;programId=111215" TargetMode="External" /><Relationship Type="http://schemas.openxmlformats.org/officeDocument/2006/relationships/hyperlink" Id="rId80" Target="https://payroll.org/certification/certification/overview" TargetMode="External" /><Relationship Type="http://schemas.openxmlformats.org/officeDocument/2006/relationships/hyperlink" Id="rId79" Target="https://payroll.org/education-certification/education/learning-paths/cpp-certification" TargetMode="External" /><Relationship Type="http://schemas.openxmlformats.org/officeDocument/2006/relationships/hyperlink" Id="rId78" Target="https://payroll.org/education-certification/education/learning-paths/fpc-certification" TargetMode="External" /><Relationship Type="http://schemas.openxmlformats.org/officeDocument/2006/relationships/hyperlink" Id="rId73" Target="https://studentaid.gov/" TargetMode="External" /><Relationship Type="http://schemas.openxmlformats.org/officeDocument/2006/relationships/hyperlink" Id="rId71" Target="https://www.apprenticeship.gov/" TargetMode="External" /><Relationship Type="http://schemas.openxmlformats.org/officeDocument/2006/relationships/hyperlink" Id="rId68" Target="https://www.bls.gov/ooh/office-and-administrative-support/bookkeeping-accounting-and-auditing-clerks.htm" TargetMode="External" /><Relationship Type="http://schemas.openxmlformats.org/officeDocument/2006/relationships/hyperlink" Id="rId69" Target="https://www.bls.gov/ooh/office-and-administrative-support/financial-clerks.htm" TargetMode="External" /><Relationship Type="http://schemas.openxmlformats.org/officeDocument/2006/relationships/hyperlink" Id="rId72" Target="https://www.careeronestop.org/LocalHelp/AmericanJobCenters/american-job-centers.aspx" TargetMode="External" /><Relationship Type="http://schemas.openxmlformats.org/officeDocument/2006/relationships/hyperlink" Id="rId70" Target="https://www.irs.gov/newsroom/irs-updates-frequently-asked-questions-about-section-127-educational-assistance-programs" TargetMode="External" /><Relationship Type="http://schemas.openxmlformats.org/officeDocument/2006/relationships/hyperlink" Id="rId82" Target="https://www.jobbank.gc.ca/marketreport/summary-occupation/12564/ca" TargetMode="External" /><Relationship Type="http://schemas.openxmlformats.org/officeDocument/2006/relationships/hyperlink" Id="rId84" Target="https://www.jobbank.gc.ca/marketreport/summary-occupation/25792/ca" TargetMode="External" /><Relationship Type="http://schemas.openxmlformats.org/officeDocument/2006/relationships/hyperlink" Id="rId85" Target="https://www.jobbank.gc.ca/wagereport/occupation/1636" TargetMode="External" /><Relationship Type="http://schemas.openxmlformats.org/officeDocument/2006/relationships/hyperlink" Id="rId83" Target="https://www.jobbank.gc.ca/wagereport/occupation/24500" TargetMode="External" /><Relationship Type="http://schemas.openxmlformats.org/officeDocument/2006/relationships/hyperlink" Id="rId91" Target="https://www.serviciodeempleo.gov.co/" TargetMode="External" /><Relationship Type="http://schemas.openxmlformats.org/officeDocument/2006/relationships/hyperlink" Id="rId75" Target="https://www.ziprecruiter.com/Salaries/Bookkeeper-Salary" TargetMode="External" /><Relationship Type="http://schemas.openxmlformats.org/officeDocument/2006/relationships/hyperlink" Id="rId76" Target="https://www.ziprecruiter.com/Salaries/Payroll-Specialist-Salary" TargetMode="External" /></Relationships>
</file>

<file path=word/_rels/footnotes.xml.rels><?xml version="1.0" encoding="UTF-8"?><Relationships xmlns="http://schemas.openxmlformats.org/package/2006/relationships"><Relationship Type="http://schemas.openxmlformats.org/officeDocument/2006/relationships/hyperlink" Id="rId90" Target="https://betowa.sena.edu.co/oferta/basico-de-contabilidad-costos-y-presupuestos?modality=P" TargetMode="External" /><Relationship Type="http://schemas.openxmlformats.org/officeDocument/2006/relationships/hyperlink" Id="rId87" Target="https://betowa.sena.edu.co/oferta/contabilizacion-de-operaciones-comerciales-y-financieras?enrollCourse=3563012&amp;level=2&amp;modality=V&amp;programId=144294" TargetMode="External" /><Relationship Type="http://schemas.openxmlformats.org/officeDocument/2006/relationships/hyperlink" Id="rId89" Target="https://betowa.sena.edu.co/oferta/diseno-liquidacion-y-pago-de-nomina?programId=140534" TargetMode="External" /><Relationship Type="http://schemas.openxmlformats.org/officeDocument/2006/relationships/hyperlink" Id="rId88" Target="https://betowa.sena.edu.co/oferta/gestion-contable-y-de-informacion-financiera?enrollCourse=3562997&amp;level=6&amp;modality=V&amp;programId=111215" TargetMode="External" /><Relationship Type="http://schemas.openxmlformats.org/officeDocument/2006/relationships/hyperlink" Id="rId80" Target="https://payroll.org/certification/certification/overview" TargetMode="External" /><Relationship Type="http://schemas.openxmlformats.org/officeDocument/2006/relationships/hyperlink" Id="rId79" Target="https://payroll.org/education-certification/education/learning-paths/cpp-certification" TargetMode="External" /><Relationship Type="http://schemas.openxmlformats.org/officeDocument/2006/relationships/hyperlink" Id="rId78" Target="https://payroll.org/education-certification/education/learning-paths/fpc-certification" TargetMode="External" /><Relationship Type="http://schemas.openxmlformats.org/officeDocument/2006/relationships/hyperlink" Id="rId73" Target="https://studentaid.gov/" TargetMode="External" /><Relationship Type="http://schemas.openxmlformats.org/officeDocument/2006/relationships/hyperlink" Id="rId71" Target="https://www.apprenticeship.gov/" TargetMode="External" /><Relationship Type="http://schemas.openxmlformats.org/officeDocument/2006/relationships/hyperlink" Id="rId68" Target="https://www.bls.gov/ooh/office-and-administrative-support/bookkeeping-accounting-and-auditing-clerks.htm" TargetMode="External" /><Relationship Type="http://schemas.openxmlformats.org/officeDocument/2006/relationships/hyperlink" Id="rId69" Target="https://www.bls.gov/ooh/office-and-administrative-support/financial-clerks.htm" TargetMode="External" /><Relationship Type="http://schemas.openxmlformats.org/officeDocument/2006/relationships/hyperlink" Id="rId72" Target="https://www.careeronestop.org/LocalHelp/AmericanJobCenters/american-job-centers.aspx" TargetMode="External" /><Relationship Type="http://schemas.openxmlformats.org/officeDocument/2006/relationships/hyperlink" Id="rId70" Target="https://www.irs.gov/newsroom/irs-updates-frequently-asked-questions-about-section-127-educational-assistance-programs" TargetMode="External" /><Relationship Type="http://schemas.openxmlformats.org/officeDocument/2006/relationships/hyperlink" Id="rId82" Target="https://www.jobbank.gc.ca/marketreport/summary-occupation/12564/ca" TargetMode="External" /><Relationship Type="http://schemas.openxmlformats.org/officeDocument/2006/relationships/hyperlink" Id="rId84" Target="https://www.jobbank.gc.ca/marketreport/summary-occupation/25792/ca" TargetMode="External" /><Relationship Type="http://schemas.openxmlformats.org/officeDocument/2006/relationships/hyperlink" Id="rId85" Target="https://www.jobbank.gc.ca/wagereport/occupation/1636" TargetMode="External" /><Relationship Type="http://schemas.openxmlformats.org/officeDocument/2006/relationships/hyperlink" Id="rId83" Target="https://www.jobbank.gc.ca/wagereport/occupation/24500" TargetMode="External" /><Relationship Type="http://schemas.openxmlformats.org/officeDocument/2006/relationships/hyperlink" Id="rId91" Target="https://www.serviciodeempleo.gov.co/" TargetMode="External" /><Relationship Type="http://schemas.openxmlformats.org/officeDocument/2006/relationships/hyperlink" Id="rId75" Target="https://www.ziprecruiter.com/Salaries/Bookkeeper-Salary" TargetMode="External" /><Relationship Type="http://schemas.openxmlformats.org/officeDocument/2006/relationships/hyperlink" Id="rId76" Target="https://www.ziprecruiter.com/Salaries/Payroll-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2026-08-08T09:07:19Z</dcterms:created>
  <dcterms:modified xsi:type="dcterms:W3CDTF">2026-08-08T09:07:19Z</dcterms:modified>
</cp:coreProperties>
</file>

<file path=docProps/custom.xml><?xml version="1.0" encoding="utf-8"?>
<Properties xmlns="http://schemas.openxmlformats.org/officeDocument/2006/custom-properties" xmlns:vt="http://schemas.openxmlformats.org/officeDocument/2006/docPropsVTypes"/>
</file>