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e2db4140b9883d6500d9156aa9923fd6243d893"/>
    <w:p>
      <w:pPr>
        <w:pStyle w:val="Heading1"/>
      </w:pPr>
      <w:r>
        <w:t xml:space="preserve">Lifelong Opportunity Guide 07 — Customer Service Specialist</w:t>
      </w:r>
    </w:p>
    <w:p>
      <w:pPr>
        <w:pStyle w:val="FirstParagraph"/>
      </w:pPr>
      <w:r>
        <w:rPr>
          <w:bCs/>
          <w:b/>
        </w:rPr>
        <w:t xml:space="preserve">Controlled 2026 English publication candidate</w:t>
      </w:r>
      <w:r>
        <w:t xml:space="preserve"> </w:t>
      </w:r>
      <w:r>
        <w:t xml:space="preserve">Version 2.0 • August 2026</w:t>
      </w:r>
      <w:r>
        <w:t xml:space="preserve"> </w:t>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revised English source for the 2026 controlled publication candidate. It has passed the project’s editorial, claim-traceability, link, encoding, localization, DOCX, PDF, metadata, rendering, and publication QA gates documented in the repository. This does not constitute independent human certification, professional translation certification, accessibility certification, accreditation, legal review, or a guarantee of outcomes.</w:t>
      </w:r>
    </w:p>
    <w:bookmarkStart w:id="20" w:name="the-promise-of-this-guide"/>
    <w:p>
      <w:pPr>
        <w:pStyle w:val="Heading2"/>
      </w:pPr>
      <w:r>
        <w:t xml:space="preserve">The promise of this guide</w:t>
      </w:r>
    </w:p>
    <w:p>
      <w:pPr>
        <w:pStyle w:val="FirstParagraph"/>
      </w:pPr>
      <w:r>
        <w:t xml:space="preserve">This guide does not promise that customer service work will fit every person, that training will be free, that a private certificate will lead to a job, that remote work will be available, or that any wage will be available in a particular location. It is designed to help readers understand the work, compare affordable ways to build skills, protect customer and employer information, use technology and AI responsibly, and verify local requirements before spending money or accepting an obligation.</w:t>
      </w:r>
    </w:p>
    <w:bookmarkEnd w:id="20"/>
    <w:bookmarkStart w:id="21" w:name="why-this-guide-exists"/>
    <w:p>
      <w:pPr>
        <w:pStyle w:val="Heading2"/>
      </w:pPr>
      <w:r>
        <w:t xml:space="preserve">Why this guide exists</w:t>
      </w:r>
    </w:p>
    <w:p>
      <w:pPr>
        <w:pStyle w:val="FirstParagraph"/>
      </w:pPr>
      <w:r>
        <w:t xml:space="preserve">The Lifelong Opportunity Guides are intended to make career and education exploration more accessible to people who may face barriers related to age, disability, income, geography, language, or a nontraditional work history. Customer service can be an entry point into many industries and may lead to operations, sales support, account management, quality, training, workforce management, technical support, or supervisory work. It can also involve emotional labor, performance targets, privacy obligations, difficult interactions, rapidly changing software, and schedules that may include evenings, weekends, or holidays. Those realities should be understood before paying for training or accepting a role.</w:t>
      </w:r>
    </w:p>
    <w:bookmarkEnd w:id="21"/>
    <w:bookmarkStart w:id="22" w:name="ai-assistance-acknowledgment"/>
    <w:p>
      <w:pPr>
        <w:pStyle w:val="Heading2"/>
      </w:pPr>
      <w:r>
        <w:t xml:space="preserve">AI assistance acknowledgment</w:t>
      </w:r>
    </w:p>
    <w:p>
      <w:pPr>
        <w:pStyle w:val="FirstParagraph"/>
      </w:pPr>
      <w:r>
        <w:t xml:space="preserve">Alberto (Al) Leiva conceived and directs this project and remains responsible for the guide. OpenAI's ChatGPT was used as a support tool for research, organization, editing, and document preparation. AI assistance is not independent human certification, professional translation certification, accreditation, legal review, financial advice, accessibility certification,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is not individualized legal, financial, tax, immigration, medical, mental-health, consumer-protection, licensing, or employment advice. Customer-service requirements vary by country, jurisdiction, employer, industry, product, contract, channel, privacy law, recording law, payment environment, accessibility obligation, and technology stack. Verify high-impact facts with the current authority or a qualified professional before making a financial, educational, employment, legal, or regulatory commitment.</w:t>
      </w:r>
    </w:p>
    <w:p>
      <w:r>
        <w:pict>
          <v:rect style="width:0;height:1.5pt" o:hralign="center" o:hrstd="t" o:hr="t"/>
        </w:pict>
      </w:r>
    </w:p>
    <w:bookmarkEnd w:id="23"/>
    <w:bookmarkStart w:id="24" w:name="X8bf4968bfc601cd6bf29ebffba27e3d88588c35"/>
    <w:p>
      <w:pPr>
        <w:pStyle w:val="Heading2"/>
      </w:pPr>
      <w:r>
        <w:t xml:space="preserve">1. How to use this guide</w:t>
      </w:r>
    </w:p>
    <w:p>
      <w:pPr>
        <w:pStyle w:val="FirstParagraph"/>
      </w:pPr>
      <w:r>
        <w:t xml:space="preserve">Start with the real job, not with a school or credential seller.</w:t>
      </w:r>
    </w:p>
    <w:p>
      <w:pPr>
        <w:numPr>
          <w:ilvl w:val="0"/>
          <w:numId w:val="1001"/>
        </w:numPr>
        <w:pStyle w:val="Compact"/>
      </w:pPr>
      <w:r>
        <w:t xml:space="preserve">Identify the exact job title used by employers in your location.</w:t>
      </w:r>
    </w:p>
    <w:p>
      <w:pPr>
        <w:numPr>
          <w:ilvl w:val="0"/>
          <w:numId w:val="1001"/>
        </w:numPr>
        <w:pStyle w:val="Compact"/>
      </w:pPr>
      <w:r>
        <w:t xml:space="preserve">Read the duties, required channels, schedule, performance measures, and escalation authority rather than relying on the title alone.</w:t>
      </w:r>
    </w:p>
    <w:p>
      <w:pPr>
        <w:numPr>
          <w:ilvl w:val="0"/>
          <w:numId w:val="1001"/>
        </w:numPr>
        <w:pStyle w:val="Compact"/>
      </w:pPr>
      <w:r>
        <w:t xml:space="preserve">Separate legal or regulated requirements from ordinary employer preferences and optional private credentials.</w:t>
      </w:r>
    </w:p>
    <w:p>
      <w:pPr>
        <w:numPr>
          <w:ilvl w:val="0"/>
          <w:numId w:val="1001"/>
        </w:numPr>
        <w:pStyle w:val="Compact"/>
      </w:pPr>
      <w:r>
        <w:t xml:space="preserve">Review current local vacancies and official occupational sources before relying on national summaries.</w:t>
      </w:r>
    </w:p>
    <w:p>
      <w:pPr>
        <w:numPr>
          <w:ilvl w:val="0"/>
          <w:numId w:val="1001"/>
        </w:numPr>
        <w:pStyle w:val="Compact"/>
      </w:pPr>
      <w:r>
        <w:t xml:space="preserve">Compare the full cost of a training path, including tuition, exams, software, equipment, internet, transportation, caregiving, lost income, renewals, and unpaid practice.</w:t>
      </w:r>
    </w:p>
    <w:p>
      <w:pPr>
        <w:numPr>
          <w:ilvl w:val="0"/>
          <w:numId w:val="1001"/>
        </w:numPr>
        <w:pStyle w:val="Compact"/>
      </w:pPr>
      <w:r>
        <w:t xml:space="preserve">Ask what happens if employer-funded training requires repayment after resignation or early departure.</w:t>
      </w:r>
    </w:p>
    <w:p>
      <w:pPr>
        <w:numPr>
          <w:ilvl w:val="0"/>
          <w:numId w:val="1001"/>
        </w:numPr>
        <w:pStyle w:val="Compact"/>
      </w:pPr>
      <w:r>
        <w:t xml:space="preserve">Stop if a provider pressures you to pay immediately, promises employment, hides refund terms, or represents an optional private certificate as a legal license when it is not.</w:t>
      </w:r>
    </w:p>
    <w:p>
      <w:pPr>
        <w:pStyle w:val="FirstParagraph"/>
      </w:pPr>
      <w:r>
        <w:t xml:space="preserve">A practical sequence is: investigate the work, test basic skills free, identify real employer requirements, use public or employer-funded options first, and pay only when a specific next step justifies the cost.</w:t>
      </w:r>
    </w:p>
    <w:bookmarkEnd w:id="24"/>
    <w:bookmarkStart w:id="25" w:name="Xe95dc4dafbd23f01d45408e1dab9b6997b077e0"/>
    <w:p>
      <w:pPr>
        <w:pStyle w:val="Heading2"/>
      </w:pPr>
      <w:r>
        <w:t xml:space="preserve">2. What the work is</w:t>
      </w:r>
    </w:p>
    <w:p>
      <w:pPr>
        <w:pStyle w:val="FirstParagraph"/>
      </w:pPr>
      <w:r>
        <w:t xml:space="preserve">Customer service specialists and representatives help customers obtain information, solve routine problems, complete authorized transactions, understand policies, correct account issues, or reach the appropriate specialist. Work may take place by telephone, email, web chat, messaging, social media, video, ticketing systems, service desks, contact centers, stores, offices, healthcare settings, financial-services environments, government agencies, utilities, travel companies, technology firms, logistics operations, or remote service teams.</w:t>
      </w:r>
    </w:p>
    <w:p>
      <w:pPr>
        <w:pStyle w:val="BodyText"/>
      </w:pPr>
      <w:r>
        <w:t xml:space="preserve">Common titles include:</w:t>
      </w:r>
    </w:p>
    <w:p>
      <w:pPr>
        <w:numPr>
          <w:ilvl w:val="0"/>
          <w:numId w:val="1002"/>
        </w:numPr>
        <w:pStyle w:val="Compact"/>
      </w:pPr>
      <w:r>
        <w:t xml:space="preserve">Customer Service Representative;</w:t>
      </w:r>
    </w:p>
    <w:p>
      <w:pPr>
        <w:numPr>
          <w:ilvl w:val="0"/>
          <w:numId w:val="1002"/>
        </w:numPr>
        <w:pStyle w:val="Compact"/>
      </w:pPr>
      <w:r>
        <w:t xml:space="preserve">Customer Service Specialist;</w:t>
      </w:r>
    </w:p>
    <w:p>
      <w:pPr>
        <w:numPr>
          <w:ilvl w:val="0"/>
          <w:numId w:val="1002"/>
        </w:numPr>
        <w:pStyle w:val="Compact"/>
      </w:pPr>
      <w:r>
        <w:t xml:space="preserve">Customer Care Representative;</w:t>
      </w:r>
    </w:p>
    <w:p>
      <w:pPr>
        <w:numPr>
          <w:ilvl w:val="0"/>
          <w:numId w:val="1002"/>
        </w:numPr>
        <w:pStyle w:val="Compact"/>
      </w:pPr>
      <w:r>
        <w:t xml:space="preserve">Contact Center Representative;</w:t>
      </w:r>
    </w:p>
    <w:p>
      <w:pPr>
        <w:numPr>
          <w:ilvl w:val="0"/>
          <w:numId w:val="1002"/>
        </w:numPr>
        <w:pStyle w:val="Compact"/>
      </w:pPr>
      <w:r>
        <w:t xml:space="preserve">Member Services Representative;</w:t>
      </w:r>
    </w:p>
    <w:p>
      <w:pPr>
        <w:numPr>
          <w:ilvl w:val="0"/>
          <w:numId w:val="1002"/>
        </w:numPr>
        <w:pStyle w:val="Compact"/>
      </w:pPr>
      <w:r>
        <w:t xml:space="preserve">Client Services Representative;</w:t>
      </w:r>
    </w:p>
    <w:p>
      <w:pPr>
        <w:numPr>
          <w:ilvl w:val="0"/>
          <w:numId w:val="1002"/>
        </w:numPr>
        <w:pStyle w:val="Compact"/>
      </w:pPr>
      <w:r>
        <w:t xml:space="preserve">Support Representative;</w:t>
      </w:r>
    </w:p>
    <w:p>
      <w:pPr>
        <w:numPr>
          <w:ilvl w:val="0"/>
          <w:numId w:val="1002"/>
        </w:numPr>
        <w:pStyle w:val="Compact"/>
      </w:pPr>
      <w:r>
        <w:t xml:space="preserve">Customer Experience Associate; and</w:t>
      </w:r>
    </w:p>
    <w:p>
      <w:pPr>
        <w:numPr>
          <w:ilvl w:val="0"/>
          <w:numId w:val="1002"/>
        </w:numPr>
        <w:pStyle w:val="Compact"/>
      </w:pPr>
      <w:r>
        <w:t xml:space="preserve">Service Agent.</w:t>
      </w:r>
    </w:p>
    <w:p>
      <w:pPr>
        <w:pStyle w:val="FirstParagraph"/>
      </w:pPr>
      <w:r>
        <w:t xml:space="preserve">Titles are not interchangeable. A role may include sales, collections, technical troubleshooting, insurance, healthcare, banking, travel, public-service, or regulated duties that require additional training or authorization. Always compare the actual responsibilities.</w:t>
      </w:r>
    </w:p>
    <w:bookmarkEnd w:id="25"/>
    <w:bookmarkStart w:id="27" w:name="X66887164e5ff4f0ca2861cf438ce178a34a0a32"/>
    <w:p>
      <w:pPr>
        <w:pStyle w:val="Heading2"/>
      </w:pPr>
      <w:r>
        <w:t xml:space="preserve">3. Realistic duties, tools, and workflow</w:t>
      </w:r>
    </w:p>
    <w:p>
      <w:pPr>
        <w:pStyle w:val="FirstParagraph"/>
      </w:pPr>
      <w:r>
        <w:t xml:space="preserve">Typical duties may include:</w:t>
      </w:r>
    </w:p>
    <w:p>
      <w:pPr>
        <w:numPr>
          <w:ilvl w:val="0"/>
          <w:numId w:val="1003"/>
        </w:numPr>
        <w:pStyle w:val="Compact"/>
      </w:pPr>
      <w:r>
        <w:t xml:space="preserve">verify a customer's identity using approved procedures;</w:t>
      </w:r>
    </w:p>
    <w:p>
      <w:pPr>
        <w:numPr>
          <w:ilvl w:val="0"/>
          <w:numId w:val="1003"/>
        </w:numPr>
        <w:pStyle w:val="Compact"/>
      </w:pPr>
      <w:r>
        <w:t xml:space="preserve">receive and document questions, complaints, requests, orders, returns, or service issues;</w:t>
      </w:r>
    </w:p>
    <w:p>
      <w:pPr>
        <w:numPr>
          <w:ilvl w:val="0"/>
          <w:numId w:val="1003"/>
        </w:numPr>
        <w:pStyle w:val="Compact"/>
      </w:pPr>
      <w:r>
        <w:t xml:space="preserve">explain approved policies, products, services, account status, or next steps;</w:t>
      </w:r>
    </w:p>
    <w:p>
      <w:pPr>
        <w:numPr>
          <w:ilvl w:val="0"/>
          <w:numId w:val="1003"/>
        </w:numPr>
        <w:pStyle w:val="Compact"/>
      </w:pPr>
      <w:r>
        <w:t xml:space="preserve">search a knowledge base and use approved scripts or decision trees;</w:t>
      </w:r>
    </w:p>
    <w:p>
      <w:pPr>
        <w:numPr>
          <w:ilvl w:val="0"/>
          <w:numId w:val="1003"/>
        </w:numPr>
        <w:pStyle w:val="Compact"/>
      </w:pPr>
      <w:r>
        <w:t xml:space="preserve">update customer records only within assigned authority;</w:t>
      </w:r>
    </w:p>
    <w:p>
      <w:pPr>
        <w:numPr>
          <w:ilvl w:val="0"/>
          <w:numId w:val="1003"/>
        </w:numPr>
        <w:pStyle w:val="Compact"/>
      </w:pPr>
      <w:r>
        <w:t xml:space="preserve">create, route, prioritize, and close tickets;</w:t>
      </w:r>
    </w:p>
    <w:p>
      <w:pPr>
        <w:numPr>
          <w:ilvl w:val="0"/>
          <w:numId w:val="1003"/>
        </w:numPr>
        <w:pStyle w:val="Compact"/>
      </w:pPr>
      <w:r>
        <w:t xml:space="preserve">process authorized transactions or hand payment activity to approved systems;</w:t>
      </w:r>
    </w:p>
    <w:p>
      <w:pPr>
        <w:numPr>
          <w:ilvl w:val="0"/>
          <w:numId w:val="1003"/>
        </w:numPr>
        <w:pStyle w:val="Compact"/>
      </w:pPr>
      <w:r>
        <w:t xml:space="preserve">de-escalate difficult conversations without making unauthorized promises;</w:t>
      </w:r>
    </w:p>
    <w:p>
      <w:pPr>
        <w:numPr>
          <w:ilvl w:val="0"/>
          <w:numId w:val="1003"/>
        </w:numPr>
        <w:pStyle w:val="Compact"/>
      </w:pPr>
      <w:r>
        <w:t xml:space="preserve">identify possible fraud, social engineering, account takeover, abuse, safety concerns, or regulated issues and escalate them;</w:t>
      </w:r>
    </w:p>
    <w:p>
      <w:pPr>
        <w:numPr>
          <w:ilvl w:val="0"/>
          <w:numId w:val="1003"/>
        </w:numPr>
        <w:pStyle w:val="Compact"/>
      </w:pPr>
      <w:r>
        <w:t xml:space="preserve">document the facts, actions, commitments, and unresolved items accurately; and</w:t>
      </w:r>
    </w:p>
    <w:p>
      <w:pPr>
        <w:numPr>
          <w:ilvl w:val="0"/>
          <w:numId w:val="1003"/>
        </w:numPr>
        <w:pStyle w:val="Compact"/>
      </w:pPr>
      <w:r>
        <w:t xml:space="preserve">follow quality, privacy, accessibility, security, and record-retention requirements.</w:t>
      </w:r>
    </w:p>
    <w:p>
      <w:pPr>
        <w:pStyle w:val="FirstParagraph"/>
      </w:pPr>
      <w:r>
        <w:t xml:space="preserve">Common tools can include customer relationship management (CRM) platforms, ticketing systems, contact-center software, email, chat, knowledge bases, telephony, workforce-management tools, secure payment interfaces, identity-verification systems, collaboration suites, spreadsheets, and approved AI-enabled assistance.</w:t>
      </w:r>
    </w:p>
    <w:bookmarkStart w:id="26" w:name="a-realistic-interaction-cycle"/>
    <w:p>
      <w:pPr>
        <w:pStyle w:val="Heading3"/>
      </w:pPr>
      <w:r>
        <w:t xml:space="preserve">A realistic interaction cycle</w:t>
      </w:r>
    </w:p>
    <w:p>
      <w:pPr>
        <w:numPr>
          <w:ilvl w:val="0"/>
          <w:numId w:val="1004"/>
        </w:numPr>
        <w:pStyle w:val="Compact"/>
      </w:pPr>
      <w:r>
        <w:t xml:space="preserve">Receive the contact through an approved channel.</w:t>
      </w:r>
    </w:p>
    <w:p>
      <w:pPr>
        <w:numPr>
          <w:ilvl w:val="0"/>
          <w:numId w:val="1004"/>
        </w:numPr>
        <w:pStyle w:val="Compact"/>
      </w:pPr>
      <w:r>
        <w:t xml:space="preserve">Determine whether identity verification or consent is required.</w:t>
      </w:r>
    </w:p>
    <w:p>
      <w:pPr>
        <w:numPr>
          <w:ilvl w:val="0"/>
          <w:numId w:val="1004"/>
        </w:numPr>
        <w:pStyle w:val="Compact"/>
      </w:pPr>
      <w:r>
        <w:t xml:space="preserve">Listen or read carefully and restate the issue without assuming facts.</w:t>
      </w:r>
    </w:p>
    <w:p>
      <w:pPr>
        <w:numPr>
          <w:ilvl w:val="0"/>
          <w:numId w:val="1004"/>
        </w:numPr>
        <w:pStyle w:val="Compact"/>
      </w:pPr>
      <w:r>
        <w:t xml:space="preserve">Check the approved knowledge base, account record, policy, or workflow.</w:t>
      </w:r>
    </w:p>
    <w:p>
      <w:pPr>
        <w:numPr>
          <w:ilvl w:val="0"/>
          <w:numId w:val="1004"/>
        </w:numPr>
        <w:pStyle w:val="Compact"/>
      </w:pPr>
      <w:r>
        <w:t xml:space="preserve">Complete only actions within your authority.</w:t>
      </w:r>
    </w:p>
    <w:p>
      <w:pPr>
        <w:numPr>
          <w:ilvl w:val="0"/>
          <w:numId w:val="1004"/>
        </w:numPr>
        <w:pStyle w:val="Compact"/>
      </w:pPr>
      <w:r>
        <w:t xml:space="preserve">Explain the outcome, limitations, and next step in clear language.</w:t>
      </w:r>
    </w:p>
    <w:p>
      <w:pPr>
        <w:numPr>
          <w:ilvl w:val="0"/>
          <w:numId w:val="1004"/>
        </w:numPr>
        <w:pStyle w:val="Compact"/>
      </w:pPr>
      <w:r>
        <w:t xml:space="preserve">Escalate when risk, authority, safety, privacy, payment, legal, medical, or technical boundaries are reached.</w:t>
      </w:r>
    </w:p>
    <w:p>
      <w:pPr>
        <w:numPr>
          <w:ilvl w:val="0"/>
          <w:numId w:val="1004"/>
        </w:numPr>
        <w:pStyle w:val="Compact"/>
      </w:pPr>
      <w:r>
        <w:t xml:space="preserve">Document the interaction accurately.</w:t>
      </w:r>
    </w:p>
    <w:p>
      <w:pPr>
        <w:numPr>
          <w:ilvl w:val="0"/>
          <w:numId w:val="1004"/>
        </w:numPr>
        <w:pStyle w:val="Compact"/>
      </w:pPr>
      <w:r>
        <w:t xml:space="preserve">Close the case only when the required disposition and follow-up are complete.</w:t>
      </w:r>
    </w:p>
    <w:p>
      <w:pPr>
        <w:pStyle w:val="FirstParagraph"/>
      </w:pPr>
      <w:r>
        <w:t xml:space="preserve">Speed matters in many service environments, but speed never overrides identity checks, privacy, accessibility, accuracy, lawful treatment, payment controls, or safety.</w:t>
      </w:r>
    </w:p>
    <w:bookmarkEnd w:id="26"/>
    <w:bookmarkEnd w:id="27"/>
    <w:bookmarkStart w:id="28" w:name="Xa4484a125b06c1ea25cf9a70bae7cf94120d87e"/>
    <w:p>
      <w:pPr>
        <w:pStyle w:val="Heading2"/>
      </w:pPr>
      <w:r>
        <w:t xml:space="preserve">4. Career fit, working conditions, and wellbeing</w:t>
      </w:r>
    </w:p>
    <w:p>
      <w:pPr>
        <w:pStyle w:val="FirstParagraph"/>
      </w:pPr>
      <w:r>
        <w:t xml:space="preserve">Ask yourself:</w:t>
      </w:r>
    </w:p>
    <w:p>
      <w:pPr>
        <w:numPr>
          <w:ilvl w:val="0"/>
          <w:numId w:val="1005"/>
        </w:numPr>
        <w:pStyle w:val="Compact"/>
      </w:pPr>
      <w:r>
        <w:t xml:space="preserve">Can I remain respectful when another person is frustrated, confused, or angry?</w:t>
      </w:r>
    </w:p>
    <w:p>
      <w:pPr>
        <w:numPr>
          <w:ilvl w:val="0"/>
          <w:numId w:val="1005"/>
        </w:numPr>
        <w:pStyle w:val="Compact"/>
      </w:pPr>
      <w:r>
        <w:t xml:space="preserve">Can I follow required scripts and controls without sounding mechanical?</w:t>
      </w:r>
    </w:p>
    <w:p>
      <w:pPr>
        <w:numPr>
          <w:ilvl w:val="0"/>
          <w:numId w:val="1005"/>
        </w:numPr>
        <w:pStyle w:val="Compact"/>
      </w:pPr>
      <w:r>
        <w:t xml:space="preserve">Can I document details while listening carefully?</w:t>
      </w:r>
    </w:p>
    <w:p>
      <w:pPr>
        <w:numPr>
          <w:ilvl w:val="0"/>
          <w:numId w:val="1005"/>
        </w:numPr>
        <w:pStyle w:val="Compact"/>
      </w:pPr>
      <w:r>
        <w:t xml:space="preserve">Can I tolerate repetitive contacts and performance measurement?</w:t>
      </w:r>
    </w:p>
    <w:p>
      <w:pPr>
        <w:numPr>
          <w:ilvl w:val="0"/>
          <w:numId w:val="1005"/>
        </w:numPr>
        <w:pStyle w:val="Compact"/>
      </w:pPr>
      <w:r>
        <w:t xml:space="preserve">Can I ask for help rather than guessing when authority is unclear?</w:t>
      </w:r>
    </w:p>
    <w:p>
      <w:pPr>
        <w:numPr>
          <w:ilvl w:val="0"/>
          <w:numId w:val="1005"/>
        </w:numPr>
        <w:pStyle w:val="Compact"/>
      </w:pPr>
      <w:r>
        <w:t xml:space="preserve">Can I protect confidential information even when a caller sounds urgent or persuasive?</w:t>
      </w:r>
    </w:p>
    <w:p>
      <w:pPr>
        <w:numPr>
          <w:ilvl w:val="0"/>
          <w:numId w:val="1005"/>
        </w:numPr>
        <w:pStyle w:val="Compact"/>
      </w:pPr>
      <w:r>
        <w:t xml:space="preserve">Are the schedule, headset use, screen time, sitting or standing requirements, and contact volume sustainable for me?</w:t>
      </w:r>
    </w:p>
    <w:p>
      <w:pPr>
        <w:numPr>
          <w:ilvl w:val="0"/>
          <w:numId w:val="1005"/>
        </w:numPr>
        <w:pStyle w:val="Compact"/>
      </w:pPr>
      <w:r>
        <w:t xml:space="preserve">What accommodations, assistive technology, predictable scheduling, reduced-noise arrangements, ergonomic changes, captioning, screen-reader compatibility, or alternative communication formats would help me perform consistently?</w:t>
      </w:r>
    </w:p>
    <w:p>
      <w:pPr>
        <w:pStyle w:val="FirstParagraph"/>
      </w:pPr>
      <w:r>
        <w:t xml:space="preserve">Customer-facing work can involve verbal aggression, discriminatory language, threats, distressing stories, or repeated conflict. Employers should have escalation, safety, and abuse-handling procedures. A worker should not be expected to tolerate threats, harassment, or unsafe conduct simply because the role is customer-facing.</w:t>
      </w:r>
    </w:p>
    <w:bookmarkEnd w:id="28"/>
    <w:bookmarkStart w:id="29" w:name="X33880cdc546027f62383c1e6b0691748598981f"/>
    <w:p>
      <w:pPr>
        <w:pStyle w:val="Heading2"/>
      </w:pPr>
      <w:r>
        <w:t xml:space="preserve">5. Ethics, authority, fraud prevention, and escalation</w:t>
      </w:r>
    </w:p>
    <w:p>
      <w:pPr>
        <w:pStyle w:val="FirstParagraph"/>
      </w:pPr>
      <w:r>
        <w:t xml:space="preserve">Good service includes knowing when not to act.</w:t>
      </w:r>
    </w:p>
    <w:p>
      <w:pPr>
        <w:pStyle w:val="BodyText"/>
      </w:pPr>
      <w:r>
        <w:t xml:space="preserve">Do not:</w:t>
      </w:r>
    </w:p>
    <w:p>
      <w:pPr>
        <w:numPr>
          <w:ilvl w:val="0"/>
          <w:numId w:val="1006"/>
        </w:numPr>
        <w:pStyle w:val="Compact"/>
      </w:pPr>
      <w:r>
        <w:t xml:space="preserve">bypass identity verification because a customer is impatient;</w:t>
      </w:r>
    </w:p>
    <w:p>
      <w:pPr>
        <w:numPr>
          <w:ilvl w:val="0"/>
          <w:numId w:val="1006"/>
        </w:numPr>
        <w:pStyle w:val="Compact"/>
      </w:pPr>
      <w:r>
        <w:t xml:space="preserve">disclose another person's account, health, financial, travel, education, employment, or identifying information without authorization;</w:t>
      </w:r>
    </w:p>
    <w:p>
      <w:pPr>
        <w:numPr>
          <w:ilvl w:val="0"/>
          <w:numId w:val="1006"/>
        </w:numPr>
        <w:pStyle w:val="Compact"/>
      </w:pPr>
      <w:r>
        <w:t xml:space="preserve">create credits, refunds, discounts, promises, account changes, or exceptions outside assigned authority;</w:t>
      </w:r>
    </w:p>
    <w:p>
      <w:pPr>
        <w:numPr>
          <w:ilvl w:val="0"/>
          <w:numId w:val="1006"/>
        </w:numPr>
        <w:pStyle w:val="Compact"/>
      </w:pPr>
      <w:r>
        <w:t xml:space="preserve">alter notes to make a service metric look better;</w:t>
      </w:r>
    </w:p>
    <w:p>
      <w:pPr>
        <w:numPr>
          <w:ilvl w:val="0"/>
          <w:numId w:val="1006"/>
        </w:numPr>
        <w:pStyle w:val="Compact"/>
      </w:pPr>
      <w:r>
        <w:t xml:space="preserve">fabricate customer consent, signatures, approvals, dispositions, contacts, or resolution evidence;</w:t>
      </w:r>
    </w:p>
    <w:p>
      <w:pPr>
        <w:numPr>
          <w:ilvl w:val="0"/>
          <w:numId w:val="1006"/>
        </w:numPr>
        <w:pStyle w:val="Compact"/>
      </w:pPr>
      <w:r>
        <w:t xml:space="preserve">move card or bank information into notes, chat, email, screenshots, personal devices, or unapproved systems;</w:t>
      </w:r>
    </w:p>
    <w:p>
      <w:pPr>
        <w:numPr>
          <w:ilvl w:val="0"/>
          <w:numId w:val="1006"/>
        </w:numPr>
        <w:pStyle w:val="Compact"/>
      </w:pPr>
      <w:r>
        <w:t xml:space="preserve">use a personal email account, personal cloud storage, or unapproved messaging service for customer data; or</w:t>
      </w:r>
    </w:p>
    <w:p>
      <w:pPr>
        <w:numPr>
          <w:ilvl w:val="0"/>
          <w:numId w:val="1006"/>
        </w:numPr>
        <w:pStyle w:val="Compact"/>
      </w:pPr>
      <w:r>
        <w:t xml:space="preserve">paste confidential customer or employer information into a public or unapproved AI tool.</w:t>
      </w:r>
    </w:p>
    <w:p>
      <w:pPr>
        <w:pStyle w:val="FirstParagraph"/>
      </w:pPr>
      <w:r>
        <w:t xml:space="preserve">Stop and escalate when:</w:t>
      </w:r>
    </w:p>
    <w:p>
      <w:pPr>
        <w:numPr>
          <w:ilvl w:val="0"/>
          <w:numId w:val="1007"/>
        </w:numPr>
        <w:pStyle w:val="Compact"/>
      </w:pPr>
      <w:r>
        <w:t xml:space="preserve">identity cannot be verified;</w:t>
      </w:r>
    </w:p>
    <w:p>
      <w:pPr>
        <w:numPr>
          <w:ilvl w:val="0"/>
          <w:numId w:val="1007"/>
        </w:numPr>
        <w:pStyle w:val="Compact"/>
      </w:pPr>
      <w:r>
        <w:t xml:space="preserve">a request involves unusual payment instructions, bank-detail changes, credential reset, or possible account takeover;</w:t>
      </w:r>
    </w:p>
    <w:p>
      <w:pPr>
        <w:numPr>
          <w:ilvl w:val="0"/>
          <w:numId w:val="1007"/>
        </w:numPr>
        <w:pStyle w:val="Compact"/>
      </w:pPr>
      <w:r>
        <w:t xml:space="preserve">a customer asks you to override a control;</w:t>
      </w:r>
    </w:p>
    <w:p>
      <w:pPr>
        <w:numPr>
          <w:ilvl w:val="0"/>
          <w:numId w:val="1007"/>
        </w:numPr>
        <w:pStyle w:val="Compact"/>
      </w:pPr>
      <w:r>
        <w:t xml:space="preserve">a safety, abuse, self-harm, fraud, discrimination, legal, medical, financial, or regulated issue exceeds your role;</w:t>
      </w:r>
    </w:p>
    <w:p>
      <w:pPr>
        <w:numPr>
          <w:ilvl w:val="0"/>
          <w:numId w:val="1007"/>
        </w:numPr>
        <w:pStyle w:val="Compact"/>
      </w:pPr>
      <w:r>
        <w:t xml:space="preserve">a system output conflicts with policy or known facts;</w:t>
      </w:r>
    </w:p>
    <w:p>
      <w:pPr>
        <w:numPr>
          <w:ilvl w:val="0"/>
          <w:numId w:val="1007"/>
        </w:numPr>
        <w:pStyle w:val="Compact"/>
      </w:pPr>
      <w:r>
        <w:t xml:space="preserve">a recording or monitoring question requires jurisdiction-specific handling; or</w:t>
      </w:r>
    </w:p>
    <w:p>
      <w:pPr>
        <w:numPr>
          <w:ilvl w:val="0"/>
          <w:numId w:val="1007"/>
        </w:numPr>
        <w:pStyle w:val="Compact"/>
      </w:pPr>
      <w:r>
        <w:t xml:space="preserve">an AI-generated answer is uncertain, unsupported, or inconsistent with the approved source.</w:t>
      </w:r>
    </w:p>
    <w:p>
      <w:pPr>
        <w:pStyle w:val="FirstParagraph"/>
      </w:pPr>
      <w:r>
        <w:t xml:space="preserve">Document facts and actions neutrally. Do not retaliate, exaggerate, hide uncertainty, or make promises you cannot authorize.</w:t>
      </w:r>
    </w:p>
    <w:bookmarkEnd w:id="29"/>
    <w:bookmarkStart w:id="39" w:name="X35e9168ae275da16400b8f7b7ac3dbf80fe51bb"/>
    <w:p>
      <w:pPr>
        <w:pStyle w:val="Heading2"/>
      </w:pPr>
      <w:r>
        <w:t xml:space="preserve">6. Income, benefits, and outlook research</w:t>
      </w:r>
    </w:p>
    <w:p>
      <w:pPr>
        <w:pStyle w:val="FirstParagraph"/>
      </w:pPr>
      <w:r>
        <w:t xml:space="preserve">Customer Service Specialist is a common market title, while official occupational systems may use broader categories. Keep official occupational statistics separate from current non-government title estimates.</w:t>
      </w:r>
    </w:p>
    <w:bookmarkStart w:id="31" w:name="X8ec201d839d5bbb20c0b5c87e0d18df33801b43"/>
    <w:p>
      <w:pPr>
        <w:pStyle w:val="Heading3"/>
      </w:pPr>
      <w:r>
        <w:t xml:space="preserve">United States — official occupational data</w:t>
      </w:r>
    </w:p>
    <w:p>
      <w:pPr>
        <w:pStyle w:val="FirstParagraph"/>
      </w:pPr>
      <w:r>
        <w:t xml:space="preserve">The U.S. Bureau of Labor Statistics (BLS) reports that</w:t>
      </w:r>
      <w:r>
        <w:t xml:space="preserve"> </w:t>
      </w:r>
      <w:r>
        <w:rPr>
          <w:bCs/>
          <w:b/>
        </w:rPr>
        <w:t xml:space="preserve">Customer Service Representatives</w:t>
      </w:r>
      <w:r>
        <w:t xml:space="preserve"> </w:t>
      </w:r>
      <w:r>
        <w:t xml:space="preserve">had a</w:t>
      </w:r>
      <w:r>
        <w:t xml:space="preserve"> </w:t>
      </w:r>
      <w:r>
        <w:rPr>
          <w:bCs/>
          <w:b/>
        </w:rPr>
        <w:t xml:space="preserve">median hourly wage of US</w:t>
      </w:r>
      <m:oMath>
        <m:r>
          <m:t>20.59</m:t>
        </m:r>
        <m:r>
          <m:t>i</m:t>
        </m:r>
        <m:r>
          <m:t>n</m:t>
        </m:r>
        <m:r>
          <m:t>M</m:t>
        </m:r>
        <m:r>
          <m:t>a</m:t>
        </m:r>
        <m:r>
          <m:t>y</m:t>
        </m:r>
        <m:r>
          <m:t>2024</m:t>
        </m:r>
        <m:r>
          <m:rPr>
            <m:sty m:val="p"/>
          </m:rPr>
          <m:t>*</m:t>
        </m:r>
        <m:r>
          <m:rPr>
            <m:sty m:val="p"/>
          </m:rPr>
          <m:t>*</m:t>
        </m:r>
        <m:r>
          <m:rPr>
            <m:sty m:val="p"/>
          </m:rPr>
          <m:t>.</m:t>
        </m:r>
        <m:r>
          <m:t>T</m:t>
        </m:r>
        <m:r>
          <m:t>h</m:t>
        </m:r>
        <m:r>
          <m:t>e</m:t>
        </m:r>
        <m:r>
          <m:t>l</m:t>
        </m:r>
        <m:r>
          <m:t>o</m:t>
        </m:r>
        <m:r>
          <m:t>w</m:t>
        </m:r>
        <m:r>
          <m:t>e</m:t>
        </m:r>
        <m:r>
          <m:t>s</m:t>
        </m:r>
        <m:r>
          <m:t>t</m:t>
        </m:r>
        <m:r>
          <m:t>10</m:t>
        </m:r>
        <m:r>
          <m:t>p</m:t>
        </m:r>
        <m:r>
          <m:t>e</m:t>
        </m:r>
        <m:r>
          <m:t>r</m:t>
        </m:r>
        <m:r>
          <m:t>c</m:t>
        </m:r>
        <m:r>
          <m:t>e</m:t>
        </m:r>
        <m:r>
          <m:t>n</m:t>
        </m:r>
        <m:r>
          <m:t>t</m:t>
        </m:r>
        <m:r>
          <m:t>e</m:t>
        </m:r>
        <m:r>
          <m:t>a</m:t>
        </m:r>
        <m:r>
          <m:t>r</m:t>
        </m:r>
        <m:r>
          <m:t>n</m:t>
        </m:r>
        <m:r>
          <m:t>e</m:t>
        </m:r>
        <m:r>
          <m:t>d</m:t>
        </m:r>
        <m:r>
          <m:t>l</m:t>
        </m:r>
        <m:r>
          <m:t>e</m:t>
        </m:r>
        <m:r>
          <m:t>s</m:t>
        </m:r>
        <m:r>
          <m:t>s</m:t>
        </m:r>
        <m:r>
          <m:t>t</m:t>
        </m:r>
        <m:r>
          <m:t>h</m:t>
        </m:r>
        <m:r>
          <m:t>a</m:t>
        </m:r>
        <m:r>
          <m:t>n</m:t>
        </m:r>
        <m:r>
          <m:rPr>
            <m:sty m:val="p"/>
          </m:rPr>
          <m:t>*</m:t>
        </m:r>
        <m:r>
          <m:rPr>
            <m:sty m:val="p"/>
          </m:rPr>
          <m:t>*</m:t>
        </m:r>
        <m:r>
          <m:t>U</m:t>
        </m:r>
        <m:r>
          <m:t>S</m:t>
        </m:r>
      </m:oMath>
      <w:r>
        <w:rPr>
          <w:bCs/>
          <w:b/>
        </w:rPr>
        <w:t xml:space="preserve">14.75 per hour</w:t>
      </w:r>
      <w:r>
        <w:t xml:space="preserve">, and the highest 10 percent earned more than</w:t>
      </w:r>
      <w:r>
        <w:t xml:space="preserve"> </w:t>
      </w:r>
      <w:r>
        <w:rPr>
          <w:bCs/>
          <w:b/>
        </w:rPr>
        <w:t xml:space="preserve">US$30.16 per hour</w:t>
      </w:r>
      <w:r>
        <w:t xml:space="preserve">.</w:t>
      </w:r>
    </w:p>
    <w:p>
      <w:pPr>
        <w:pStyle w:val="BodyText"/>
      </w:pPr>
      <w:r>
        <w:t xml:space="preserve">BLS projects employment of customer service representatives to</w:t>
      </w:r>
      <w:r>
        <w:t xml:space="preserve"> </w:t>
      </w:r>
      <w:r>
        <w:rPr>
          <w:bCs/>
          <w:b/>
        </w:rPr>
        <w:t xml:space="preserve">decline 5% from 2024 to 2034</w:t>
      </w:r>
      <w:r>
        <w:t xml:space="preserve">. At the same time, BLS projects about</w:t>
      </w:r>
      <w:r>
        <w:t xml:space="preserve"> </w:t>
      </w:r>
      <w:r>
        <w:rPr>
          <w:bCs/>
          <w:b/>
        </w:rPr>
        <w:t xml:space="preserve">341,700 openings per year on average</w:t>
      </w:r>
      <w:r>
        <w:t xml:space="preserve"> </w:t>
      </w:r>
      <w:r>
        <w:t xml:space="preserve">over the decade, largely from workers who transfer to other occupations or leave the labor force. The decline and the replacement openings should be understood together. Automation and self-service can reduce some routine contacts, while human service remains important for exceptions, complex situations, trust, escalation, retention, accessibility, and cross-channel coordination.</w:t>
      </w:r>
    </w:p>
    <w:p>
      <w:pPr>
        <w:pStyle w:val="BodyText"/>
      </w:pPr>
      <w:r>
        <w:t xml:space="preserve">Official source:</w:t>
      </w:r>
      <w:r>
        <w:t xml:space="preserve"> </w:t>
      </w:r>
      <w:hyperlink r:id="rId30">
        <w:r>
          <w:rPr>
            <w:rStyle w:val="Hyperlink"/>
          </w:rPr>
          <w:t xml:space="preserve">https://www.bls.gov/ooh/office-and-administrative-support/customer-service-representatives.htm</w:t>
        </w:r>
      </w:hyperlink>
    </w:p>
    <w:bookmarkEnd w:id="31"/>
    <w:bookmarkStart w:id="34" w:name="X041358b118a28dc54d488ec95519c7147c13f09"/>
    <w:p>
      <w:pPr>
        <w:pStyle w:val="Heading3"/>
      </w:pPr>
      <w:r>
        <w:t xml:space="preserve">United States — current non-government title estimates</w:t>
      </w:r>
    </w:p>
    <w:p>
      <w:pPr>
        <w:pStyle w:val="FirstParagraph"/>
      </w:pPr>
      <w:r>
        <w:t xml:space="preserve">As separate market indicators verified in August 2026:</w:t>
      </w:r>
    </w:p>
    <w:p>
      <w:pPr>
        <w:numPr>
          <w:ilvl w:val="0"/>
          <w:numId w:val="1008"/>
        </w:numPr>
        <w:pStyle w:val="Compact"/>
      </w:pPr>
      <w:r>
        <w:t xml:space="preserve">ZipRecruiter reported an average U.S. estimate for</w:t>
      </w:r>
      <w:r>
        <w:t xml:space="preserve"> </w:t>
      </w:r>
      <w:r>
        <w:rPr>
          <w:bCs/>
          <w:b/>
        </w:rPr>
        <w:t xml:space="preserve">Customer Service Specialist</w:t>
      </w:r>
      <w:r>
        <w:t xml:space="preserve"> </w:t>
      </w:r>
      <w:r>
        <w:t xml:space="preserve">of</w:t>
      </w:r>
      <w:r>
        <w:t xml:space="preserve"> </w:t>
      </w:r>
      <w:r>
        <w:rPr>
          <w:bCs/>
          <w:b/>
        </w:rPr>
        <w:t xml:space="preserve">US</w:t>
      </w:r>
      <m:oMath>
        <m:r>
          <m:t>40</m:t>
        </m:r>
        <m:r>
          <m:rPr>
            <m:sty m:val="p"/>
          </m:rPr>
          <m:t>,</m:t>
        </m:r>
        <m:r>
          <m:t>910</m:t>
        </m:r>
        <m:r>
          <m:t>p</m:t>
        </m:r>
        <m:r>
          <m:t>e</m:t>
        </m:r>
        <m:r>
          <m:t>r</m:t>
        </m:r>
        <m:r>
          <m:t>y</m:t>
        </m:r>
        <m:r>
          <m:t>e</m:t>
        </m:r>
        <m:r>
          <m:t>a</m:t>
        </m:r>
        <m:r>
          <m:t>r</m:t>
        </m:r>
        <m:r>
          <m:rPr>
            <m:sty m:val="p"/>
          </m:rPr>
          <m:t>(</m:t>
        </m:r>
        <m:r>
          <m:t>U</m:t>
        </m:r>
        <m:r>
          <m:t>S</m:t>
        </m:r>
      </m:oMath>
      <w:r>
        <w:rPr>
          <w:bCs/>
          <w:b/>
        </w:rPr>
        <w:t xml:space="preserve">19.67/hour)</w:t>
      </w:r>
      <w:r>
        <w:t xml:space="preserve"> </w:t>
      </w:r>
      <w:r>
        <w:t xml:space="preserve">as of</w:t>
      </w:r>
      <w:r>
        <w:t xml:space="preserve"> </w:t>
      </w:r>
      <w:r>
        <w:rPr>
          <w:bCs/>
          <w:b/>
        </w:rPr>
        <w:t xml:space="preserve">August 8, 2026</w:t>
      </w:r>
      <w:r>
        <w:t xml:space="preserve">.</w:t>
      </w:r>
    </w:p>
    <w:p>
      <w:pPr>
        <w:numPr>
          <w:ilvl w:val="0"/>
          <w:numId w:val="1008"/>
        </w:numPr>
        <w:pStyle w:val="Compact"/>
      </w:pPr>
      <w:r>
        <w:t xml:space="preserve">ZipRecruiter reported an average U.S. estimate for</w:t>
      </w:r>
      <w:r>
        <w:t xml:space="preserve"> </w:t>
      </w:r>
      <w:r>
        <w:rPr>
          <w:bCs/>
          <w:b/>
        </w:rPr>
        <w:t xml:space="preserve">Customer Service Representative</w:t>
      </w:r>
      <w:r>
        <w:t xml:space="preserve"> </w:t>
      </w:r>
      <w:r>
        <w:t xml:space="preserve">of</w:t>
      </w:r>
      <w:r>
        <w:t xml:space="preserve"> </w:t>
      </w:r>
      <w:r>
        <w:rPr>
          <w:bCs/>
          <w:b/>
        </w:rPr>
        <w:t xml:space="preserve">US</w:t>
      </w:r>
      <m:oMath>
        <m:r>
          <m:t>39</m:t>
        </m:r>
        <m:r>
          <m:rPr>
            <m:sty m:val="p"/>
          </m:rPr>
          <m:t>,</m:t>
        </m:r>
        <m:r>
          <m:t>098</m:t>
        </m:r>
        <m:r>
          <m:t>p</m:t>
        </m:r>
        <m:r>
          <m:t>e</m:t>
        </m:r>
        <m:r>
          <m:t>r</m:t>
        </m:r>
        <m:r>
          <m:t>y</m:t>
        </m:r>
        <m:r>
          <m:t>e</m:t>
        </m:r>
        <m:r>
          <m:t>a</m:t>
        </m:r>
        <m:r>
          <m:t>r</m:t>
        </m:r>
        <m:r>
          <m:rPr>
            <m:sty m:val="p"/>
          </m:rPr>
          <m:t>(</m:t>
        </m:r>
        <m:r>
          <m:t>U</m:t>
        </m:r>
        <m:r>
          <m:t>S</m:t>
        </m:r>
      </m:oMath>
      <w:r>
        <w:rPr>
          <w:bCs/>
          <w:b/>
        </w:rPr>
        <w:t xml:space="preserve">18.80/hour)</w:t>
      </w:r>
      <w:r>
        <w:t xml:space="preserve"> </w:t>
      </w:r>
      <w:r>
        <w:t xml:space="preserve">as of</w:t>
      </w:r>
      <w:r>
        <w:t xml:space="preserve"> </w:t>
      </w:r>
      <w:r>
        <w:rPr>
          <w:bCs/>
          <w:b/>
        </w:rPr>
        <w:t xml:space="preserve">August 8, 2026</w:t>
      </w:r>
      <w:r>
        <w:t xml:space="preserve">.</w:t>
      </w:r>
    </w:p>
    <w:p>
      <w:pPr>
        <w:pStyle w:val="FirstParagraph"/>
      </w:pPr>
      <w:r>
        <w:t xml:space="preserve">Sources:</w:t>
      </w:r>
    </w:p>
    <w:p>
      <w:pPr>
        <w:numPr>
          <w:ilvl w:val="0"/>
          <w:numId w:val="1009"/>
        </w:numPr>
        <w:pStyle w:val="Compact"/>
      </w:pPr>
      <w:hyperlink r:id="rId32">
        <w:r>
          <w:rPr>
            <w:rStyle w:val="Hyperlink"/>
          </w:rPr>
          <w:t xml:space="preserve">https://www.ziprecruiter.com/Salaries/Customer-Service-Specialist-Salary</w:t>
        </w:r>
      </w:hyperlink>
    </w:p>
    <w:p>
      <w:pPr>
        <w:numPr>
          <w:ilvl w:val="0"/>
          <w:numId w:val="1009"/>
        </w:numPr>
        <w:pStyle w:val="Compact"/>
      </w:pPr>
      <w:hyperlink r:id="rId33">
        <w:r>
          <w:rPr>
            <w:rStyle w:val="Hyperlink"/>
          </w:rPr>
          <w:t xml:space="preserve">https://www.ziprecruiter.com/Salaries/Customer-Service-Representative-Salary</w:t>
        </w:r>
      </w:hyperlink>
    </w:p>
    <w:p>
      <w:pPr>
        <w:pStyle w:val="FirstParagraph"/>
      </w:pPr>
      <w:r>
        <w:t xml:space="preserve">These are non-government market estimates derived from job postings and third-party data. They are not official wage statistics, local starting wages, or guarantees. Recheck them during publication QA because market pages change frequently.</w:t>
      </w:r>
    </w:p>
    <w:bookmarkEnd w:id="34"/>
    <w:bookmarkStart w:id="37" w:name="canada"/>
    <w:p>
      <w:pPr>
        <w:pStyle w:val="Heading3"/>
      </w:pPr>
      <w:r>
        <w:t xml:space="preserve">Canada</w:t>
      </w:r>
    </w:p>
    <w:p>
      <w:pPr>
        <w:pStyle w:val="FirstParagraph"/>
      </w:pPr>
      <w:r>
        <w:t xml:space="preserve">Government of Canada Job Bank maps related customer-service and contact-centre work to</w:t>
      </w:r>
      <w:r>
        <w:t xml:space="preserve"> </w:t>
      </w:r>
      <w:r>
        <w:rPr>
          <w:bCs/>
          <w:b/>
        </w:rPr>
        <w:t xml:space="preserve">Other customer and information services representatives, NOC 64409</w:t>
      </w:r>
      <w:r>
        <w:t xml:space="preserve">. The national wage table reviewed for this edition reports</w:t>
      </w:r>
      <w:r>
        <w:t xml:space="preserve"> </w:t>
      </w:r>
      <w:r>
        <w:rPr>
          <w:bCs/>
          <w:b/>
        </w:rPr>
        <w:t xml:space="preserve">C</w:t>
      </w:r>
      <m:oMath>
        <m:r>
          <m:t>16.00</m:t>
        </m:r>
        <m:r>
          <m:t>l</m:t>
        </m:r>
        <m:r>
          <m:t>o</m:t>
        </m:r>
        <m:r>
          <m:t>w</m:t>
        </m:r>
        <m:r>
          <m:rPr>
            <m:sty m:val="p"/>
          </m:rPr>
          <m:t>/</m:t>
        </m:r>
        <m:r>
          <m:t>C</m:t>
        </m:r>
      </m:oMath>
      <w:r>
        <w:rPr>
          <w:bCs/>
          <w:b/>
        </w:rPr>
        <w:t xml:space="preserve">22.00 median / C$33.14 high per hour</w:t>
      </w:r>
      <w:r>
        <w:t xml:space="preserve">. Job Bank states that the table was updated</w:t>
      </w:r>
      <w:r>
        <w:t xml:space="preserve"> </w:t>
      </w:r>
      <w:r>
        <w:rPr>
          <w:bCs/>
          <w:b/>
        </w:rPr>
        <w:t xml:space="preserve">November 19, 2025</w:t>
      </w:r>
      <w:r>
        <w:t xml:space="preserve">, uses a</w:t>
      </w:r>
      <w:r>
        <w:t xml:space="preserve"> </w:t>
      </w:r>
      <w:r>
        <w:rPr>
          <w:bCs/>
          <w:b/>
        </w:rPr>
        <w:t xml:space="preserve">2023–2024 reference period</w:t>
      </w:r>
      <w:r>
        <w:t xml:space="preserve">, and is based on the Labour Force Survey. Job Bank also reports that</w:t>
      </w:r>
      <w:r>
        <w:t xml:space="preserve"> </w:t>
      </w:r>
      <w:r>
        <w:rPr>
          <w:bCs/>
          <w:b/>
        </w:rPr>
        <w:t xml:space="preserve">84.1%</w:t>
      </w:r>
      <w:r>
        <w:t xml:space="preserve"> </w:t>
      </w:r>
      <w:r>
        <w:t xml:space="preserve">of workers in this occupation receive at least one non-wage benefit.</w:t>
      </w:r>
    </w:p>
    <w:p>
      <w:pPr>
        <w:pStyle w:val="BodyText"/>
      </w:pPr>
      <w:r>
        <w:t xml:space="preserve">Sources:</w:t>
      </w:r>
    </w:p>
    <w:p>
      <w:pPr>
        <w:numPr>
          <w:ilvl w:val="0"/>
          <w:numId w:val="1010"/>
        </w:numPr>
        <w:pStyle w:val="Compact"/>
      </w:pPr>
      <w:hyperlink r:id="rId35">
        <w:r>
          <w:rPr>
            <w:rStyle w:val="Hyperlink"/>
          </w:rPr>
          <w:t xml:space="preserve">https://www.jobbank.gc.ca/wagereport/occupation/15201</w:t>
        </w:r>
      </w:hyperlink>
    </w:p>
    <w:p>
      <w:pPr>
        <w:numPr>
          <w:ilvl w:val="0"/>
          <w:numId w:val="1010"/>
        </w:numPr>
        <w:pStyle w:val="Compact"/>
      </w:pPr>
      <w:hyperlink r:id="rId36">
        <w:r>
          <w:rPr>
            <w:rStyle w:val="Hyperlink"/>
          </w:rPr>
          <w:t xml:space="preserve">https://www.jobbank.gc.ca/marketreport/requirements/15201/ca</w:t>
        </w:r>
      </w:hyperlink>
    </w:p>
    <w:p>
      <w:pPr>
        <w:pStyle w:val="FirstParagraph"/>
      </w:pPr>
      <w:r>
        <w:t xml:space="preserve">A job titled Customer Service Specialist does not automatically map perfectly to NOC 64409. Compare duties before using the occupational data.</w:t>
      </w:r>
    </w:p>
    <w:bookmarkEnd w:id="37"/>
    <w:bookmarkStart w:id="38" w:name="colombia-and-latin-america"/>
    <w:p>
      <w:pPr>
        <w:pStyle w:val="Heading3"/>
      </w:pPr>
      <w:r>
        <w:t xml:space="preserve">Colombia and Latin America</w:t>
      </w:r>
    </w:p>
    <w:p>
      <w:pPr>
        <w:pStyle w:val="FirstParagraph"/>
      </w:pPr>
      <w:r>
        <w:t xml:space="preserve">Do not invent a national Customer Service Specialist wage when a directly comparable official occupational series has not been verified. In Colombia, compare current Servicio Público de Empleo and employer postings for actual titles such as</w:t>
      </w:r>
      <w:r>
        <w:t xml:space="preserve"> </w:t>
      </w:r>
      <w:r>
        <w:rPr>
          <w:rStyle w:val="VerbatimChar"/>
        </w:rPr>
        <w:t xml:space="preserve">asesor de servicio al cliente</w:t>
      </w:r>
      <w:r>
        <w:t xml:space="preserve">,</w:t>
      </w:r>
      <w:r>
        <w:t xml:space="preserve"> </w:t>
      </w:r>
      <w:r>
        <w:rPr>
          <w:rStyle w:val="VerbatimChar"/>
        </w:rPr>
        <w:t xml:space="preserve">agente de servicio</w:t>
      </w:r>
      <w:r>
        <w:t xml:space="preserve">,</w:t>
      </w:r>
      <w:r>
        <w:t xml:space="preserve"> </w:t>
      </w:r>
      <w:r>
        <w:rPr>
          <w:rStyle w:val="VerbatimChar"/>
        </w:rPr>
        <w:t xml:space="preserve">representante de servicio</w:t>
      </w:r>
      <w:r>
        <w:t xml:space="preserve">,</w:t>
      </w:r>
      <w:r>
        <w:t xml:space="preserve"> </w:t>
      </w:r>
      <w:r>
        <w:rPr>
          <w:rStyle w:val="VerbatimChar"/>
        </w:rPr>
        <w:t xml:space="preserve">agente de contact center</w:t>
      </w:r>
      <w:r>
        <w:t xml:space="preserve">,</w:t>
      </w:r>
      <w:r>
        <w:t xml:space="preserve"> </w:t>
      </w:r>
      <w:r>
        <w:rPr>
          <w:rStyle w:val="VerbatimChar"/>
        </w:rPr>
        <w:t xml:space="preserve">asesor de atención</w:t>
      </w:r>
      <w:r>
        <w:t xml:space="preserve"> </w:t>
      </w:r>
      <w:r>
        <w:t xml:space="preserve">or related roles. Record city, salary, benefits, contract type, schedule, language requirements, channel, sales duties, technology, and experience requirements.</w:t>
      </w:r>
    </w:p>
    <w:p>
      <w:pPr>
        <w:pStyle w:val="BodyText"/>
      </w:pPr>
      <w:r>
        <w:t xml:space="preserve">Across Latin America, wages, employment contracts, benefits, privacy obligations, call-recording rules, consumer-protection requirements, work schedules, and outsourcing arrangements vary by country and employer. Local verification is essential.</w:t>
      </w:r>
    </w:p>
    <w:bookmarkEnd w:id="38"/>
    <w:bookmarkEnd w:id="39"/>
    <w:bookmarkStart w:id="40" w:name="X8e74536836db6f41e7b95f58e65214084387d70"/>
    <w:p>
      <w:pPr>
        <w:pStyle w:val="Heading2"/>
      </w:pPr>
      <w:r>
        <w:t xml:space="preserve">7. Education, skills, and credentials</w:t>
      </w:r>
    </w:p>
    <w:p>
      <w:pPr>
        <w:pStyle w:val="FirstParagraph"/>
      </w:pPr>
      <w:r>
        <w:t xml:space="preserve">BLS identifies a high school diploma or equivalent plus short-term on-the-job training as typical preparation for U.S. customer service representative work. Individual employers may require more or less depending on industry and complexity.</w:t>
      </w:r>
    </w:p>
    <w:p>
      <w:pPr>
        <w:pStyle w:val="BodyText"/>
      </w:pPr>
      <w:r>
        <w:t xml:space="preserve">Useful skills include:</w:t>
      </w:r>
    </w:p>
    <w:p>
      <w:pPr>
        <w:numPr>
          <w:ilvl w:val="0"/>
          <w:numId w:val="1011"/>
        </w:numPr>
        <w:pStyle w:val="Compact"/>
      </w:pPr>
      <w:r>
        <w:t xml:space="preserve">active listening and reading comprehension;</w:t>
      </w:r>
    </w:p>
    <w:p>
      <w:pPr>
        <w:numPr>
          <w:ilvl w:val="0"/>
          <w:numId w:val="1011"/>
        </w:numPr>
        <w:pStyle w:val="Compact"/>
      </w:pPr>
      <w:r>
        <w:t xml:space="preserve">concise writing and professional tone;</w:t>
      </w:r>
    </w:p>
    <w:p>
      <w:pPr>
        <w:numPr>
          <w:ilvl w:val="0"/>
          <w:numId w:val="1011"/>
        </w:numPr>
        <w:pStyle w:val="Compact"/>
      </w:pPr>
      <w:r>
        <w:t xml:space="preserve">typing and accurate data entry;</w:t>
      </w:r>
    </w:p>
    <w:p>
      <w:pPr>
        <w:numPr>
          <w:ilvl w:val="0"/>
          <w:numId w:val="1011"/>
        </w:numPr>
        <w:pStyle w:val="Compact"/>
      </w:pPr>
      <w:r>
        <w:t xml:space="preserve">CRM and ticket documentation;</w:t>
      </w:r>
    </w:p>
    <w:p>
      <w:pPr>
        <w:numPr>
          <w:ilvl w:val="0"/>
          <w:numId w:val="1011"/>
        </w:numPr>
        <w:pStyle w:val="Compact"/>
      </w:pPr>
      <w:r>
        <w:t xml:space="preserve">basic spreadsheet and office software use;</w:t>
      </w:r>
    </w:p>
    <w:p>
      <w:pPr>
        <w:numPr>
          <w:ilvl w:val="0"/>
          <w:numId w:val="1011"/>
        </w:numPr>
        <w:pStyle w:val="Compact"/>
      </w:pPr>
      <w:r>
        <w:t xml:space="preserve">problem definition and structured troubleshooting;</w:t>
      </w:r>
    </w:p>
    <w:p>
      <w:pPr>
        <w:numPr>
          <w:ilvl w:val="0"/>
          <w:numId w:val="1011"/>
        </w:numPr>
        <w:pStyle w:val="Compact"/>
      </w:pPr>
      <w:r>
        <w:t xml:space="preserve">de-escalation and conflict management;</w:t>
      </w:r>
    </w:p>
    <w:p>
      <w:pPr>
        <w:numPr>
          <w:ilvl w:val="0"/>
          <w:numId w:val="1011"/>
        </w:numPr>
        <w:pStyle w:val="Compact"/>
      </w:pPr>
      <w:r>
        <w:t xml:space="preserve">accessibility-aware communication;</w:t>
      </w:r>
    </w:p>
    <w:p>
      <w:pPr>
        <w:numPr>
          <w:ilvl w:val="0"/>
          <w:numId w:val="1011"/>
        </w:numPr>
        <w:pStyle w:val="Compact"/>
      </w:pPr>
      <w:r>
        <w:t xml:space="preserve">privacy, authentication, fraud, and cybersecurity awareness;</w:t>
      </w:r>
    </w:p>
    <w:p>
      <w:pPr>
        <w:numPr>
          <w:ilvl w:val="0"/>
          <w:numId w:val="1011"/>
        </w:numPr>
        <w:pStyle w:val="Compact"/>
      </w:pPr>
      <w:r>
        <w:t xml:space="preserve">basic numeracy for orders, billing, refunds, or account explanations; and</w:t>
      </w:r>
    </w:p>
    <w:p>
      <w:pPr>
        <w:numPr>
          <w:ilvl w:val="0"/>
          <w:numId w:val="1011"/>
        </w:numPr>
        <w:pStyle w:val="Compact"/>
      </w:pPr>
      <w:r>
        <w:t xml:space="preserve">learning new products, policies, and software quickly.</w:t>
      </w:r>
    </w:p>
    <w:p>
      <w:pPr>
        <w:pStyle w:val="FirstParagraph"/>
      </w:pPr>
      <w:r>
        <w:t xml:space="preserve">Private customer-service certificates may help demonstrate structured learning, but they are generally not government licenses and should not be treated as universal hiring requirements. Verify employer demand before paying.</w:t>
      </w:r>
    </w:p>
    <w:p>
      <w:pPr>
        <w:pStyle w:val="BodyText"/>
      </w:pPr>
      <w:r>
        <w:t xml:space="preserve">In regulated industries, additional role-specific requirements may apply. Insurance, securities, healthcare, financial-services, government, gaming, aviation, travel, telecommunications, or other sectors can impose specialized rules. A generic customer-service course does not replace required authorization.</w:t>
      </w:r>
    </w:p>
    <w:bookmarkEnd w:id="40"/>
    <w:bookmarkStart w:id="53" w:name="Xd1e7dcbc01f59c19642d961e8cf1ad12514b265"/>
    <w:p>
      <w:pPr>
        <w:pStyle w:val="Heading2"/>
      </w:pPr>
      <w:r>
        <w:t xml:space="preserve">8. Free and low-cost training, funding, scholarships, and employer support</w:t>
      </w:r>
    </w:p>
    <w:p>
      <w:pPr>
        <w:pStyle w:val="FirstParagraph"/>
      </w:pPr>
      <w:r>
        <w:t xml:space="preserve">Use a</w:t>
      </w:r>
      <w:r>
        <w:t xml:space="preserve"> </w:t>
      </w:r>
      <w:r>
        <w:rPr>
          <w:bCs/>
          <w:b/>
        </w:rPr>
        <w:t xml:space="preserve">free-first</w:t>
      </w:r>
      <w:r>
        <w:t xml:space="preserve"> </w:t>
      </w:r>
      <w:r>
        <w:t xml:space="preserve">sequence:</w:t>
      </w:r>
    </w:p>
    <w:p>
      <w:pPr>
        <w:numPr>
          <w:ilvl w:val="0"/>
          <w:numId w:val="1012"/>
        </w:numPr>
        <w:pStyle w:val="Compact"/>
      </w:pPr>
      <w:r>
        <w:t xml:space="preserve">Learn core communication, office-software, cybersecurity, privacy, and customer-service concepts using libraries, official tutorials, open courses, employer materials, or credible nonprofit resources.</w:t>
      </w:r>
    </w:p>
    <w:p>
      <w:pPr>
        <w:numPr>
          <w:ilvl w:val="0"/>
          <w:numId w:val="1012"/>
        </w:numPr>
        <w:pStyle w:val="Compact"/>
      </w:pPr>
      <w:r>
        <w:t xml:space="preserve">Practice with fictional scenarios rather than real customer data.</w:t>
      </w:r>
    </w:p>
    <w:p>
      <w:pPr>
        <w:numPr>
          <w:ilvl w:val="0"/>
          <w:numId w:val="1012"/>
        </w:numPr>
        <w:pStyle w:val="Compact"/>
      </w:pPr>
      <w:r>
        <w:t xml:space="preserve">Review actual vacancies to identify the software, language, schedule, and industry knowledge employers request.</w:t>
      </w:r>
    </w:p>
    <w:p>
      <w:pPr>
        <w:numPr>
          <w:ilvl w:val="0"/>
          <w:numId w:val="1012"/>
        </w:numPr>
        <w:pStyle w:val="Compact"/>
      </w:pPr>
      <w:r>
        <w:t xml:space="preserve">Explore public workforce programs, vocational rehabilitation where eligible, scholarships, institutional aid, and employer-paid training.</w:t>
      </w:r>
    </w:p>
    <w:p>
      <w:pPr>
        <w:numPr>
          <w:ilvl w:val="0"/>
          <w:numId w:val="1012"/>
        </w:numPr>
        <w:pStyle w:val="Compact"/>
      </w:pPr>
      <w:r>
        <w:t xml:space="preserve">Pay for a certificate only when it closes a documented requirement or produces a specific transferable benefit.</w:t>
      </w:r>
    </w:p>
    <w:bookmarkStart w:id="46" w:name="united-states"/>
    <w:p>
      <w:pPr>
        <w:pStyle w:val="Heading3"/>
      </w:pPr>
      <w:r>
        <w:t xml:space="preserve">United States</w:t>
      </w:r>
    </w:p>
    <w:p>
      <w:pPr>
        <w:pStyle w:val="FirstParagraph"/>
      </w:pPr>
      <w:r>
        <w:t xml:space="preserve">American Job Centers provide free employment assistance and can help eligible job seekers explore training opportunities. CareerOneStop maintains the AJC locator and a WIOA-eligible training-program finder. Eligibility and funding vary; the existence of a listed program does not guarantee that a particular person will receive funding.</w:t>
      </w:r>
    </w:p>
    <w:p>
      <w:pPr>
        <w:numPr>
          <w:ilvl w:val="0"/>
          <w:numId w:val="1013"/>
        </w:numPr>
        <w:pStyle w:val="Compact"/>
      </w:pPr>
      <w:r>
        <w:t xml:space="preserve">American Job Centers:</w:t>
      </w:r>
      <w:r>
        <w:t xml:space="preserve"> </w:t>
      </w:r>
      <w:hyperlink r:id="rId41">
        <w:r>
          <w:rPr>
            <w:rStyle w:val="Hyperlink"/>
          </w:rPr>
          <w:t xml:space="preserve">https://www.careeronestop.org/LocalHelp/AmericanJobCenters/american-job-centers.aspx</w:t>
        </w:r>
      </w:hyperlink>
    </w:p>
    <w:p>
      <w:pPr>
        <w:numPr>
          <w:ilvl w:val="0"/>
          <w:numId w:val="1013"/>
        </w:numPr>
        <w:pStyle w:val="Compact"/>
      </w:pPr>
      <w:r>
        <w:t xml:space="preserve">WIOA training finder:</w:t>
      </w:r>
      <w:r>
        <w:t xml:space="preserve"> </w:t>
      </w:r>
      <w:hyperlink r:id="rId42">
        <w:r>
          <w:rPr>
            <w:rStyle w:val="Hyperlink"/>
          </w:rPr>
          <w:t xml:space="preserve">https://www.careeronestop.org/LocalHelp/EmploymentAndTraining/find-WIOA-training-programs.aspx</w:t>
        </w:r>
      </w:hyperlink>
    </w:p>
    <w:p>
      <w:pPr>
        <w:numPr>
          <w:ilvl w:val="0"/>
          <w:numId w:val="1013"/>
        </w:numPr>
        <w:pStyle w:val="Compact"/>
      </w:pPr>
      <w:r>
        <w:t xml:space="preserve">Registered Apprenticeship information and search:</w:t>
      </w:r>
      <w:r>
        <w:t xml:space="preserve"> </w:t>
      </w:r>
      <w:hyperlink r:id="rId43">
        <w:r>
          <w:rPr>
            <w:rStyle w:val="Hyperlink"/>
          </w:rPr>
          <w:t xml:space="preserve">https://www.apprenticeship.gov/</w:t>
        </w:r>
      </w:hyperlink>
    </w:p>
    <w:p>
      <w:pPr>
        <w:numPr>
          <w:ilvl w:val="0"/>
          <w:numId w:val="1013"/>
        </w:numPr>
        <w:pStyle w:val="Compact"/>
      </w:pPr>
      <w:r>
        <w:t xml:space="preserve">Federal Student Aid:</w:t>
      </w:r>
      <w:r>
        <w:t xml:space="preserve"> </w:t>
      </w:r>
      <w:hyperlink r:id="rId44">
        <w:r>
          <w:rPr>
            <w:rStyle w:val="Hyperlink"/>
          </w:rPr>
          <w:t xml:space="preserve">https://studentaid.gov/</w:t>
        </w:r>
      </w:hyperlink>
    </w:p>
    <w:p>
      <w:pPr>
        <w:numPr>
          <w:ilvl w:val="0"/>
          <w:numId w:val="1013"/>
        </w:numPr>
        <w:pStyle w:val="Compact"/>
      </w:pPr>
      <w:r>
        <w:t xml:space="preserve">Scholarship information:</w:t>
      </w:r>
      <w:r>
        <w:t xml:space="preserve"> </w:t>
      </w:r>
      <w:hyperlink r:id="rId45">
        <w:r>
          <w:rPr>
            <w:rStyle w:val="Hyperlink"/>
          </w:rPr>
          <w:t xml:space="preserve">https://studentaid.gov/understand-aid/types/scholarships</w:t>
        </w:r>
      </w:hyperlink>
    </w:p>
    <w:p>
      <w:pPr>
        <w:pStyle w:val="FirstParagraph"/>
      </w:pPr>
      <w:r>
        <w:t xml:space="preserve">Registered Apprenticeship can be relevant when an employer or sponsor offers a customer-service, contact-centre, sales-support, service, or related pathway. Search the current registry rather than assuming a program exists in every location.</w:t>
      </w:r>
    </w:p>
    <w:bookmarkEnd w:id="46"/>
    <w:bookmarkStart w:id="48" w:name="X365526c577baccc8764cbf4eccd897c173fd40d"/>
    <w:p>
      <w:pPr>
        <w:pStyle w:val="Heading3"/>
      </w:pPr>
      <w:r>
        <w:t xml:space="preserve">Employer educational assistance in the United States</w:t>
      </w:r>
    </w:p>
    <w:p>
      <w:pPr>
        <w:pStyle w:val="FirstParagraph"/>
      </w:pPr>
      <w:r>
        <w:t xml:space="preserve">IRS guidance for Section 127 educational-assistance programs states that qualifying employer-provided educational assistance may be excluded from an employee's gross income up to</w:t>
      </w:r>
      <w:r>
        <w:t xml:space="preserve"> </w:t>
      </w:r>
      <w:r>
        <w:rPr>
          <w:bCs/>
          <w:b/>
        </w:rPr>
        <w:t xml:space="preserve">US$5,250 per calendar year for 2025 and 2026</w:t>
      </w:r>
      <w:r>
        <w:t xml:space="preserve">. The amount is subject to cost-of-living adjustment for taxable years after 2026. This is a U.S. tax rule for qualifying employer plans, not a universal employer benefit.</w:t>
      </w:r>
    </w:p>
    <w:p>
      <w:pPr>
        <w:pStyle w:val="BodyText"/>
      </w:pPr>
      <w:r>
        <w:t xml:space="preserve">IRS source:</w:t>
      </w:r>
      <w:r>
        <w:t xml:space="preserve"> </w:t>
      </w:r>
      <w:hyperlink r:id="rId47">
        <w:r>
          <w:rPr>
            <w:rStyle w:val="Hyperlink"/>
          </w:rPr>
          <w:t xml:space="preserve">https://www.irs.gov/newsroom/updates-to-frequently-asked-questions-about-educational-assistance-programs</w:t>
        </w:r>
      </w:hyperlink>
    </w:p>
    <w:p>
      <w:pPr>
        <w:pStyle w:val="BodyText"/>
      </w:pPr>
      <w:r>
        <w:t xml:space="preserve">Before enrolling, obtain the employer's written eligibility, covered-expense, grade, repayment, tax, and continued-employment terms.</w:t>
      </w:r>
    </w:p>
    <w:bookmarkEnd w:id="48"/>
    <w:bookmarkStart w:id="49" w:name="canada-1"/>
    <w:p>
      <w:pPr>
        <w:pStyle w:val="Heading3"/>
      </w:pPr>
      <w:r>
        <w:t xml:space="preserve">Canada</w:t>
      </w:r>
    </w:p>
    <w:p>
      <w:pPr>
        <w:pStyle w:val="FirstParagraph"/>
      </w:pPr>
      <w:r>
        <w:t xml:space="preserve">Use Job Bank, provincial or territorial employment services, public colleges, adult-learning programs, newcomer services, disability employment programs, and employer-funded training to compare options. Funding rules vary by province, territory, program, immigration status, employment status, and individual eligibility. Verify the current program before relying on a subsidy.</w:t>
      </w:r>
    </w:p>
    <w:bookmarkEnd w:id="49"/>
    <w:bookmarkStart w:id="52" w:name="colombia"/>
    <w:p>
      <w:pPr>
        <w:pStyle w:val="Heading3"/>
      </w:pPr>
      <w:r>
        <w:t xml:space="preserve">Colombia</w:t>
      </w:r>
    </w:p>
    <w:p>
      <w:pPr>
        <w:pStyle w:val="FirstParagraph"/>
      </w:pPr>
      <w:r>
        <w:t xml:space="preserve">SENA's Betowa catalogue currently lists</w:t>
      </w:r>
      <w:r>
        <w:t xml:space="preserve"> </w:t>
      </w:r>
      <w:r>
        <w:rPr>
          <w:bCs/>
          <w:b/>
        </w:rPr>
        <w:t xml:space="preserve">Servicio al cliente</w:t>
      </w:r>
      <w:r>
        <w:t xml:space="preserve"> </w:t>
      </w:r>
      <w:r>
        <w:t xml:space="preserve">as a</w:t>
      </w:r>
      <w:r>
        <w:t xml:space="preserve"> </w:t>
      </w:r>
      <w:r>
        <w:rPr>
          <w:bCs/>
          <w:b/>
        </w:rPr>
        <w:t xml:space="preserve">48-hour complementary, in-person special course</w:t>
      </w:r>
      <w:r>
        <w:t xml:space="preserve"> </w:t>
      </w:r>
      <w:r>
        <w:t xml:space="preserve">on the cited page. Availability, cohort, location, modality, and enrollment can change, so verify the live offering before planning around it.</w:t>
      </w:r>
    </w:p>
    <w:p>
      <w:pPr>
        <w:pStyle w:val="BodyText"/>
      </w:pPr>
      <w:r>
        <w:t xml:space="preserve">SENA source:</w:t>
      </w:r>
      <w:r>
        <w:t xml:space="preserve"> </w:t>
      </w:r>
      <w:hyperlink r:id="rId50">
        <w:r>
          <w:rPr>
            <w:rStyle w:val="Hyperlink"/>
          </w:rPr>
          <w:t xml:space="preserve">https://betowa.sena.edu.co/oferta/servicio-al-cliente?modality=P&amp;offertype=open&amp;programId=116454</w:t>
        </w:r>
      </w:hyperlink>
    </w:p>
    <w:p>
      <w:pPr>
        <w:pStyle w:val="BodyText"/>
      </w:pPr>
      <w:r>
        <w:t xml:space="preserve">For employment research, use the Servicio Público de Empleo and current employer vacancies:</w:t>
      </w:r>
    </w:p>
    <w:p>
      <w:pPr>
        <w:pStyle w:val="BodyText"/>
      </w:pPr>
      <w:hyperlink r:id="rId51">
        <w:r>
          <w:rPr>
            <w:rStyle w:val="Hyperlink"/>
          </w:rPr>
          <w:t xml:space="preserve">https://www.serviciodeempleo.gov.co/</w:t>
        </w:r>
      </w:hyperlink>
    </w:p>
    <w:p>
      <w:pPr>
        <w:pStyle w:val="BodyText"/>
      </w:pPr>
      <w:r>
        <w:t xml:space="preserve">Do not pay a private provider merely for information that is available through public systems unless the private program adds a verified benefit that you need.</w:t>
      </w:r>
    </w:p>
    <w:bookmarkEnd w:id="52"/>
    <w:bookmarkEnd w:id="53"/>
    <w:bookmarkStart w:id="54" w:name="Xad152a14184e17ac996afd838e39f0320044b31"/>
    <w:p>
      <w:pPr>
        <w:pStyle w:val="Heading2"/>
      </w:pPr>
      <w:r>
        <w:t xml:space="preserve">9. Accessibility and disability-inclusive planning</w:t>
      </w:r>
    </w:p>
    <w:p>
      <w:pPr>
        <w:pStyle w:val="FirstParagraph"/>
      </w:pPr>
      <w:r>
        <w:t xml:space="preserve">Customer service can be compatible with many disabilities when tools, communication channels, workspace, scheduling, and training are accessible. Needs vary by person and role.</w:t>
      </w:r>
    </w:p>
    <w:p>
      <w:pPr>
        <w:pStyle w:val="BodyText"/>
      </w:pPr>
      <w:r>
        <w:t xml:space="preserve">Potential supports can include:</w:t>
      </w:r>
    </w:p>
    <w:p>
      <w:pPr>
        <w:numPr>
          <w:ilvl w:val="0"/>
          <w:numId w:val="1014"/>
        </w:numPr>
        <w:pStyle w:val="Compact"/>
      </w:pPr>
      <w:r>
        <w:t xml:space="preserve">screen readers, magnification, high-contrast settings, and keyboard navigation;</w:t>
      </w:r>
    </w:p>
    <w:p>
      <w:pPr>
        <w:numPr>
          <w:ilvl w:val="0"/>
          <w:numId w:val="1014"/>
        </w:numPr>
        <w:pStyle w:val="Compact"/>
      </w:pPr>
      <w:r>
        <w:t xml:space="preserve">speech-to-text or alternative input devices;</w:t>
      </w:r>
    </w:p>
    <w:p>
      <w:pPr>
        <w:numPr>
          <w:ilvl w:val="0"/>
          <w:numId w:val="1014"/>
        </w:numPr>
        <w:pStyle w:val="Compact"/>
      </w:pPr>
      <w:r>
        <w:t xml:space="preserve">captions and transcripts for calls, meetings, and training;</w:t>
      </w:r>
    </w:p>
    <w:p>
      <w:pPr>
        <w:numPr>
          <w:ilvl w:val="0"/>
          <w:numId w:val="1014"/>
        </w:numPr>
        <w:pStyle w:val="Compact"/>
      </w:pPr>
      <w:r>
        <w:t xml:space="preserve">accessible CRM and knowledge-base interfaces;</w:t>
      </w:r>
    </w:p>
    <w:p>
      <w:pPr>
        <w:numPr>
          <w:ilvl w:val="0"/>
          <w:numId w:val="1014"/>
        </w:numPr>
        <w:pStyle w:val="Compact"/>
      </w:pPr>
      <w:r>
        <w:t xml:space="preserve">noise reduction, quieter workspace, or remote/hybrid arrangements where the job permits;</w:t>
      </w:r>
    </w:p>
    <w:p>
      <w:pPr>
        <w:numPr>
          <w:ilvl w:val="0"/>
          <w:numId w:val="1014"/>
        </w:numPr>
        <w:pStyle w:val="Compact"/>
      </w:pPr>
      <w:r>
        <w:t xml:space="preserve">ergonomic equipment;</w:t>
      </w:r>
    </w:p>
    <w:p>
      <w:pPr>
        <w:numPr>
          <w:ilvl w:val="0"/>
          <w:numId w:val="1014"/>
        </w:numPr>
        <w:pStyle w:val="Compact"/>
      </w:pPr>
      <w:r>
        <w:t xml:space="preserve">predictable breaks or scheduling adjustments;</w:t>
      </w:r>
    </w:p>
    <w:p>
      <w:pPr>
        <w:numPr>
          <w:ilvl w:val="0"/>
          <w:numId w:val="1014"/>
        </w:numPr>
        <w:pStyle w:val="Compact"/>
      </w:pPr>
      <w:r>
        <w:t xml:space="preserve">written procedures, checklists, examples, and additional processing time where reasonable; and</w:t>
      </w:r>
    </w:p>
    <w:p>
      <w:pPr>
        <w:numPr>
          <w:ilvl w:val="0"/>
          <w:numId w:val="1014"/>
        </w:numPr>
        <w:pStyle w:val="Compact"/>
      </w:pPr>
      <w:r>
        <w:t xml:space="preserve">alternative communication channels when a core duty can be performed that way.</w:t>
      </w:r>
    </w:p>
    <w:p>
      <w:pPr>
        <w:pStyle w:val="FirstParagraph"/>
      </w:pPr>
      <w:r>
        <w:t xml:space="preserve">Before paying for training, ask whether the learning platform, simulations, timed assessments, videos, documents, remote-proctoring system, and required software are accessible to you. Ask about the process for requesting accommodations and what documentation is required.</w:t>
      </w:r>
    </w:p>
    <w:p>
      <w:pPr>
        <w:pStyle w:val="BodyText"/>
      </w:pPr>
      <w:r>
        <w:t xml:space="preserve">Accessibility does not mean lowering essential job standards. It means identifying whether essential functions can be performed with reasonable, lawful supports and whether the training and workplace provide meaningful access.</w:t>
      </w:r>
    </w:p>
    <w:bookmarkEnd w:id="54"/>
    <w:bookmarkStart w:id="59" w:name="X94b089e5432db5fdca9da9e715085ed5272dda1"/>
    <w:p>
      <w:pPr>
        <w:pStyle w:val="Heading2"/>
      </w:pPr>
      <w:r>
        <w:t xml:space="preserve">10. Privacy, cybersecurity, payments, recording, and responsible AI</w:t>
      </w:r>
    </w:p>
    <w:p>
      <w:pPr>
        <w:pStyle w:val="FirstParagraph"/>
      </w:pPr>
      <w:r>
        <w:t xml:space="preserve">Customer service staff are common targets for social engineering because they can see account information and may have authority to reset credentials, change contact details, issue refunds, or route transactions.</w:t>
      </w:r>
    </w:p>
    <w:bookmarkStart w:id="55" w:name="privacy-and-identity"/>
    <w:p>
      <w:pPr>
        <w:pStyle w:val="Heading3"/>
      </w:pPr>
      <w:r>
        <w:t xml:space="preserve">Privacy and identity</w:t>
      </w:r>
    </w:p>
    <w:p>
      <w:pPr>
        <w:pStyle w:val="FirstParagraph"/>
      </w:pPr>
      <w:r>
        <w:t xml:space="preserve">Follow the employer's approved identity-verification method. Do not improvise security questions, reveal authentication answers, or use information found on social media as a substitute for required verification.</w:t>
      </w:r>
    </w:p>
    <w:p>
      <w:pPr>
        <w:pStyle w:val="BodyText"/>
      </w:pPr>
      <w:r>
        <w:t xml:space="preserve">Collect and view only the information needed for the assigned task. Avoid copying sensitive data into notes when the approved system already stores it securely.</w:t>
      </w:r>
    </w:p>
    <w:bookmarkEnd w:id="55"/>
    <w:bookmarkStart w:id="56" w:name="payment-boundaries"/>
    <w:p>
      <w:pPr>
        <w:pStyle w:val="Heading3"/>
      </w:pPr>
      <w:r>
        <w:t xml:space="preserve">Payment boundaries</w:t>
      </w:r>
    </w:p>
    <w:p>
      <w:pPr>
        <w:pStyle w:val="FirstParagraph"/>
      </w:pPr>
      <w:r>
        <w:t xml:space="preserve">Use only approved payment workflows. Do not ask a customer to send full card details through ordinary email or chat unless the organization has explicitly designed and approved that secure channel. Do not record card numbers in free-text notes or personal files.</w:t>
      </w:r>
    </w:p>
    <w:bookmarkEnd w:id="56"/>
    <w:bookmarkStart w:id="57" w:name="call-and-interaction-recording"/>
    <w:p>
      <w:pPr>
        <w:pStyle w:val="Heading3"/>
      </w:pPr>
      <w:r>
        <w:t xml:space="preserve">Call and interaction recording</w:t>
      </w:r>
    </w:p>
    <w:p>
      <w:pPr>
        <w:pStyle w:val="FirstParagraph"/>
      </w:pPr>
      <w:r>
        <w:t xml:space="preserve">Recording and monitoring rules vary by jurisdiction. Follow the employer's current legal and compliance procedure. Do not assume that a script acceptable in one country or state is lawful everywhere.</w:t>
      </w:r>
    </w:p>
    <w:bookmarkEnd w:id="57"/>
    <w:bookmarkStart w:id="58" w:name="responsible-ai"/>
    <w:p>
      <w:pPr>
        <w:pStyle w:val="Heading3"/>
      </w:pPr>
      <w:r>
        <w:t xml:space="preserve">Responsible AI</w:t>
      </w:r>
    </w:p>
    <w:p>
      <w:pPr>
        <w:pStyle w:val="FirstParagraph"/>
      </w:pPr>
      <w:r>
        <w:t xml:space="preserve">Approved AI tools may help summarize a case, retrieve knowledge, draft a response, classify a ticket, or suggest next steps. They can also hallucinate, expose confidential information, reproduce bias, or make a recommendation that exceeds the worker's authority.</w:t>
      </w:r>
    </w:p>
    <w:p>
      <w:pPr>
        <w:pStyle w:val="BodyText"/>
      </w:pPr>
      <w:r>
        <w:t xml:space="preserve">Use AI as assistance, not as unreviewed authority:</w:t>
      </w:r>
    </w:p>
    <w:p>
      <w:pPr>
        <w:numPr>
          <w:ilvl w:val="0"/>
          <w:numId w:val="1015"/>
        </w:numPr>
        <w:pStyle w:val="Compact"/>
      </w:pPr>
      <w:r>
        <w:t xml:space="preserve">Use only approved tools and approved data.</w:t>
      </w:r>
    </w:p>
    <w:p>
      <w:pPr>
        <w:numPr>
          <w:ilvl w:val="0"/>
          <w:numId w:val="1015"/>
        </w:numPr>
        <w:pStyle w:val="Compact"/>
      </w:pPr>
      <w:r>
        <w:t xml:space="preserve">Verify outputs against the current knowledge base, policy, account record, and applicable procedure.</w:t>
      </w:r>
    </w:p>
    <w:p>
      <w:pPr>
        <w:numPr>
          <w:ilvl w:val="0"/>
          <w:numId w:val="1015"/>
        </w:numPr>
        <w:pStyle w:val="Compact"/>
      </w:pPr>
      <w:r>
        <w:t xml:space="preserve">Never invent policy, pricing, refunds, legal rights, health guidance, or commitments because an AI output sounds confident.</w:t>
      </w:r>
    </w:p>
    <w:p>
      <w:pPr>
        <w:numPr>
          <w:ilvl w:val="0"/>
          <w:numId w:val="1015"/>
        </w:numPr>
        <w:pStyle w:val="Compact"/>
      </w:pPr>
      <w:r>
        <w:t xml:space="preserve">Do not paste secrets, passwords, authentication answers, payment data, health information, government identifiers, or confidential customer records into an unapproved model.</w:t>
      </w:r>
    </w:p>
    <w:p>
      <w:pPr>
        <w:numPr>
          <w:ilvl w:val="0"/>
          <w:numId w:val="1015"/>
        </w:numPr>
        <w:pStyle w:val="Compact"/>
      </w:pPr>
      <w:r>
        <w:t xml:space="preserve">Escalate when the answer is uncertain, regulated, safety-sensitive, or inconsistent with source material.</w:t>
      </w:r>
    </w:p>
    <w:p>
      <w:pPr>
        <w:numPr>
          <w:ilvl w:val="0"/>
          <w:numId w:val="1015"/>
        </w:numPr>
        <w:pStyle w:val="Compact"/>
      </w:pPr>
      <w:r>
        <w:t xml:space="preserve">Document material human decisions when required by policy.</w:t>
      </w:r>
    </w:p>
    <w:bookmarkEnd w:id="58"/>
    <w:bookmarkEnd w:id="59"/>
    <w:bookmarkStart w:id="60" w:name="X74c89a64f570e04b535df4ae29350aa56cf32cb"/>
    <w:p>
      <w:pPr>
        <w:pStyle w:val="Heading2"/>
      </w:pPr>
      <w:r>
        <w:t xml:space="preserve">11. Building credible work evidence without exposing customer data</w:t>
      </w:r>
    </w:p>
    <w:p>
      <w:pPr>
        <w:pStyle w:val="FirstParagraph"/>
      </w:pPr>
      <w:r>
        <w:t xml:space="preserve">A portfolio for customer service should not contain real customer records, screenshots, recordings, account numbers, payment information, confidential scripts, internal metrics, or proprietary knowledge-base content unless the employer has explicitly authorized public use.</w:t>
      </w:r>
    </w:p>
    <w:p>
      <w:pPr>
        <w:pStyle w:val="BodyText"/>
      </w:pPr>
      <w:r>
        <w:t xml:space="preserve">Safer evidence includes fictional or sanitized examples such as:</w:t>
      </w:r>
    </w:p>
    <w:p>
      <w:pPr>
        <w:numPr>
          <w:ilvl w:val="0"/>
          <w:numId w:val="1016"/>
        </w:numPr>
        <w:pStyle w:val="Compact"/>
      </w:pPr>
      <w:r>
        <w:t xml:space="preserve">a sample ticket showing clear problem definition, troubleshooting, escalation, and closure;</w:t>
      </w:r>
    </w:p>
    <w:p>
      <w:pPr>
        <w:numPr>
          <w:ilvl w:val="0"/>
          <w:numId w:val="1016"/>
        </w:numPr>
        <w:pStyle w:val="Compact"/>
      </w:pPr>
      <w:r>
        <w:t xml:space="preserve">a fictional difficult-customer scenario with a professional response;</w:t>
      </w:r>
    </w:p>
    <w:p>
      <w:pPr>
        <w:numPr>
          <w:ilvl w:val="0"/>
          <w:numId w:val="1016"/>
        </w:numPr>
        <w:pStyle w:val="Compact"/>
      </w:pPr>
      <w:r>
        <w:t xml:space="preserve">a short knowledge-base article written in plain language;</w:t>
      </w:r>
    </w:p>
    <w:p>
      <w:pPr>
        <w:numPr>
          <w:ilvl w:val="0"/>
          <w:numId w:val="1016"/>
        </w:numPr>
        <w:pStyle w:val="Compact"/>
      </w:pPr>
      <w:r>
        <w:t xml:space="preserve">an accessibility-aware email or chat response;</w:t>
      </w:r>
    </w:p>
    <w:p>
      <w:pPr>
        <w:numPr>
          <w:ilvl w:val="0"/>
          <w:numId w:val="1016"/>
        </w:numPr>
        <w:pStyle w:val="Compact"/>
      </w:pPr>
      <w:r>
        <w:t xml:space="preserve">a sample case-triage decision tree;</w:t>
      </w:r>
    </w:p>
    <w:p>
      <w:pPr>
        <w:numPr>
          <w:ilvl w:val="0"/>
          <w:numId w:val="1016"/>
        </w:numPr>
        <w:pStyle w:val="Compact"/>
      </w:pPr>
      <w:r>
        <w:t xml:space="preserve">a spreadsheet that tracks fictional service volumes and categories;</w:t>
      </w:r>
    </w:p>
    <w:p>
      <w:pPr>
        <w:numPr>
          <w:ilvl w:val="0"/>
          <w:numId w:val="1016"/>
        </w:numPr>
        <w:pStyle w:val="Compact"/>
      </w:pPr>
      <w:r>
        <w:t xml:space="preserve">a quality checklist for documentation; or</w:t>
      </w:r>
    </w:p>
    <w:p>
      <w:pPr>
        <w:numPr>
          <w:ilvl w:val="0"/>
          <w:numId w:val="1016"/>
        </w:numPr>
        <w:pStyle w:val="Compact"/>
      </w:pPr>
      <w:r>
        <w:t xml:space="preserve">a short reflection explaining how privacy, fraud, and AI controls were applied.</w:t>
      </w:r>
    </w:p>
    <w:p>
      <w:pPr>
        <w:pStyle w:val="FirstParagraph"/>
      </w:pPr>
      <w:r>
        <w:t xml:space="preserve">Label simulations clearly. Never imply that fictional work was completed for a real employer or customer.</w:t>
      </w:r>
    </w:p>
    <w:bookmarkEnd w:id="60"/>
    <w:bookmarkStart w:id="61" w:name="X6c60053761f5b5cf41c2dd9d582e60997eb1d0c"/>
    <w:p>
      <w:pPr>
        <w:pStyle w:val="Heading2"/>
      </w:pPr>
      <w:r>
        <w:t xml:space="preserve">12. Resume, application, and interview preparation</w:t>
      </w:r>
    </w:p>
    <w:p>
      <w:pPr>
        <w:pStyle w:val="FirstParagraph"/>
      </w:pPr>
      <w:r>
        <w:t xml:space="preserve">Use truthful evidence. Strong resume bullets describe what you did, the scope, the result when known, and the method without inventing metrics.</w:t>
      </w:r>
    </w:p>
    <w:p>
      <w:pPr>
        <w:pStyle w:val="BodyText"/>
      </w:pPr>
      <w:r>
        <w:t xml:space="preserve">Examples of honest evidence categories include:</w:t>
      </w:r>
    </w:p>
    <w:p>
      <w:pPr>
        <w:numPr>
          <w:ilvl w:val="0"/>
          <w:numId w:val="1017"/>
        </w:numPr>
        <w:pStyle w:val="Compact"/>
      </w:pPr>
      <w:r>
        <w:t xml:space="preserve">channels handled: phone, email, chat, ticketing, in-person;</w:t>
      </w:r>
    </w:p>
    <w:p>
      <w:pPr>
        <w:numPr>
          <w:ilvl w:val="0"/>
          <w:numId w:val="1017"/>
        </w:numPr>
        <w:pStyle w:val="Compact"/>
      </w:pPr>
      <w:r>
        <w:t xml:space="preserve">industries or customer groups supported;</w:t>
      </w:r>
    </w:p>
    <w:p>
      <w:pPr>
        <w:numPr>
          <w:ilvl w:val="0"/>
          <w:numId w:val="1017"/>
        </w:numPr>
        <w:pStyle w:val="Compact"/>
      </w:pPr>
      <w:r>
        <w:t xml:space="preserve">systems used;</w:t>
      </w:r>
    </w:p>
    <w:p>
      <w:pPr>
        <w:numPr>
          <w:ilvl w:val="0"/>
          <w:numId w:val="1017"/>
        </w:numPr>
        <w:pStyle w:val="Compact"/>
      </w:pPr>
      <w:r>
        <w:t xml:space="preserve">languages used professionally;</w:t>
      </w:r>
    </w:p>
    <w:p>
      <w:pPr>
        <w:numPr>
          <w:ilvl w:val="0"/>
          <w:numId w:val="1017"/>
        </w:numPr>
        <w:pStyle w:val="Compact"/>
      </w:pPr>
      <w:r>
        <w:t xml:space="preserve">types of issues resolved or escalated;</w:t>
      </w:r>
    </w:p>
    <w:p>
      <w:pPr>
        <w:numPr>
          <w:ilvl w:val="0"/>
          <w:numId w:val="1017"/>
        </w:numPr>
        <w:pStyle w:val="Compact"/>
      </w:pPr>
      <w:r>
        <w:t xml:space="preserve">documentation and quality responsibilities;</w:t>
      </w:r>
    </w:p>
    <w:p>
      <w:pPr>
        <w:numPr>
          <w:ilvl w:val="0"/>
          <w:numId w:val="1017"/>
        </w:numPr>
        <w:pStyle w:val="Compact"/>
      </w:pPr>
      <w:r>
        <w:t xml:space="preserve">privacy or authentication procedures followed;</w:t>
      </w:r>
    </w:p>
    <w:p>
      <w:pPr>
        <w:numPr>
          <w:ilvl w:val="0"/>
          <w:numId w:val="1017"/>
        </w:numPr>
        <w:pStyle w:val="Compact"/>
      </w:pPr>
      <w:r>
        <w:t xml:space="preserve">training or mentoring provided; and</w:t>
      </w:r>
    </w:p>
    <w:p>
      <w:pPr>
        <w:numPr>
          <w:ilvl w:val="0"/>
          <w:numId w:val="1017"/>
        </w:numPr>
        <w:pStyle w:val="Compact"/>
      </w:pPr>
      <w:r>
        <w:t xml:space="preserve">process improvements supported.</w:t>
      </w:r>
    </w:p>
    <w:p>
      <w:pPr>
        <w:pStyle w:val="FirstParagraph"/>
      </w:pPr>
      <w:r>
        <w:t xml:space="preserve">If you have no direct customer-service title, transferable experience can come from hospitality, retail, caregiving, education, administration, community service, technical support, reception, sales support, volunteering, military service, or family-business work. Describe the actual customer-facing tasks rather than changing your title.</w:t>
      </w:r>
    </w:p>
    <w:p>
      <w:pPr>
        <w:pStyle w:val="BodyText"/>
      </w:pPr>
      <w:r>
        <w:t xml:space="preserve">Prepare interview examples for:</w:t>
      </w:r>
    </w:p>
    <w:p>
      <w:pPr>
        <w:numPr>
          <w:ilvl w:val="0"/>
          <w:numId w:val="1018"/>
        </w:numPr>
        <w:pStyle w:val="Compact"/>
      </w:pPr>
      <w:r>
        <w:t xml:space="preserve">an upset customer;</w:t>
      </w:r>
    </w:p>
    <w:p>
      <w:pPr>
        <w:numPr>
          <w:ilvl w:val="0"/>
          <w:numId w:val="1018"/>
        </w:numPr>
        <w:pStyle w:val="Compact"/>
      </w:pPr>
      <w:r>
        <w:t xml:space="preserve">a problem you could not solve immediately;</w:t>
      </w:r>
    </w:p>
    <w:p>
      <w:pPr>
        <w:numPr>
          <w:ilvl w:val="0"/>
          <w:numId w:val="1018"/>
        </w:numPr>
        <w:pStyle w:val="Compact"/>
      </w:pPr>
      <w:r>
        <w:t xml:space="preserve">a time you followed a policy despite pressure;</w:t>
      </w:r>
    </w:p>
    <w:p>
      <w:pPr>
        <w:numPr>
          <w:ilvl w:val="0"/>
          <w:numId w:val="1018"/>
        </w:numPr>
        <w:pStyle w:val="Compact"/>
      </w:pPr>
      <w:r>
        <w:t xml:space="preserve">a privacy or security concern;</w:t>
      </w:r>
    </w:p>
    <w:p>
      <w:pPr>
        <w:numPr>
          <w:ilvl w:val="0"/>
          <w:numId w:val="1018"/>
        </w:numPr>
        <w:pStyle w:val="Compact"/>
      </w:pPr>
      <w:r>
        <w:t xml:space="preserve">a mistake you corrected;</w:t>
      </w:r>
    </w:p>
    <w:p>
      <w:pPr>
        <w:numPr>
          <w:ilvl w:val="0"/>
          <w:numId w:val="1018"/>
        </w:numPr>
        <w:pStyle w:val="Compact"/>
      </w:pPr>
      <w:r>
        <w:t xml:space="preserve">learning a new system;</w:t>
      </w:r>
    </w:p>
    <w:p>
      <w:pPr>
        <w:numPr>
          <w:ilvl w:val="0"/>
          <w:numId w:val="1018"/>
        </w:numPr>
        <w:pStyle w:val="Compact"/>
      </w:pPr>
      <w:r>
        <w:t xml:space="preserve">balancing speed with accuracy; and</w:t>
      </w:r>
    </w:p>
    <w:p>
      <w:pPr>
        <w:numPr>
          <w:ilvl w:val="0"/>
          <w:numId w:val="1018"/>
        </w:numPr>
        <w:pStyle w:val="Compact"/>
      </w:pPr>
      <w:r>
        <w:t xml:space="preserve">working with someone whose communication style differed from yours.</w:t>
      </w:r>
    </w:p>
    <w:bookmarkEnd w:id="61"/>
    <w:bookmarkStart w:id="65" w:name="Xf05dbb5167e95ed75542c4d6a3d652255be675e"/>
    <w:p>
      <w:pPr>
        <w:pStyle w:val="Heading2"/>
      </w:pPr>
      <w:r>
        <w:t xml:space="preserve">13. First 30, 60, and 90 days</w:t>
      </w:r>
    </w:p>
    <w:bookmarkStart w:id="62" w:name="first-30-days"/>
    <w:p>
      <w:pPr>
        <w:pStyle w:val="Heading3"/>
      </w:pPr>
      <w:r>
        <w:t xml:space="preserve">First 30 days</w:t>
      </w:r>
    </w:p>
    <w:p>
      <w:pPr>
        <w:pStyle w:val="FirstParagraph"/>
      </w:pPr>
      <w:r>
        <w:t xml:space="preserve">Focus on product knowledge, policies, identity checks, privacy, escalation, required scripts, systems, documentation standards, accessibility procedures, and quality expectations. Ask questions before forming shortcuts.</w:t>
      </w:r>
    </w:p>
    <w:bookmarkEnd w:id="62"/>
    <w:bookmarkStart w:id="63" w:name="days-3160"/>
    <w:p>
      <w:pPr>
        <w:pStyle w:val="Heading3"/>
      </w:pPr>
      <w:r>
        <w:t xml:space="preserve">Days 31–60</w:t>
      </w:r>
    </w:p>
    <w:p>
      <w:pPr>
        <w:pStyle w:val="FirstParagraph"/>
      </w:pPr>
      <w:r>
        <w:t xml:space="preserve">Build consistency. Review quality feedback, common contact reasons, exception patterns, knowledge-base gaps, repeat contacts, and your own documentation errors. Learn which issues require specialist escalation.</w:t>
      </w:r>
    </w:p>
    <w:bookmarkEnd w:id="63"/>
    <w:bookmarkStart w:id="64" w:name="days-6190"/>
    <w:p>
      <w:pPr>
        <w:pStyle w:val="Heading3"/>
      </w:pPr>
      <w:r>
        <w:t xml:space="preserve">Days 61–90</w:t>
      </w:r>
    </w:p>
    <w:p>
      <w:pPr>
        <w:pStyle w:val="FirstParagraph"/>
      </w:pPr>
      <w:r>
        <w:t xml:space="preserve">Look for safe improvements: clearer documentation, better knowledge articles, recurring issue identification, accessibility improvements, reduced rework, or better handoffs. Do not optimize a speed metric by skipping controls or closing unresolved cases.</w:t>
      </w:r>
    </w:p>
    <w:bookmarkEnd w:id="64"/>
    <w:bookmarkEnd w:id="65"/>
    <w:bookmarkStart w:id="66" w:name="X33e80452ed9b46716b39749a4ab65bc53eae597"/>
    <w:p>
      <w:pPr>
        <w:pStyle w:val="Heading2"/>
      </w:pPr>
      <w:r>
        <w:t xml:space="preserve">14. Advancement and adjacent paths</w:t>
      </w:r>
    </w:p>
    <w:p>
      <w:pPr>
        <w:pStyle w:val="FirstParagraph"/>
      </w:pPr>
      <w:r>
        <w:t xml:space="preserve">Customer service can build transferable knowledge about customers, systems, products, operational failures, and communication. Possible next steps include:</w:t>
      </w:r>
    </w:p>
    <w:p>
      <w:pPr>
        <w:numPr>
          <w:ilvl w:val="0"/>
          <w:numId w:val="1019"/>
        </w:numPr>
        <w:pStyle w:val="Compact"/>
      </w:pPr>
      <w:r>
        <w:t xml:space="preserve">Senior Customer Service Representative;</w:t>
      </w:r>
    </w:p>
    <w:p>
      <w:pPr>
        <w:numPr>
          <w:ilvl w:val="0"/>
          <w:numId w:val="1019"/>
        </w:numPr>
        <w:pStyle w:val="Compact"/>
      </w:pPr>
      <w:r>
        <w:t xml:space="preserve">Quality Assurance Analyst;</w:t>
      </w:r>
    </w:p>
    <w:p>
      <w:pPr>
        <w:numPr>
          <w:ilvl w:val="0"/>
          <w:numId w:val="1019"/>
        </w:numPr>
        <w:pStyle w:val="Compact"/>
      </w:pPr>
      <w:r>
        <w:t xml:space="preserve">Trainer or Learning Facilitator;</w:t>
      </w:r>
    </w:p>
    <w:p>
      <w:pPr>
        <w:numPr>
          <w:ilvl w:val="0"/>
          <w:numId w:val="1019"/>
        </w:numPr>
        <w:pStyle w:val="Compact"/>
      </w:pPr>
      <w:r>
        <w:t xml:space="preserve">Team Lead or Supervisor;</w:t>
      </w:r>
    </w:p>
    <w:p>
      <w:pPr>
        <w:numPr>
          <w:ilvl w:val="0"/>
          <w:numId w:val="1019"/>
        </w:numPr>
        <w:pStyle w:val="Compact"/>
      </w:pPr>
      <w:r>
        <w:t xml:space="preserve">Workforce Management Coordinator;</w:t>
      </w:r>
    </w:p>
    <w:p>
      <w:pPr>
        <w:numPr>
          <w:ilvl w:val="0"/>
          <w:numId w:val="1019"/>
        </w:numPr>
        <w:pStyle w:val="Compact"/>
      </w:pPr>
      <w:r>
        <w:t xml:space="preserve">Customer Experience Analyst;</w:t>
      </w:r>
    </w:p>
    <w:p>
      <w:pPr>
        <w:numPr>
          <w:ilvl w:val="0"/>
          <w:numId w:val="1019"/>
        </w:numPr>
        <w:pStyle w:val="Compact"/>
      </w:pPr>
      <w:r>
        <w:t xml:space="preserve">Knowledge Management Specialist;</w:t>
      </w:r>
    </w:p>
    <w:p>
      <w:pPr>
        <w:numPr>
          <w:ilvl w:val="0"/>
          <w:numId w:val="1019"/>
        </w:numPr>
        <w:pStyle w:val="Compact"/>
      </w:pPr>
      <w:r>
        <w:t xml:space="preserve">Account or Client Services;</w:t>
      </w:r>
    </w:p>
    <w:p>
      <w:pPr>
        <w:numPr>
          <w:ilvl w:val="0"/>
          <w:numId w:val="1019"/>
        </w:numPr>
        <w:pStyle w:val="Compact"/>
      </w:pPr>
      <w:r>
        <w:t xml:space="preserve">Customer Success;</w:t>
      </w:r>
    </w:p>
    <w:p>
      <w:pPr>
        <w:numPr>
          <w:ilvl w:val="0"/>
          <w:numId w:val="1019"/>
        </w:numPr>
        <w:pStyle w:val="Compact"/>
      </w:pPr>
      <w:r>
        <w:t xml:space="preserve">Operations Coordinator;</w:t>
      </w:r>
    </w:p>
    <w:p>
      <w:pPr>
        <w:numPr>
          <w:ilvl w:val="0"/>
          <w:numId w:val="1019"/>
        </w:numPr>
        <w:pStyle w:val="Compact"/>
      </w:pPr>
      <w:r>
        <w:t xml:space="preserve">Technical Support;</w:t>
      </w:r>
    </w:p>
    <w:p>
      <w:pPr>
        <w:numPr>
          <w:ilvl w:val="0"/>
          <w:numId w:val="1019"/>
        </w:numPr>
        <w:pStyle w:val="Compact"/>
      </w:pPr>
      <w:r>
        <w:t xml:space="preserve">Fraud Operations or Trust and Safety support; and</w:t>
      </w:r>
    </w:p>
    <w:p>
      <w:pPr>
        <w:numPr>
          <w:ilvl w:val="0"/>
          <w:numId w:val="1019"/>
        </w:numPr>
        <w:pStyle w:val="Compact"/>
      </w:pPr>
      <w:r>
        <w:t xml:space="preserve">service-process or business-analysis roles.</w:t>
      </w:r>
    </w:p>
    <w:p>
      <w:pPr>
        <w:pStyle w:val="FirstParagraph"/>
      </w:pPr>
      <w:r>
        <w:t xml:space="preserve">Advancement is not automatic. Build evidence of judgment, documentation quality, process understanding, coaching, data literacy, cross-functional communication, accessibility awareness, and responsible technology use.</w:t>
      </w:r>
    </w:p>
    <w:bookmarkEnd w:id="66"/>
    <w:bookmarkStart w:id="67" w:name="Xf3b147b46aea8e9b3859a7a5801bec2398a4076"/>
    <w:p>
      <w:pPr>
        <w:pStyle w:val="Heading2"/>
      </w:pPr>
      <w:r>
        <w:t xml:space="preserve">15. Before enrolling in any paid program</w:t>
      </w:r>
    </w:p>
    <w:p>
      <w:pPr>
        <w:pStyle w:val="FirstParagraph"/>
      </w:pPr>
      <w:r>
        <w:t xml:space="preserve">Ask for the following in writing:</w:t>
      </w:r>
    </w:p>
    <w:p>
      <w:pPr>
        <w:numPr>
          <w:ilvl w:val="0"/>
          <w:numId w:val="1020"/>
        </w:numPr>
        <w:pStyle w:val="Compact"/>
      </w:pPr>
      <w:r>
        <w:t xml:space="preserve">total price and every required fee;</w:t>
      </w:r>
    </w:p>
    <w:p>
      <w:pPr>
        <w:numPr>
          <w:ilvl w:val="0"/>
          <w:numId w:val="1020"/>
        </w:numPr>
        <w:pStyle w:val="Compact"/>
      </w:pPr>
      <w:r>
        <w:t xml:space="preserve">refund and withdrawal policy;</w:t>
      </w:r>
    </w:p>
    <w:p>
      <w:pPr>
        <w:numPr>
          <w:ilvl w:val="0"/>
          <w:numId w:val="1020"/>
        </w:numPr>
        <w:pStyle w:val="Compact"/>
      </w:pPr>
      <w:r>
        <w:t xml:space="preserve">hardware, software, internet, travel, or proctoring costs;</w:t>
      </w:r>
    </w:p>
    <w:p>
      <w:pPr>
        <w:numPr>
          <w:ilvl w:val="0"/>
          <w:numId w:val="1020"/>
        </w:numPr>
        <w:pStyle w:val="Compact"/>
      </w:pPr>
      <w:r>
        <w:t xml:space="preserve">whether the credential is required by law, requested by employers, or simply offered by the provider;</w:t>
      </w:r>
    </w:p>
    <w:p>
      <w:pPr>
        <w:numPr>
          <w:ilvl w:val="0"/>
          <w:numId w:val="1020"/>
        </w:numPr>
        <w:pStyle w:val="Compact"/>
      </w:pPr>
      <w:r>
        <w:t xml:space="preserve">who recognizes the credential;</w:t>
      </w:r>
    </w:p>
    <w:p>
      <w:pPr>
        <w:numPr>
          <w:ilvl w:val="0"/>
          <w:numId w:val="1020"/>
        </w:numPr>
        <w:pStyle w:val="Compact"/>
      </w:pPr>
      <w:r>
        <w:t xml:space="preserve">whether credits transfer and to which institutions;</w:t>
      </w:r>
    </w:p>
    <w:p>
      <w:pPr>
        <w:numPr>
          <w:ilvl w:val="0"/>
          <w:numId w:val="1020"/>
        </w:numPr>
        <w:pStyle w:val="Compact"/>
      </w:pPr>
      <w:r>
        <w:t xml:space="preserve">accessibility and accommodation process;</w:t>
      </w:r>
    </w:p>
    <w:p>
      <w:pPr>
        <w:numPr>
          <w:ilvl w:val="0"/>
          <w:numId w:val="1020"/>
        </w:numPr>
        <w:pStyle w:val="Compact"/>
      </w:pPr>
      <w:r>
        <w:t xml:space="preserve">completion and placement methodology, including the denominator used;</w:t>
      </w:r>
    </w:p>
    <w:p>
      <w:pPr>
        <w:numPr>
          <w:ilvl w:val="0"/>
          <w:numId w:val="1020"/>
        </w:numPr>
        <w:pStyle w:val="Compact"/>
      </w:pPr>
      <w:r>
        <w:t xml:space="preserve">internship or practicum terms;</w:t>
      </w:r>
    </w:p>
    <w:p>
      <w:pPr>
        <w:numPr>
          <w:ilvl w:val="0"/>
          <w:numId w:val="1020"/>
        </w:numPr>
        <w:pStyle w:val="Compact"/>
      </w:pPr>
      <w:r>
        <w:t xml:space="preserve">employer-repayment obligations if applicable; and</w:t>
      </w:r>
    </w:p>
    <w:p>
      <w:pPr>
        <w:numPr>
          <w:ilvl w:val="0"/>
          <w:numId w:val="1020"/>
        </w:numPr>
        <w:pStyle w:val="Compact"/>
      </w:pPr>
      <w:r>
        <w:t xml:space="preserve">complaint and cancellation procedures.</w:t>
      </w:r>
    </w:p>
    <w:p>
      <w:pPr>
        <w:pStyle w:val="FirstParagraph"/>
      </w:pPr>
      <w:r>
        <w:t xml:space="preserve">Check actual job postings before assuming a credential has labor-market value.</w:t>
      </w:r>
    </w:p>
    <w:bookmarkEnd w:id="67"/>
    <w:bookmarkStart w:id="68" w:name="X5bcbb6b45d40d4d426fa7785540c677ceb97d21"/>
    <w:p>
      <w:pPr>
        <w:pStyle w:val="Heading2"/>
      </w:pPr>
      <w:r>
        <w:t xml:space="preserve">16. Career decision scorecard</w:t>
      </w:r>
    </w:p>
    <w:p>
      <w:pPr>
        <w:pStyle w:val="FirstParagraph"/>
      </w:pPr>
      <w:r>
        <w:t xml:space="preserve">Rate each item from 1 (poor fit) to 5 (strong fit):</w:t>
      </w:r>
    </w:p>
    <w:p>
      <w:pPr>
        <w:numPr>
          <w:ilvl w:val="0"/>
          <w:numId w:val="1021"/>
        </w:numPr>
        <w:pStyle w:val="Compact"/>
      </w:pPr>
      <w:r>
        <w:t xml:space="preserve">interest in helping people solve problems;</w:t>
      </w:r>
    </w:p>
    <w:p>
      <w:pPr>
        <w:numPr>
          <w:ilvl w:val="0"/>
          <w:numId w:val="1021"/>
        </w:numPr>
        <w:pStyle w:val="Compact"/>
      </w:pPr>
      <w:r>
        <w:t xml:space="preserve">tolerance for repetitive contacts;</w:t>
      </w:r>
    </w:p>
    <w:p>
      <w:pPr>
        <w:numPr>
          <w:ilvl w:val="0"/>
          <w:numId w:val="1021"/>
        </w:numPr>
        <w:pStyle w:val="Compact"/>
      </w:pPr>
      <w:r>
        <w:t xml:space="preserve">comfort with measured performance;</w:t>
      </w:r>
    </w:p>
    <w:p>
      <w:pPr>
        <w:numPr>
          <w:ilvl w:val="0"/>
          <w:numId w:val="1021"/>
        </w:numPr>
        <w:pStyle w:val="Compact"/>
      </w:pPr>
      <w:r>
        <w:t xml:space="preserve">communication fit;</w:t>
      </w:r>
    </w:p>
    <w:p>
      <w:pPr>
        <w:numPr>
          <w:ilvl w:val="0"/>
          <w:numId w:val="1021"/>
        </w:numPr>
        <w:pStyle w:val="Compact"/>
      </w:pPr>
      <w:r>
        <w:t xml:space="preserve">schedule fit;</w:t>
      </w:r>
    </w:p>
    <w:p>
      <w:pPr>
        <w:numPr>
          <w:ilvl w:val="0"/>
          <w:numId w:val="1021"/>
        </w:numPr>
        <w:pStyle w:val="Compact"/>
      </w:pPr>
      <w:r>
        <w:t xml:space="preserve">accessibility fit;</w:t>
      </w:r>
    </w:p>
    <w:p>
      <w:pPr>
        <w:numPr>
          <w:ilvl w:val="0"/>
          <w:numId w:val="1021"/>
        </w:numPr>
        <w:pStyle w:val="Compact"/>
      </w:pPr>
      <w:r>
        <w:t xml:space="preserve">emotional sustainability;</w:t>
      </w:r>
    </w:p>
    <w:p>
      <w:pPr>
        <w:numPr>
          <w:ilvl w:val="0"/>
          <w:numId w:val="1021"/>
        </w:numPr>
        <w:pStyle w:val="Compact"/>
      </w:pPr>
      <w:r>
        <w:t xml:space="preserve">privacy and security responsibility;</w:t>
      </w:r>
    </w:p>
    <w:p>
      <w:pPr>
        <w:numPr>
          <w:ilvl w:val="0"/>
          <w:numId w:val="1021"/>
        </w:numPr>
        <w:pStyle w:val="Compact"/>
      </w:pPr>
      <w:r>
        <w:t xml:space="preserve">technology-learning comfort;</w:t>
      </w:r>
    </w:p>
    <w:p>
      <w:pPr>
        <w:numPr>
          <w:ilvl w:val="0"/>
          <w:numId w:val="1021"/>
        </w:numPr>
        <w:pStyle w:val="Compact"/>
      </w:pPr>
      <w:r>
        <w:t xml:space="preserve">realistic local wages and benefits;</w:t>
      </w:r>
    </w:p>
    <w:p>
      <w:pPr>
        <w:numPr>
          <w:ilvl w:val="0"/>
          <w:numId w:val="1021"/>
        </w:numPr>
        <w:pStyle w:val="Compact"/>
      </w:pPr>
      <w:r>
        <w:t xml:space="preserve">cost of training;</w:t>
      </w:r>
    </w:p>
    <w:p>
      <w:pPr>
        <w:numPr>
          <w:ilvl w:val="0"/>
          <w:numId w:val="1021"/>
        </w:numPr>
        <w:pStyle w:val="Compact"/>
      </w:pPr>
      <w:r>
        <w:t xml:space="preserve">availability of free/employer-funded alternatives;</w:t>
      </w:r>
    </w:p>
    <w:p>
      <w:pPr>
        <w:numPr>
          <w:ilvl w:val="0"/>
          <w:numId w:val="1021"/>
        </w:numPr>
        <w:pStyle w:val="Compact"/>
      </w:pPr>
      <w:r>
        <w:t xml:space="preserve">advancement potential; and</w:t>
      </w:r>
    </w:p>
    <w:p>
      <w:pPr>
        <w:numPr>
          <w:ilvl w:val="0"/>
          <w:numId w:val="1021"/>
        </w:numPr>
        <w:pStyle w:val="Compact"/>
      </w:pPr>
      <w:r>
        <w:t xml:space="preserve">compatibility with family, transportation, health, and caregiving needs.</w:t>
      </w:r>
    </w:p>
    <w:p>
      <w:pPr>
        <w:pStyle w:val="FirstParagraph"/>
      </w:pPr>
      <w:r>
        <w:t xml:space="preserve">A low score is information, not failure. It may point toward a different service channel, industry, schedule, or adjacent occupation.</w:t>
      </w:r>
    </w:p>
    <w:bookmarkEnd w:id="68"/>
    <w:bookmarkStart w:id="75" w:name="Xd2c72d519e917bcf025c82ad209e2a12e0a6e90"/>
    <w:p>
      <w:pPr>
        <w:pStyle w:val="Heading2"/>
      </w:pPr>
      <w:r>
        <w:t xml:space="preserve">17. A twelve-week low-cost exploration plan</w:t>
      </w:r>
    </w:p>
    <w:bookmarkStart w:id="69" w:name="weeks-12-investigate"/>
    <w:p>
      <w:pPr>
        <w:pStyle w:val="Heading3"/>
      </w:pPr>
      <w:r>
        <w:t xml:space="preserve">Weeks 1–2: investigate</w:t>
      </w:r>
    </w:p>
    <w:p>
      <w:pPr>
        <w:pStyle w:val="FirstParagraph"/>
      </w:pPr>
      <w:r>
        <w:t xml:space="preserve">Read 20–30 current local job postings. Record titles, pay, schedule, language, channels, education, software, industry, and required experience. Compare them with the official occupation sources in this guide.</w:t>
      </w:r>
    </w:p>
    <w:bookmarkEnd w:id="69"/>
    <w:bookmarkStart w:id="70" w:name="weeks-34-build-fundamentals"/>
    <w:p>
      <w:pPr>
        <w:pStyle w:val="Heading3"/>
      </w:pPr>
      <w:r>
        <w:t xml:space="preserve">Weeks 3–4: build fundamentals</w:t>
      </w:r>
    </w:p>
    <w:p>
      <w:pPr>
        <w:pStyle w:val="FirstParagraph"/>
      </w:pPr>
      <w:r>
        <w:t xml:space="preserve">Practice professional email/chat writing, typing, basic spreadsheets, privacy awareness, authentication concepts, de-escalation, and clear documentation using free resources.</w:t>
      </w:r>
    </w:p>
    <w:bookmarkEnd w:id="70"/>
    <w:bookmarkStart w:id="71" w:name="weeks-56-simulate"/>
    <w:p>
      <w:pPr>
        <w:pStyle w:val="Heading3"/>
      </w:pPr>
      <w:r>
        <w:t xml:space="preserve">Weeks 5–6: simulate</w:t>
      </w:r>
    </w:p>
    <w:p>
      <w:pPr>
        <w:pStyle w:val="FirstParagraph"/>
      </w:pPr>
      <w:r>
        <w:t xml:space="preserve">Create fictional tickets, customer scenarios, case notes, and escalation decisions. Practice explaining a policy in plain language without inventing exceptions.</w:t>
      </w:r>
    </w:p>
    <w:bookmarkEnd w:id="71"/>
    <w:bookmarkStart w:id="72" w:name="weeks-78-test-technology"/>
    <w:p>
      <w:pPr>
        <w:pStyle w:val="Heading3"/>
      </w:pPr>
      <w:r>
        <w:t xml:space="preserve">Weeks 7–8: test technology</w:t>
      </w:r>
    </w:p>
    <w:p>
      <w:pPr>
        <w:pStyle w:val="FirstParagraph"/>
      </w:pPr>
      <w:r>
        <w:t xml:space="preserve">Learn the concepts behind CRM, ticketing, knowledge bases, contact channels, and approved AI assistance. Use free trials or simulations only when terms are safe and no real customer data is involved.</w:t>
      </w:r>
    </w:p>
    <w:bookmarkEnd w:id="72"/>
    <w:bookmarkStart w:id="73" w:name="weeks-910-verify-pathways"/>
    <w:p>
      <w:pPr>
        <w:pStyle w:val="Heading3"/>
      </w:pPr>
      <w:r>
        <w:t xml:space="preserve">Weeks 9–10: verify pathways</w:t>
      </w:r>
    </w:p>
    <w:p>
      <w:pPr>
        <w:pStyle w:val="FirstParagraph"/>
      </w:pPr>
      <w:r>
        <w:t xml:space="preserve">Check American Job Centers/WIOA or local equivalents, apprenticeship options, employer tuition support, public institutions, SENA in Colombia, scholarships, and disability or newcomer employment services where applicable.</w:t>
      </w:r>
    </w:p>
    <w:bookmarkEnd w:id="73"/>
    <w:bookmarkStart w:id="74" w:name="weeks-1112-apply-and-review"/>
    <w:p>
      <w:pPr>
        <w:pStyle w:val="Heading3"/>
      </w:pPr>
      <w:r>
        <w:t xml:space="preserve">Weeks 11–12: apply and review</w:t>
      </w:r>
    </w:p>
    <w:p>
      <w:pPr>
        <w:pStyle w:val="FirstParagraph"/>
      </w:pPr>
      <w:r>
        <w:t xml:space="preserve">Prepare a truthful resume, practice interviews, submit targeted applications, record responses, and reassess whether a paid credential is actually necessary.</w:t>
      </w:r>
    </w:p>
    <w:bookmarkEnd w:id="74"/>
    <w:bookmarkEnd w:id="75"/>
    <w:bookmarkStart w:id="79" w:name="X6f3927ec60097012c8b8e6f7d980be7fb2e5e0d"/>
    <w:p>
      <w:pPr>
        <w:pStyle w:val="Heading2"/>
      </w:pPr>
      <w:r>
        <w:t xml:space="preserve">18. Worksheets</w:t>
      </w:r>
    </w:p>
    <w:bookmarkStart w:id="76" w:name="local-job-sample"/>
    <w:p>
      <w:pPr>
        <w:pStyle w:val="Heading3"/>
      </w:pPr>
      <w:r>
        <w:t xml:space="preserve">Local job sample</w:t>
      </w:r>
    </w:p>
    <w:p>
      <w:pPr>
        <w:pStyle w:val="FirstParagraph"/>
      </w:pPr>
      <w:r>
        <w:t xml:space="preserve">For each vacancy record:</w:t>
      </w:r>
    </w:p>
    <w:p>
      <w:pPr>
        <w:numPr>
          <w:ilvl w:val="0"/>
          <w:numId w:val="1022"/>
        </w:numPr>
        <w:pStyle w:val="Compact"/>
      </w:pPr>
      <w:r>
        <w:t xml:space="preserve">exact title;</w:t>
      </w:r>
    </w:p>
    <w:p>
      <w:pPr>
        <w:numPr>
          <w:ilvl w:val="0"/>
          <w:numId w:val="1022"/>
        </w:numPr>
        <w:pStyle w:val="Compact"/>
      </w:pPr>
      <w:r>
        <w:t xml:space="preserve">employer and industry;</w:t>
      </w:r>
    </w:p>
    <w:p>
      <w:pPr>
        <w:numPr>
          <w:ilvl w:val="0"/>
          <w:numId w:val="1022"/>
        </w:numPr>
        <w:pStyle w:val="Compact"/>
      </w:pPr>
      <w:r>
        <w:t xml:space="preserve">city/country;</w:t>
      </w:r>
    </w:p>
    <w:p>
      <w:pPr>
        <w:numPr>
          <w:ilvl w:val="0"/>
          <w:numId w:val="1022"/>
        </w:numPr>
        <w:pStyle w:val="Compact"/>
      </w:pPr>
      <w:r>
        <w:t xml:space="preserve">remote, hybrid, or on-site status;</w:t>
      </w:r>
    </w:p>
    <w:p>
      <w:pPr>
        <w:numPr>
          <w:ilvl w:val="0"/>
          <w:numId w:val="1022"/>
        </w:numPr>
        <w:pStyle w:val="Compact"/>
      </w:pPr>
      <w:r>
        <w:t xml:space="preserve">date posted;</w:t>
      </w:r>
    </w:p>
    <w:p>
      <w:pPr>
        <w:numPr>
          <w:ilvl w:val="0"/>
          <w:numId w:val="1022"/>
        </w:numPr>
        <w:pStyle w:val="Compact"/>
      </w:pPr>
      <w:r>
        <w:t xml:space="preserve">base pay and benefits if stated;</w:t>
      </w:r>
    </w:p>
    <w:p>
      <w:pPr>
        <w:numPr>
          <w:ilvl w:val="0"/>
          <w:numId w:val="1022"/>
        </w:numPr>
        <w:pStyle w:val="Compact"/>
      </w:pPr>
      <w:r>
        <w:t xml:space="preserve">schedule;</w:t>
      </w:r>
    </w:p>
    <w:p>
      <w:pPr>
        <w:numPr>
          <w:ilvl w:val="0"/>
          <w:numId w:val="1022"/>
        </w:numPr>
        <w:pStyle w:val="Compact"/>
      </w:pPr>
      <w:r>
        <w:t xml:space="preserve">channels handled;</w:t>
      </w:r>
    </w:p>
    <w:p>
      <w:pPr>
        <w:numPr>
          <w:ilvl w:val="0"/>
          <w:numId w:val="1022"/>
        </w:numPr>
        <w:pStyle w:val="Compact"/>
      </w:pPr>
      <w:r>
        <w:t xml:space="preserve">required language(s);</w:t>
      </w:r>
    </w:p>
    <w:p>
      <w:pPr>
        <w:numPr>
          <w:ilvl w:val="0"/>
          <w:numId w:val="1022"/>
        </w:numPr>
        <w:pStyle w:val="Compact"/>
      </w:pPr>
      <w:r>
        <w:t xml:space="preserve">education and experience;</w:t>
      </w:r>
    </w:p>
    <w:p>
      <w:pPr>
        <w:numPr>
          <w:ilvl w:val="0"/>
          <w:numId w:val="1022"/>
        </w:numPr>
        <w:pStyle w:val="Compact"/>
      </w:pPr>
      <w:r>
        <w:t xml:space="preserve">required systems;</w:t>
      </w:r>
    </w:p>
    <w:p>
      <w:pPr>
        <w:numPr>
          <w:ilvl w:val="0"/>
          <w:numId w:val="1022"/>
        </w:numPr>
        <w:pStyle w:val="Compact"/>
      </w:pPr>
      <w:r>
        <w:t xml:space="preserve">sales or collections duties;</w:t>
      </w:r>
    </w:p>
    <w:p>
      <w:pPr>
        <w:numPr>
          <w:ilvl w:val="0"/>
          <w:numId w:val="1022"/>
        </w:numPr>
        <w:pStyle w:val="Compact"/>
      </w:pPr>
      <w:r>
        <w:t xml:space="preserve">regulated responsibilities;</w:t>
      </w:r>
    </w:p>
    <w:p>
      <w:pPr>
        <w:numPr>
          <w:ilvl w:val="0"/>
          <w:numId w:val="1022"/>
        </w:numPr>
        <w:pStyle w:val="Compact"/>
      </w:pPr>
      <w:r>
        <w:t xml:space="preserve">accessibility considerations; and</w:t>
      </w:r>
    </w:p>
    <w:p>
      <w:pPr>
        <w:numPr>
          <w:ilvl w:val="0"/>
          <w:numId w:val="1022"/>
        </w:numPr>
        <w:pStyle w:val="Compact"/>
      </w:pPr>
      <w:r>
        <w:t xml:space="preserve">application outcome.</w:t>
      </w:r>
    </w:p>
    <w:bookmarkEnd w:id="76"/>
    <w:bookmarkStart w:id="77" w:name="training-comparison"/>
    <w:p>
      <w:pPr>
        <w:pStyle w:val="Heading3"/>
      </w:pPr>
      <w:r>
        <w:t xml:space="preserve">Training comparison</w:t>
      </w:r>
    </w:p>
    <w:p>
      <w:pPr>
        <w:pStyle w:val="FirstParagraph"/>
      </w:pPr>
      <w:r>
        <w:t xml:space="preserve">For each program record:</w:t>
      </w:r>
    </w:p>
    <w:p>
      <w:pPr>
        <w:numPr>
          <w:ilvl w:val="0"/>
          <w:numId w:val="1023"/>
        </w:numPr>
        <w:pStyle w:val="Compact"/>
      </w:pPr>
      <w:r>
        <w:t xml:space="preserve">provider;</w:t>
      </w:r>
    </w:p>
    <w:p>
      <w:pPr>
        <w:numPr>
          <w:ilvl w:val="0"/>
          <w:numId w:val="1023"/>
        </w:numPr>
        <w:pStyle w:val="Compact"/>
      </w:pPr>
      <w:r>
        <w:t xml:space="preserve">public/nonprofit/for-profit/employer;</w:t>
      </w:r>
    </w:p>
    <w:p>
      <w:pPr>
        <w:numPr>
          <w:ilvl w:val="0"/>
          <w:numId w:val="1023"/>
        </w:numPr>
        <w:pStyle w:val="Compact"/>
      </w:pPr>
      <w:r>
        <w:t xml:space="preserve">total cost;</w:t>
      </w:r>
    </w:p>
    <w:p>
      <w:pPr>
        <w:numPr>
          <w:ilvl w:val="0"/>
          <w:numId w:val="1023"/>
        </w:numPr>
        <w:pStyle w:val="Compact"/>
      </w:pPr>
      <w:r>
        <w:t xml:space="preserve">funding available;</w:t>
      </w:r>
    </w:p>
    <w:p>
      <w:pPr>
        <w:numPr>
          <w:ilvl w:val="0"/>
          <w:numId w:val="1023"/>
        </w:numPr>
        <w:pStyle w:val="Compact"/>
      </w:pPr>
      <w:r>
        <w:t xml:space="preserve">duration;</w:t>
      </w:r>
    </w:p>
    <w:p>
      <w:pPr>
        <w:numPr>
          <w:ilvl w:val="0"/>
          <w:numId w:val="1023"/>
        </w:numPr>
        <w:pStyle w:val="Compact"/>
      </w:pPr>
      <w:r>
        <w:t xml:space="preserve">delivery mode;</w:t>
      </w:r>
    </w:p>
    <w:p>
      <w:pPr>
        <w:numPr>
          <w:ilvl w:val="0"/>
          <w:numId w:val="1023"/>
        </w:numPr>
        <w:pStyle w:val="Compact"/>
      </w:pPr>
      <w:r>
        <w:t xml:space="preserve">accessibility;</w:t>
      </w:r>
    </w:p>
    <w:p>
      <w:pPr>
        <w:numPr>
          <w:ilvl w:val="0"/>
          <w:numId w:val="1023"/>
        </w:numPr>
        <w:pStyle w:val="Compact"/>
      </w:pPr>
      <w:r>
        <w:t xml:space="preserve">exact skills taught;</w:t>
      </w:r>
    </w:p>
    <w:p>
      <w:pPr>
        <w:numPr>
          <w:ilvl w:val="0"/>
          <w:numId w:val="1023"/>
        </w:numPr>
        <w:pStyle w:val="Compact"/>
      </w:pPr>
      <w:r>
        <w:t xml:space="preserve">credential earned;</w:t>
      </w:r>
    </w:p>
    <w:p>
      <w:pPr>
        <w:numPr>
          <w:ilvl w:val="0"/>
          <w:numId w:val="1023"/>
        </w:numPr>
        <w:pStyle w:val="Compact"/>
      </w:pPr>
      <w:r>
        <w:t xml:space="preserve">employer recognition evidence;</w:t>
      </w:r>
    </w:p>
    <w:p>
      <w:pPr>
        <w:numPr>
          <w:ilvl w:val="0"/>
          <w:numId w:val="1023"/>
        </w:numPr>
        <w:pStyle w:val="Compact"/>
      </w:pPr>
      <w:r>
        <w:t xml:space="preserve">transferability;</w:t>
      </w:r>
    </w:p>
    <w:p>
      <w:pPr>
        <w:numPr>
          <w:ilvl w:val="0"/>
          <w:numId w:val="1023"/>
        </w:numPr>
        <w:pStyle w:val="Compact"/>
      </w:pPr>
      <w:r>
        <w:t xml:space="preserve">refund terms; and</w:t>
      </w:r>
    </w:p>
    <w:p>
      <w:pPr>
        <w:numPr>
          <w:ilvl w:val="0"/>
          <w:numId w:val="1023"/>
        </w:numPr>
        <w:pStyle w:val="Compact"/>
      </w:pPr>
      <w:r>
        <w:t xml:space="preserve">repayment obligation.</w:t>
      </w:r>
    </w:p>
    <w:bookmarkEnd w:id="77"/>
    <w:bookmarkStart w:id="78" w:name="offer-review"/>
    <w:p>
      <w:pPr>
        <w:pStyle w:val="Heading3"/>
      </w:pPr>
      <w:r>
        <w:t xml:space="preserve">Offer review</w:t>
      </w:r>
    </w:p>
    <w:p>
      <w:pPr>
        <w:pStyle w:val="FirstParagraph"/>
      </w:pPr>
      <w:r>
        <w:t xml:space="preserve">Before accepting, record:</w:t>
      </w:r>
    </w:p>
    <w:p>
      <w:pPr>
        <w:numPr>
          <w:ilvl w:val="0"/>
          <w:numId w:val="1024"/>
        </w:numPr>
        <w:pStyle w:val="Compact"/>
      </w:pPr>
      <w:r>
        <w:t xml:space="preserve">compensation;</w:t>
      </w:r>
    </w:p>
    <w:p>
      <w:pPr>
        <w:numPr>
          <w:ilvl w:val="0"/>
          <w:numId w:val="1024"/>
        </w:numPr>
        <w:pStyle w:val="Compact"/>
      </w:pPr>
      <w:r>
        <w:t xml:space="preserve">benefits;</w:t>
      </w:r>
    </w:p>
    <w:p>
      <w:pPr>
        <w:numPr>
          <w:ilvl w:val="0"/>
          <w:numId w:val="1024"/>
        </w:numPr>
        <w:pStyle w:val="Compact"/>
      </w:pPr>
      <w:r>
        <w:t xml:space="preserve">employment classification;</w:t>
      </w:r>
    </w:p>
    <w:p>
      <w:pPr>
        <w:numPr>
          <w:ilvl w:val="0"/>
          <w:numId w:val="1024"/>
        </w:numPr>
        <w:pStyle w:val="Compact"/>
      </w:pPr>
      <w:r>
        <w:t xml:space="preserve">schedule and time zone;</w:t>
      </w:r>
    </w:p>
    <w:p>
      <w:pPr>
        <w:numPr>
          <w:ilvl w:val="0"/>
          <w:numId w:val="1024"/>
        </w:numPr>
        <w:pStyle w:val="Compact"/>
      </w:pPr>
      <w:r>
        <w:t xml:space="preserve">equipment responsibility;</w:t>
      </w:r>
    </w:p>
    <w:p>
      <w:pPr>
        <w:numPr>
          <w:ilvl w:val="0"/>
          <w:numId w:val="1024"/>
        </w:numPr>
        <w:pStyle w:val="Compact"/>
      </w:pPr>
      <w:r>
        <w:t xml:space="preserve">performance metrics;</w:t>
      </w:r>
    </w:p>
    <w:p>
      <w:pPr>
        <w:numPr>
          <w:ilvl w:val="0"/>
          <w:numId w:val="1024"/>
        </w:numPr>
        <w:pStyle w:val="Compact"/>
      </w:pPr>
      <w:r>
        <w:t xml:space="preserve">training period and pay;</w:t>
      </w:r>
    </w:p>
    <w:p>
      <w:pPr>
        <w:numPr>
          <w:ilvl w:val="0"/>
          <w:numId w:val="1024"/>
        </w:numPr>
        <w:pStyle w:val="Compact"/>
      </w:pPr>
      <w:r>
        <w:t xml:space="preserve">customer-abuse/safety policy;</w:t>
      </w:r>
    </w:p>
    <w:p>
      <w:pPr>
        <w:numPr>
          <w:ilvl w:val="0"/>
          <w:numId w:val="1024"/>
        </w:numPr>
        <w:pStyle w:val="Compact"/>
      </w:pPr>
      <w:r>
        <w:t xml:space="preserve">privacy and monitoring requirements;</w:t>
      </w:r>
    </w:p>
    <w:p>
      <w:pPr>
        <w:numPr>
          <w:ilvl w:val="0"/>
          <w:numId w:val="1024"/>
        </w:numPr>
        <w:pStyle w:val="Compact"/>
      </w:pPr>
      <w:r>
        <w:t xml:space="preserve">remote-work location restrictions;</w:t>
      </w:r>
    </w:p>
    <w:p>
      <w:pPr>
        <w:numPr>
          <w:ilvl w:val="0"/>
          <w:numId w:val="1024"/>
        </w:numPr>
        <w:pStyle w:val="Compact"/>
      </w:pPr>
      <w:r>
        <w:t xml:space="preserve">probationary conditions; and</w:t>
      </w:r>
    </w:p>
    <w:p>
      <w:pPr>
        <w:numPr>
          <w:ilvl w:val="0"/>
          <w:numId w:val="1024"/>
        </w:numPr>
        <w:pStyle w:val="Compact"/>
      </w:pPr>
      <w:r>
        <w:t xml:space="preserve">any training-repayment agreement.</w:t>
      </w:r>
    </w:p>
    <w:bookmarkEnd w:id="78"/>
    <w:bookmarkEnd w:id="79"/>
    <w:bookmarkStart w:id="83" w:name="X6fd10e18adf979c6458301ce2e91c6a64ac4d19"/>
    <w:p>
      <w:pPr>
        <w:pStyle w:val="Heading2"/>
      </w:pPr>
      <w:r>
        <w:t xml:space="preserve">19. Sources, versioning, and final verification checklist</w:t>
      </w:r>
    </w:p>
    <w:bookmarkStart w:id="80" w:name="Xcaff9d085a7c5c5dc5ddfd44e30c27d06e39d59"/>
    <w:p>
      <w:pPr>
        <w:pStyle w:val="Heading3"/>
      </w:pPr>
      <w:r>
        <w:t xml:space="preserve">Controlled sources reviewed for the 2026 English master</w:t>
      </w:r>
    </w:p>
    <w:p>
      <w:pPr>
        <w:pStyle w:val="FirstParagraph"/>
      </w:pPr>
      <w:r>
        <w:t xml:space="preserve">United States official occupational evidence:</w:t>
      </w:r>
    </w:p>
    <w:p>
      <w:pPr>
        <w:pStyle w:val="BodyText"/>
      </w:pPr>
      <w:hyperlink r:id="rId30">
        <w:r>
          <w:rPr>
            <w:rStyle w:val="Hyperlink"/>
          </w:rPr>
          <w:t xml:space="preserve">https://www.bls.gov/ooh/office-and-administrative-support/customer-service-representatives.htm</w:t>
        </w:r>
      </w:hyperlink>
    </w:p>
    <w:p>
      <w:pPr>
        <w:pStyle w:val="BodyText"/>
      </w:pPr>
      <w:r>
        <w:t xml:space="preserve">United States current non-government market estimates:</w:t>
      </w:r>
    </w:p>
    <w:p>
      <w:pPr>
        <w:pStyle w:val="BodyText"/>
      </w:pPr>
      <w:hyperlink r:id="rId32">
        <w:r>
          <w:rPr>
            <w:rStyle w:val="Hyperlink"/>
          </w:rPr>
          <w:t xml:space="preserve">https://www.ziprecruiter.com/Salaries/Customer-Service-Specialist-Salary</w:t>
        </w:r>
      </w:hyperlink>
    </w:p>
    <w:p>
      <w:pPr>
        <w:pStyle w:val="BodyText"/>
      </w:pPr>
      <w:hyperlink r:id="rId33">
        <w:r>
          <w:rPr>
            <w:rStyle w:val="Hyperlink"/>
          </w:rPr>
          <w:t xml:space="preserve">https://www.ziprecruiter.com/Salaries/Customer-Service-Representative-Salary</w:t>
        </w:r>
      </w:hyperlink>
    </w:p>
    <w:p>
      <w:pPr>
        <w:pStyle w:val="BodyText"/>
      </w:pPr>
      <w:r>
        <w:t xml:space="preserve">United States workforce, apprenticeship, aid, and employer-education resources:</w:t>
      </w:r>
    </w:p>
    <w:p>
      <w:pPr>
        <w:pStyle w:val="BodyText"/>
      </w:pPr>
      <w:hyperlink r:id="rId41">
        <w:r>
          <w:rPr>
            <w:rStyle w:val="Hyperlink"/>
          </w:rPr>
          <w:t xml:space="preserve">https://www.careeronestop.org/LocalHelp/AmericanJobCenters/american-job-centers.aspx</w:t>
        </w:r>
      </w:hyperlink>
    </w:p>
    <w:p>
      <w:pPr>
        <w:pStyle w:val="BodyText"/>
      </w:pPr>
      <w:hyperlink r:id="rId42">
        <w:r>
          <w:rPr>
            <w:rStyle w:val="Hyperlink"/>
          </w:rPr>
          <w:t xml:space="preserve">https://www.careeronestop.org/LocalHelp/EmploymentAndTraining/find-WIOA-training-programs.aspx</w:t>
        </w:r>
      </w:hyperlink>
    </w:p>
    <w:p>
      <w:pPr>
        <w:pStyle w:val="BodyText"/>
      </w:pPr>
      <w:hyperlink r:id="rId43">
        <w:r>
          <w:rPr>
            <w:rStyle w:val="Hyperlink"/>
          </w:rPr>
          <w:t xml:space="preserve">https://www.apprenticeship.gov/</w:t>
        </w:r>
      </w:hyperlink>
    </w:p>
    <w:p>
      <w:pPr>
        <w:pStyle w:val="BodyText"/>
      </w:pPr>
      <w:hyperlink r:id="rId44">
        <w:r>
          <w:rPr>
            <w:rStyle w:val="Hyperlink"/>
          </w:rPr>
          <w:t xml:space="preserve">https://studentaid.gov/</w:t>
        </w:r>
      </w:hyperlink>
    </w:p>
    <w:p>
      <w:pPr>
        <w:pStyle w:val="BodyText"/>
      </w:pPr>
      <w:hyperlink r:id="rId45">
        <w:r>
          <w:rPr>
            <w:rStyle w:val="Hyperlink"/>
          </w:rPr>
          <w:t xml:space="preserve">https://studentaid.gov/understand-aid/types/scholarships</w:t>
        </w:r>
      </w:hyperlink>
    </w:p>
    <w:p>
      <w:pPr>
        <w:pStyle w:val="BodyText"/>
      </w:pPr>
      <w:hyperlink r:id="rId47">
        <w:r>
          <w:rPr>
            <w:rStyle w:val="Hyperlink"/>
          </w:rPr>
          <w:t xml:space="preserve">https://www.irs.gov/newsroom/updates-to-frequently-asked-questions-about-educational-assistance-programs</w:t>
        </w:r>
      </w:hyperlink>
    </w:p>
    <w:p>
      <w:pPr>
        <w:pStyle w:val="BodyText"/>
      </w:pPr>
      <w:r>
        <w:t xml:space="preserve">Canada occupational evidence:</w:t>
      </w:r>
    </w:p>
    <w:p>
      <w:pPr>
        <w:pStyle w:val="BodyText"/>
      </w:pPr>
      <w:hyperlink r:id="rId35">
        <w:r>
          <w:rPr>
            <w:rStyle w:val="Hyperlink"/>
          </w:rPr>
          <w:t xml:space="preserve">https://www.jobbank.gc.ca/wagereport/occupation/15201</w:t>
        </w:r>
      </w:hyperlink>
    </w:p>
    <w:p>
      <w:pPr>
        <w:pStyle w:val="BodyText"/>
      </w:pPr>
      <w:hyperlink r:id="rId36">
        <w:r>
          <w:rPr>
            <w:rStyle w:val="Hyperlink"/>
          </w:rPr>
          <w:t xml:space="preserve">https://www.jobbank.gc.ca/marketreport/requirements/15201/ca</w:t>
        </w:r>
      </w:hyperlink>
    </w:p>
    <w:p>
      <w:pPr>
        <w:pStyle w:val="BodyText"/>
      </w:pPr>
      <w:r>
        <w:t xml:space="preserve">Colombia training and employment pathways:</w:t>
      </w:r>
    </w:p>
    <w:p>
      <w:pPr>
        <w:pStyle w:val="BodyText"/>
      </w:pPr>
      <w:hyperlink r:id="rId50">
        <w:r>
          <w:rPr>
            <w:rStyle w:val="Hyperlink"/>
          </w:rPr>
          <w:t xml:space="preserve">https://betowa.sena.edu.co/oferta/servicio-al-cliente?modality=P&amp;offertype=open&amp;programId=116454</w:t>
        </w:r>
      </w:hyperlink>
    </w:p>
    <w:p>
      <w:pPr>
        <w:pStyle w:val="BodyText"/>
      </w:pPr>
      <w:hyperlink r:id="rId51">
        <w:r>
          <w:rPr>
            <w:rStyle w:val="Hyperlink"/>
          </w:rPr>
          <w:t xml:space="preserve">https://www.serviciodeempleo.gov.co/</w:t>
        </w:r>
      </w:hyperlink>
    </w:p>
    <w:bookmarkEnd w:id="80"/>
    <w:bookmarkStart w:id="81" w:name="version-control"/>
    <w:p>
      <w:pPr>
        <w:pStyle w:val="Heading3"/>
      </w:pPr>
      <w:r>
        <w:t xml:space="preserve">Version control</w:t>
      </w:r>
    </w:p>
    <w:p>
      <w:pPr>
        <w:numPr>
          <w:ilvl w:val="0"/>
          <w:numId w:val="1025"/>
        </w:numPr>
        <w:pStyle w:val="Compact"/>
      </w:pPr>
      <w:r>
        <w:t xml:space="preserve">Guide: 07</w:t>
      </w:r>
    </w:p>
    <w:p>
      <w:pPr>
        <w:numPr>
          <w:ilvl w:val="0"/>
          <w:numId w:val="1025"/>
        </w:numPr>
        <w:pStyle w:val="Compact"/>
      </w:pPr>
      <w:r>
        <w:t xml:space="preserve">Occupation: Customer Service Specialist</w:t>
      </w:r>
    </w:p>
    <w:p>
      <w:pPr>
        <w:numPr>
          <w:ilvl w:val="0"/>
          <w:numId w:val="1025"/>
        </w:numPr>
        <w:pStyle w:val="Compact"/>
      </w:pPr>
      <w:r>
        <w:t xml:space="preserve">Publication-candidate version: 2.0</w:t>
      </w:r>
    </w:p>
    <w:p>
      <w:pPr>
        <w:numPr>
          <w:ilvl w:val="0"/>
          <w:numId w:val="1025"/>
        </w:numPr>
        <w:pStyle w:val="Compact"/>
      </w:pPr>
      <w:r>
        <w:t xml:space="preserve">Review cycle: 2026</w:t>
      </w:r>
    </w:p>
    <w:p>
      <w:pPr>
        <w:numPr>
          <w:ilvl w:val="0"/>
          <w:numId w:val="1025"/>
        </w:numPr>
        <w:pStyle w:val="Compact"/>
      </w:pPr>
      <w:r>
        <w:t xml:space="preserve">English source status: frozen for the controlled 2026 publication candidate</w:t>
      </w:r>
    </w:p>
    <w:p>
      <w:pPr>
        <w:numPr>
          <w:ilvl w:val="0"/>
          <w:numId w:val="1025"/>
        </w:numPr>
        <w:pStyle w:val="Compact"/>
      </w:pPr>
      <w:r>
        <w:t xml:space="preserve">Publication status: controlled publication candidate; release remains governed by repository QA records</w:t>
      </w:r>
    </w:p>
    <w:bookmarkEnd w:id="81"/>
    <w:bookmarkStart w:id="82" w:name="final-verification-checklist"/>
    <w:p>
      <w:pPr>
        <w:pStyle w:val="Heading3"/>
      </w:pPr>
      <w:r>
        <w:t xml:space="preserve">Final verification checklist</w:t>
      </w:r>
    </w:p>
    <w:p>
      <w:pPr>
        <w:pStyle w:val="FirstParagraph"/>
      </w:pPr>
      <w:r>
        <w:t xml:space="preserve">Confirm:</w:t>
      </w:r>
    </w:p>
    <w:p>
      <w:pPr>
        <w:numPr>
          <w:ilvl w:val="0"/>
          <w:numId w:val="1026"/>
        </w:numPr>
        <w:pStyle w:val="Compact"/>
      </w:pPr>
      <w:r>
        <w:t xml:space="preserve">high-impact wage, outlook, tax, funding, training, and regulatory statements against current sources;</w:t>
      </w:r>
    </w:p>
    <w:p>
      <w:pPr>
        <w:numPr>
          <w:ilvl w:val="0"/>
          <w:numId w:val="1026"/>
        </w:numPr>
        <w:pStyle w:val="Compact"/>
      </w:pPr>
      <w:r>
        <w:t xml:space="preserve">official and non-government wage evidence remain clearly separated;</w:t>
      </w:r>
    </w:p>
    <w:p>
      <w:pPr>
        <w:numPr>
          <w:ilvl w:val="0"/>
          <w:numId w:val="1026"/>
        </w:numPr>
        <w:pStyle w:val="Compact"/>
      </w:pPr>
      <w:r>
        <w:t xml:space="preserve">links resolve or are documented when an official site resists automated retrieval;</w:t>
      </w:r>
    </w:p>
    <w:p>
      <w:pPr>
        <w:numPr>
          <w:ilvl w:val="0"/>
          <w:numId w:val="1026"/>
        </w:numPr>
        <w:pStyle w:val="Compact"/>
      </w:pPr>
      <w:r>
        <w:t xml:space="preserve">no optional credential is misrepresented as a legal requirement;</w:t>
      </w:r>
    </w:p>
    <w:p>
      <w:pPr>
        <w:numPr>
          <w:ilvl w:val="0"/>
          <w:numId w:val="1026"/>
        </w:numPr>
        <w:pStyle w:val="Compact"/>
      </w:pPr>
      <w:r>
        <w:t xml:space="preserve">U.S. rules are not presented as global rules;</w:t>
      </w:r>
    </w:p>
    <w:p>
      <w:pPr>
        <w:numPr>
          <w:ilvl w:val="0"/>
          <w:numId w:val="1026"/>
        </w:numPr>
        <w:pStyle w:val="Compact"/>
      </w:pPr>
      <w:r>
        <w:t xml:space="preserve">Canada NOC mapping is appropriately qualified;</w:t>
      </w:r>
    </w:p>
    <w:p>
      <w:pPr>
        <w:numPr>
          <w:ilvl w:val="0"/>
          <w:numId w:val="1026"/>
        </w:numPr>
        <w:pStyle w:val="Compact"/>
      </w:pPr>
      <w:r>
        <w:t xml:space="preserve">Colombia SENA availability is not guaranteed;</w:t>
      </w:r>
    </w:p>
    <w:p>
      <w:pPr>
        <w:numPr>
          <w:ilvl w:val="0"/>
          <w:numId w:val="1026"/>
        </w:numPr>
        <w:pStyle w:val="Compact"/>
      </w:pPr>
      <w:r>
        <w:t xml:space="preserve">privacy, payment, authentication, accessibility, safety, and AI boundaries are explicit;</w:t>
      </w:r>
    </w:p>
    <w:p>
      <w:pPr>
        <w:numPr>
          <w:ilvl w:val="0"/>
          <w:numId w:val="1026"/>
        </w:numPr>
        <w:pStyle w:val="Compact"/>
      </w:pPr>
      <w:r>
        <w:t xml:space="preserve">Markdown is valid UTF-8 without BOM or replacement characters;</w:t>
      </w:r>
    </w:p>
    <w:p>
      <w:pPr>
        <w:numPr>
          <w:ilvl w:val="0"/>
          <w:numId w:val="1026"/>
        </w:numPr>
        <w:pStyle w:val="Compact"/>
      </w:pPr>
      <w:r>
        <w:t xml:space="preserve">headings and lists are structurally consistent;</w:t>
      </w:r>
    </w:p>
    <w:p>
      <w:pPr>
        <w:numPr>
          <w:ilvl w:val="0"/>
          <w:numId w:val="1026"/>
        </w:numPr>
        <w:pStyle w:val="Compact"/>
      </w:pPr>
      <w:r>
        <w:t xml:space="preserve">language is plain, respectful, and readable; and</w:t>
      </w:r>
    </w:p>
    <w:p>
      <w:pPr>
        <w:numPr>
          <w:ilvl w:val="0"/>
          <w:numId w:val="1026"/>
        </w:numPr>
        <w:pStyle w:val="Compact"/>
      </w:pPr>
      <w:r>
        <w:t xml:space="preserve">no independent human certification, professional translation certification, accessibility certification, accreditation, legal review, or guaranteed outcome is claimed.</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lish"/>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_rels/footnotes.xml.rels><?xml version="1.0" encoding="UTF-8"?><Relationships xmlns="http://schemas.openxmlformats.org/package/2006/relationships"><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English</dc:language>
  <cp:keywords/>
  <dcterms:created xsi:type="dcterms:W3CDTF">2026-08-08T16:08:38Z</dcterms:created>
  <dcterms:modified xsi:type="dcterms:W3CDTF">2026-08-08T16:08:38Z</dcterms:modified>
</cp:coreProperties>
</file>

<file path=docProps/custom.xml><?xml version="1.0" encoding="utf-8"?>
<Properties xmlns="http://schemas.openxmlformats.org/officeDocument/2006/custom-properties" xmlns:vt="http://schemas.openxmlformats.org/officeDocument/2006/docPropsVTypes"/>
</file>