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6e090d8c4b1cf0c0e4b285c17ed354945b52fa"/>
    <w:p>
      <w:pPr>
        <w:pStyle w:val="Heading1"/>
      </w:pPr>
      <w:r>
        <w:t xml:space="preserve">Guía de Oportunidades para Toda la Vida 10 — Coordinador de Capacitación y Desarrollo</w:t>
      </w:r>
    </w:p>
    <w:p>
      <w:pPr>
        <w:pStyle w:val="FirstParagraph"/>
      </w:pPr>
      <w:r>
        <w:rPr>
          <w:bCs/>
          <w:b/>
        </w:rPr>
        <w:t xml:space="preserve">Candidato de publicación controlado en español latinoamericano 2026</w:t>
      </w:r>
      <w:r>
        <w:br/>
      </w:r>
      <w:r>
        <w:t xml:space="preserve">Versión 2.0 • agosto de 2026</w:t>
      </w:r>
      <w:r>
        <w:br/>
      </w:r>
      <w:r>
        <w:t xml:space="preserve">Creada y dirigida por Alberto (Al) Leiva</w:t>
      </w:r>
      <w:r>
        <w:br/>
      </w:r>
      <w:r>
        <w:t xml:space="preserve">Investigación, organización, edición y preparación de documentos con apoyo de ChatGPT, OpenAI</w:t>
      </w:r>
    </w:p>
    <w:p>
      <w:pPr>
        <w:pStyle w:val="BlockText"/>
      </w:pPr>
      <w:r>
        <w:rPr>
          <w:bCs/>
          <w:b/>
        </w:rPr>
        <w:t xml:space="preserve">Estado controlado:</w:t>
      </w:r>
      <w:r>
        <w:t xml:space="preserve"> </w:t>
      </w:r>
      <w:r>
        <w:t xml:space="preserve">Este es el candidato de publicación controlado en español latinoamericano para la revisión de 2026, localizado a partir de la fuente inglesa v2 congelada. Ha superado las verificaciones documentadas de terminología, paridad, documentos, renderizado y publicación.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el trabajo de capacitación y desarrollo sea adecuado para todas las personas, que una credencial produzca empleo, que la formación sea gratuita ni que un salario se aplique en todos los lugares. Su propósito es ayudar a comprender el trabajo, comparar rutas de aprendizaje asequibles, construir evidencia de capacidad, usar IA de forma responsable y verificar requisitos vigentes antes de gastar dinero o aceptar obligaciones de empleo o reembolso.</w:t>
      </w:r>
    </w:p>
    <w:bookmarkEnd w:id="20"/>
    <w:bookmarkStart w:id="21" w:name="por-qué-existe-esta-guía"/>
    <w:p>
      <w:pPr>
        <w:pStyle w:val="Heading2"/>
      </w:pPr>
      <w:r>
        <w:t xml:space="preserve">Por qué existe esta guía</w:t>
      </w:r>
    </w:p>
    <w:p>
      <w:pPr>
        <w:pStyle w:val="FirstParagraph"/>
      </w:pPr>
      <w:r>
        <w:t xml:space="preserve">El trabajo de capacitación y desarrollo combina personas, operaciones, tecnología de aprendizaje, comunicación, datos y cambio organizacional. Los títulos de coordinador varían mucho. Algunas empresas esperan programación de cursos y administración de LMS; otras incluyen facilitación, apoyo al análisis de necesidades, apoyo al diseño instruccional, capacitación de cumplimiento, incorporación, proveedores, informes o coordinación de proyectos. El plan más seguro comienza con funciones reales de vacantes locales y no solo con el título.</w:t>
      </w:r>
    </w:p>
    <w:bookmarkEnd w:id="21"/>
    <w:bookmarkStart w:id="22" w:name="reconocimiento-del-apoyo-de-ia"/>
    <w:p>
      <w:pPr>
        <w:pStyle w:val="Heading2"/>
      </w:pPr>
      <w:r>
        <w:t xml:space="preserve">Reconocimiento del apoyo de IA</w:t>
      </w:r>
    </w:p>
    <w:p>
      <w:pPr>
        <w:pStyle w:val="FirstParagraph"/>
      </w:pPr>
      <w:r>
        <w:t xml:space="preserve">Alberto (Al) Leiva concibió y dirige este proyecto y conserva la responsabilidad por la guía. ChatGPT de OpenAI se utilizó como herramienta de apoyo para investigación, organización, edición y preparación de documentos. El apoyo de IA no constituye certificación humana independiente, certificación profesional de traducción, acreditación, certificación de accesibilidad, revisión legal, asesoría laboral o tributaria ni sustituye fuentes oficiales vigentes y criterio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de educación y navegación profesional. No ofrece asesoría legal, tributaria, laboral, de discapacidad, privacidad, ciberseguridad, financiera, migratoria, de licenciamiento ni profesional individualizada. Los programas pueden involucrar registros de empleados, salud o seguridad, evaluaciones, necesidades de accesibilidad, desempeño o información empresarial confidencial. Siga los procedimientos del empleador y la normativa aplicable, y escale aquello que exceda su autoridad.</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con vacantes actuales de su mercado objetivo.</w:t>
      </w:r>
    </w:p>
    <w:p>
      <w:pPr>
        <w:numPr>
          <w:ilvl w:val="0"/>
          <w:numId w:val="1001"/>
        </w:numPr>
        <w:pStyle w:val="Compact"/>
      </w:pPr>
      <w:r>
        <w:t xml:space="preserve">Busque</w:t>
      </w:r>
      <w:r>
        <w:t xml:space="preserve"> </w:t>
      </w:r>
      <w:r>
        <w:rPr>
          <w:rStyle w:val="VerbatimChar"/>
        </w:rPr>
        <w:t xml:space="preserve">Training and Development Coordinator</w:t>
      </w:r>
      <w:r>
        <w:t xml:space="preserve">,</w:t>
      </w:r>
      <w:r>
        <w:t xml:space="preserve"> </w:t>
      </w:r>
      <w:r>
        <w:rPr>
          <w:rStyle w:val="VerbatimChar"/>
        </w:rPr>
        <w:t xml:space="preserve">Learning and Development Coordinator</w:t>
      </w:r>
      <w:r>
        <w:t xml:space="preserve">,</w:t>
      </w:r>
      <w:r>
        <w:t xml:space="preserve"> </w:t>
      </w:r>
      <w:r>
        <w:rPr>
          <w:rStyle w:val="VerbatimChar"/>
        </w:rPr>
        <w:t xml:space="preserve">Training Coordinator</w:t>
      </w:r>
      <w:r>
        <w:t xml:space="preserve">,</w:t>
      </w:r>
      <w:r>
        <w:t xml:space="preserve"> </w:t>
      </w:r>
      <w:r>
        <w:rPr>
          <w:rStyle w:val="VerbatimChar"/>
        </w:rPr>
        <w:t xml:space="preserve">Learning Coordinator</w:t>
      </w:r>
      <w:r>
        <w:t xml:space="preserve">,</w:t>
      </w:r>
      <w:r>
        <w:t xml:space="preserve"> </w:t>
      </w:r>
      <w:r>
        <w:rPr>
          <w:rStyle w:val="VerbatimChar"/>
        </w:rPr>
        <w:t xml:space="preserve">L&amp;D Coordinator</w:t>
      </w:r>
      <w:r>
        <w:t xml:space="preserve">,</w:t>
      </w:r>
      <w:r>
        <w:t xml:space="preserve"> </w:t>
      </w:r>
      <w:r>
        <w:rPr>
          <w:rStyle w:val="VerbatimChar"/>
        </w:rPr>
        <w:t xml:space="preserve">Training Administrator</w:t>
      </w:r>
      <w:r>
        <w:t xml:space="preserve">,</w:t>
      </w:r>
      <w:r>
        <w:t xml:space="preserve"> </w:t>
      </w:r>
      <w:r>
        <w:rPr>
          <w:rStyle w:val="VerbatimChar"/>
        </w:rPr>
        <w:t xml:space="preserve">Talent Development Coordinator</w:t>
      </w:r>
      <w:r>
        <w:t xml:space="preserve"> </w:t>
      </w:r>
      <w:r>
        <w:t xml:space="preserve">y equivalentes locales.</w:t>
      </w:r>
    </w:p>
    <w:p>
      <w:pPr>
        <w:numPr>
          <w:ilvl w:val="0"/>
          <w:numId w:val="1001"/>
        </w:numPr>
        <w:pStyle w:val="Compact"/>
      </w:pPr>
      <w:r>
        <w:t xml:space="preserve">Compare funciones, no solo títulos.</w:t>
      </w:r>
    </w:p>
    <w:p>
      <w:pPr>
        <w:numPr>
          <w:ilvl w:val="0"/>
          <w:numId w:val="1001"/>
        </w:numPr>
        <w:pStyle w:val="Compact"/>
      </w:pPr>
      <w:r>
        <w:t xml:space="preserve">Separe administración y facilitación de nivel coordinador de responsabilidades de gerencia, legales, relaciones laborales, clínicas, seguridad, cumplimiento, diseño instruccional o funciones licenciadas.</w:t>
      </w:r>
    </w:p>
    <w:p>
      <w:pPr>
        <w:numPr>
          <w:ilvl w:val="0"/>
          <w:numId w:val="1001"/>
        </w:numPr>
        <w:pStyle w:val="Compact"/>
      </w:pPr>
      <w:r>
        <w:t xml:space="preserve">Registre educación, experiencia, sistemas, idiomas, horario, viajes, facilitación, informes y portafolio solicitados.</w:t>
      </w:r>
    </w:p>
    <w:p>
      <w:pPr>
        <w:numPr>
          <w:ilvl w:val="0"/>
          <w:numId w:val="1001"/>
        </w:numPr>
        <w:pStyle w:val="Compact"/>
      </w:pPr>
      <w:r>
        <w:t xml:space="preserve">Priorice aprendizaje gratuito, público, financiado por empleador o basado en trabajo antes de pagar una credencial privada cuando esas rutas cubran el requisito verificado.</w:t>
      </w:r>
    </w:p>
    <w:p>
      <w:pPr>
        <w:numPr>
          <w:ilvl w:val="0"/>
          <w:numId w:val="1001"/>
        </w:numPr>
        <w:pStyle w:val="Compact"/>
      </w:pPr>
      <w:r>
        <w:t xml:space="preserve">No acepte que una certificación privada sea legalmente obligatoria sin confirmación de la autoridad o del empleador responsable.</w:t>
      </w:r>
    </w:p>
    <w:bookmarkEnd w:id="24"/>
    <w:bookmarkStart w:id="25" w:name="en-qué-consiste-el-trabajo"/>
    <w:p>
      <w:pPr>
        <w:pStyle w:val="Heading2"/>
      </w:pPr>
      <w:r>
        <w:t xml:space="preserve">2. En qué consiste el trabajo</w:t>
      </w:r>
    </w:p>
    <w:p>
      <w:pPr>
        <w:pStyle w:val="FirstParagraph"/>
      </w:pPr>
      <w:r>
        <w:t xml:space="preserve">Los coordinadores de capacitación y desarrollo ayudan a planear, organizar, impartir, documentar y mejorar actividades de aprendizaje de empleados. Según el empleador pueden:</w:t>
      </w:r>
    </w:p>
    <w:p>
      <w:pPr>
        <w:numPr>
          <w:ilvl w:val="0"/>
          <w:numId w:val="1002"/>
        </w:numPr>
        <w:pStyle w:val="Compact"/>
      </w:pPr>
      <w:r>
        <w:t xml:space="preserve">programar clases, instructores, salas, webinars o sesiones virtuales;</w:t>
      </w:r>
    </w:p>
    <w:p>
      <w:pPr>
        <w:numPr>
          <w:ilvl w:val="0"/>
          <w:numId w:val="1002"/>
        </w:numPr>
        <w:pStyle w:val="Compact"/>
      </w:pPr>
      <w:r>
        <w:t xml:space="preserve">inscribir participantes y mantener registros en un LMS;</w:t>
      </w:r>
    </w:p>
    <w:p>
      <w:pPr>
        <w:numPr>
          <w:ilvl w:val="0"/>
          <w:numId w:val="1002"/>
        </w:numPr>
        <w:pStyle w:val="Compact"/>
      </w:pPr>
      <w:r>
        <w:t xml:space="preserve">coordinar incorporación y capacitación recurrente;</w:t>
      </w:r>
    </w:p>
    <w:p>
      <w:pPr>
        <w:numPr>
          <w:ilvl w:val="0"/>
          <w:numId w:val="1002"/>
        </w:numPr>
        <w:pStyle w:val="Compact"/>
      </w:pPr>
      <w:r>
        <w:t xml:space="preserve">preparar agendas, asistencia, listas, certificados e informes de finalización;</w:t>
      </w:r>
    </w:p>
    <w:p>
      <w:pPr>
        <w:numPr>
          <w:ilvl w:val="0"/>
          <w:numId w:val="1002"/>
        </w:numPr>
        <w:pStyle w:val="Compact"/>
      </w:pPr>
      <w:r>
        <w:t xml:space="preserve">comunicarse con participantes, líderes, expertos y proveedores;</w:t>
      </w:r>
    </w:p>
    <w:p>
      <w:pPr>
        <w:numPr>
          <w:ilvl w:val="0"/>
          <w:numId w:val="1002"/>
        </w:numPr>
        <w:pStyle w:val="Compact"/>
      </w:pPr>
      <w:r>
        <w:t xml:space="preserve">apoyar evaluaciones de necesidades y calendarios de capacitación;</w:t>
      </w:r>
    </w:p>
    <w:p>
      <w:pPr>
        <w:numPr>
          <w:ilvl w:val="0"/>
          <w:numId w:val="1002"/>
        </w:numPr>
        <w:pStyle w:val="Compact"/>
      </w:pPr>
      <w:r>
        <w:t xml:space="preserve">ayudar a crear o actualizar ayudas de trabajo, presentaciones o contenido e-learning;</w:t>
      </w:r>
    </w:p>
    <w:p>
      <w:pPr>
        <w:numPr>
          <w:ilvl w:val="0"/>
          <w:numId w:val="1002"/>
        </w:numPr>
        <w:pStyle w:val="Compact"/>
      </w:pPr>
      <w:r>
        <w:t xml:space="preserve">administrar encuestas y recopilar retroalimentación;</w:t>
      </w:r>
    </w:p>
    <w:p>
      <w:pPr>
        <w:numPr>
          <w:ilvl w:val="0"/>
          <w:numId w:val="1002"/>
        </w:numPr>
        <w:pStyle w:val="Compact"/>
      </w:pPr>
      <w:r>
        <w:t xml:space="preserve">dar seguimiento a cumplimiento, fechas, costos y métricas;</w:t>
      </w:r>
    </w:p>
    <w:p>
      <w:pPr>
        <w:numPr>
          <w:ilvl w:val="0"/>
          <w:numId w:val="1002"/>
        </w:numPr>
        <w:pStyle w:val="Compact"/>
      </w:pPr>
      <w:r>
        <w:t xml:space="preserve">apoyar arreglos de accesibilidad y ajustes razonables; y</w:t>
      </w:r>
    </w:p>
    <w:p>
      <w:pPr>
        <w:numPr>
          <w:ilvl w:val="0"/>
          <w:numId w:val="1002"/>
        </w:numPr>
        <w:pStyle w:val="Compact"/>
      </w:pPr>
      <w:r>
        <w:t xml:space="preserve">escalar asuntos legales, de seguridad, privacidad, relaciones laborales o técnicos al especialista responsable.</w:t>
      </w:r>
    </w:p>
    <w:p>
      <w:pPr>
        <w:pStyle w:val="FirstParagraph"/>
      </w:pPr>
      <w:r>
        <w:t xml:space="preserve">Esta guía usa la ocupación del U.S. Bureau of Labor Statistics</w:t>
      </w:r>
      <w:r>
        <w:t xml:space="preserve"> </w:t>
      </w:r>
      <w:r>
        <w:rPr>
          <w:bCs/>
          <w:b/>
        </w:rPr>
        <w:t xml:space="preserve">Training and Development Specialists, SOC 13-1151</w:t>
      </w:r>
      <w:r>
        <w:t xml:space="preserve">, como referencia oficial amplia. No es una equivalencia uno a uno para todo título de coordinador.</w:t>
      </w:r>
    </w:p>
    <w:bookmarkEnd w:id="25"/>
    <w:bookmarkStart w:id="26" w:name="X61ec1edee6c5c324b3703d27ae365e5ad96b6c6"/>
    <w:p>
      <w:pPr>
        <w:pStyle w:val="Heading2"/>
      </w:pPr>
      <w:r>
        <w:t xml:space="preserve">3. Funciones, herramientas y un ciclo de trabajo realista</w:t>
      </w:r>
    </w:p>
    <w:p>
      <w:pPr>
        <w:pStyle w:val="FirstParagraph"/>
      </w:pPr>
      <w:r>
        <w:t xml:space="preserve">Herramientas comunes:</w:t>
      </w:r>
    </w:p>
    <w:p>
      <w:pPr>
        <w:numPr>
          <w:ilvl w:val="0"/>
          <w:numId w:val="1003"/>
        </w:numPr>
        <w:pStyle w:val="Compact"/>
      </w:pPr>
      <w:r>
        <w:t xml:space="preserve">sistemas de gestión de aprendizaje (LMS);</w:t>
      </w:r>
    </w:p>
    <w:p>
      <w:pPr>
        <w:numPr>
          <w:ilvl w:val="0"/>
          <w:numId w:val="1003"/>
        </w:numPr>
        <w:pStyle w:val="Compact"/>
      </w:pPr>
      <w:r>
        <w:t xml:space="preserve">Microsoft 365 o Google Workspace;</w:t>
      </w:r>
    </w:p>
    <w:p>
      <w:pPr>
        <w:numPr>
          <w:ilvl w:val="0"/>
          <w:numId w:val="1003"/>
        </w:numPr>
        <w:pStyle w:val="Compact"/>
      </w:pPr>
      <w:r>
        <w:t xml:space="preserve">hojas de cálculo e informes;</w:t>
      </w:r>
    </w:p>
    <w:p>
      <w:pPr>
        <w:numPr>
          <w:ilvl w:val="0"/>
          <w:numId w:val="1003"/>
        </w:numPr>
        <w:pStyle w:val="Compact"/>
      </w:pPr>
      <w:r>
        <w:t xml:space="preserve">plataformas de videoconferencia y webinars;</w:t>
      </w:r>
    </w:p>
    <w:p>
      <w:pPr>
        <w:numPr>
          <w:ilvl w:val="0"/>
          <w:numId w:val="1003"/>
        </w:numPr>
        <w:pStyle w:val="Compact"/>
      </w:pPr>
      <w:r>
        <w:t xml:space="preserve">encuestas;</w:t>
      </w:r>
    </w:p>
    <w:p>
      <w:pPr>
        <w:numPr>
          <w:ilvl w:val="0"/>
          <w:numId w:val="1003"/>
        </w:numPr>
        <w:pStyle w:val="Compact"/>
      </w:pPr>
      <w:r>
        <w:t xml:space="preserve">software de presentaciones;</w:t>
      </w:r>
    </w:p>
    <w:p>
      <w:pPr>
        <w:numPr>
          <w:ilvl w:val="0"/>
          <w:numId w:val="1003"/>
        </w:numPr>
        <w:pStyle w:val="Compact"/>
      </w:pPr>
      <w:r>
        <w:t xml:space="preserve">herramientas de autoría e-learning cuando correspondan;</w:t>
      </w:r>
    </w:p>
    <w:p>
      <w:pPr>
        <w:numPr>
          <w:ilvl w:val="0"/>
          <w:numId w:val="1003"/>
        </w:numPr>
        <w:pStyle w:val="Compact"/>
      </w:pPr>
      <w:r>
        <w:t xml:space="preserve">HRIS, gestión de proyectos, tickets o colaboración; y</w:t>
      </w:r>
    </w:p>
    <w:p>
      <w:pPr>
        <w:numPr>
          <w:ilvl w:val="0"/>
          <w:numId w:val="1003"/>
        </w:numPr>
        <w:pStyle w:val="Compact"/>
      </w:pPr>
      <w:r>
        <w:t xml:space="preserve">herramientas de accesibilidad y subtitulado.</w:t>
      </w:r>
    </w:p>
    <w:p>
      <w:pPr>
        <w:pStyle w:val="FirstParagraph"/>
      </w:pPr>
      <w:r>
        <w:t xml:space="preserve">Ciclo típico:</w:t>
      </w:r>
    </w:p>
    <w:p>
      <w:pPr>
        <w:numPr>
          <w:ilvl w:val="0"/>
          <w:numId w:val="1004"/>
        </w:numPr>
        <w:pStyle w:val="Compact"/>
      </w:pPr>
      <w:r>
        <w:t xml:space="preserve">Confirmar solicitud, audiencia, objetivo, dueño, plazo y restricciones.</w:t>
      </w:r>
    </w:p>
    <w:p>
      <w:pPr>
        <w:numPr>
          <w:ilvl w:val="0"/>
          <w:numId w:val="1004"/>
        </w:numPr>
        <w:pStyle w:val="Compact"/>
      </w:pPr>
      <w:r>
        <w:t xml:space="preserve">Aclarar si es formación opcional, incorporación, cumplimiento, seguridad, producto, proceso o función.</w:t>
      </w:r>
    </w:p>
    <w:p>
      <w:pPr>
        <w:numPr>
          <w:ilvl w:val="0"/>
          <w:numId w:val="1004"/>
        </w:numPr>
        <w:pStyle w:val="Compact"/>
      </w:pPr>
      <w:r>
        <w:t xml:space="preserve">Confirmar propiedad y autoridad de aprobación del contenido.</w:t>
      </w:r>
    </w:p>
    <w:p>
      <w:pPr>
        <w:numPr>
          <w:ilvl w:val="0"/>
          <w:numId w:val="1004"/>
        </w:numPr>
        <w:pStyle w:val="Compact"/>
      </w:pPr>
      <w:r>
        <w:t xml:space="preserve">Programar personas, sistemas, espacios, materiales y ajustes.</w:t>
      </w:r>
    </w:p>
    <w:p>
      <w:pPr>
        <w:numPr>
          <w:ilvl w:val="0"/>
          <w:numId w:val="1004"/>
        </w:numPr>
        <w:pStyle w:val="Compact"/>
      </w:pPr>
      <w:r>
        <w:t xml:space="preserve">Comunicar prerrequisitos, acceso, fechas y soporte.</w:t>
      </w:r>
    </w:p>
    <w:p>
      <w:pPr>
        <w:numPr>
          <w:ilvl w:val="0"/>
          <w:numId w:val="1004"/>
        </w:numPr>
        <w:pStyle w:val="Compact"/>
      </w:pPr>
      <w:r>
        <w:t xml:space="preserve">Impartir o apoyar la actividad.</w:t>
      </w:r>
    </w:p>
    <w:p>
      <w:pPr>
        <w:numPr>
          <w:ilvl w:val="0"/>
          <w:numId w:val="1004"/>
        </w:numPr>
        <w:pStyle w:val="Compact"/>
      </w:pPr>
      <w:r>
        <w:t xml:space="preserve">Registrar asistencia y finalización con precisión.</w:t>
      </w:r>
    </w:p>
    <w:p>
      <w:pPr>
        <w:numPr>
          <w:ilvl w:val="0"/>
          <w:numId w:val="1004"/>
        </w:numPr>
        <w:pStyle w:val="Compact"/>
      </w:pPr>
      <w:r>
        <w:t xml:space="preserve">Recopilar evaluación y documentar excepciones.</w:t>
      </w:r>
    </w:p>
    <w:p>
      <w:pPr>
        <w:numPr>
          <w:ilvl w:val="0"/>
          <w:numId w:val="1004"/>
        </w:numPr>
        <w:pStyle w:val="Compact"/>
      </w:pPr>
      <w:r>
        <w:t xml:space="preserve">Informar resultados sin exagerar lo que los datos demuestran.</w:t>
      </w:r>
    </w:p>
    <w:p>
      <w:pPr>
        <w:numPr>
          <w:ilvl w:val="0"/>
          <w:numId w:val="1004"/>
        </w:numPr>
        <w:pStyle w:val="Compact"/>
      </w:pPr>
      <w:r>
        <w:t xml:space="preserve">Retener o archivar registros según política aplicable.</w:t>
      </w:r>
    </w:p>
    <w:bookmarkEnd w:id="26"/>
    <w:bookmarkStart w:id="27" w:name="X61e241ecafcc736543d55b315ab0d0f11306d9b"/>
    <w:p>
      <w:pPr>
        <w:pStyle w:val="Heading2"/>
      </w:pPr>
      <w:r>
        <w:t xml:space="preserve">4. Compatibilidad, condiciones de trabajo y accesibilidad</w:t>
      </w:r>
    </w:p>
    <w:p>
      <w:pPr>
        <w:pStyle w:val="FirstParagraph"/>
      </w:pPr>
      <w:r>
        <w:t xml:space="preserve">Pregúntese si puede organizar múltiples fechas, comunicarse con claridad, apoyar facilitadores, aprender software, resolver accesos rutinarios, proteger datos y reconocer cuándo una solicitud de capacitación se convierte en una decisión legal, médica, disciplinaria, de seguridad o política que requiere otro profesional.</w:t>
      </w:r>
    </w:p>
    <w:p>
      <w:pPr>
        <w:pStyle w:val="BodyText"/>
      </w:pPr>
      <w:r>
        <w:t xml:space="preserve">La accesibilidad puede involucrar subtítulos, transcripciones, documentos accesibles, plataformas navegables con teclado, formatos alternativos, horarios ajustados, tecnología de asistencia, ergonomía, participación remota o adaptaciones de facilitación cuando sean razonables y aplicables.</w:t>
      </w:r>
    </w:p>
    <w:p>
      <w:pPr>
        <w:pStyle w:val="BodyText"/>
      </w:pPr>
      <w:r>
        <w:t xml:space="preserve">No asuma que una discapacidad impide esta carrera. Compare funciones esenciales con opciones reales de ajustes y la normativa vigente.</w:t>
      </w:r>
    </w:p>
    <w:bookmarkEnd w:id="27"/>
    <w:bookmarkStart w:id="28" w:name="ética-límites-privacidad-y-escalamiento"/>
    <w:p>
      <w:pPr>
        <w:pStyle w:val="Heading2"/>
      </w:pPr>
      <w:r>
        <w:t xml:space="preserve">5. Ética, límites, privacidad y escalamiento</w:t>
      </w:r>
    </w:p>
    <w:p>
      <w:pPr>
        <w:pStyle w:val="FirstParagraph"/>
      </w:pPr>
      <w:r>
        <w:t xml:space="preserve">Use solo sistemas aprobados y la cantidad mínima de datos necesaria.</w:t>
      </w:r>
    </w:p>
    <w:p>
      <w:pPr>
        <w:pStyle w:val="BodyText"/>
      </w:pPr>
      <w:r>
        <w:t xml:space="preserve">Nunca:</w:t>
      </w:r>
    </w:p>
    <w:p>
      <w:pPr>
        <w:numPr>
          <w:ilvl w:val="0"/>
          <w:numId w:val="1005"/>
        </w:numPr>
        <w:pStyle w:val="Compact"/>
      </w:pPr>
      <w:r>
        <w:t xml:space="preserve">invente asistencia, finalización, resultados, firmas o certificados;</w:t>
      </w:r>
    </w:p>
    <w:p>
      <w:pPr>
        <w:numPr>
          <w:ilvl w:val="0"/>
          <w:numId w:val="1005"/>
        </w:numPr>
        <w:pStyle w:val="Compact"/>
      </w:pPr>
      <w:r>
        <w:t xml:space="preserve">marque finalización sin evidencia requerida;</w:t>
      </w:r>
    </w:p>
    <w:p>
      <w:pPr>
        <w:numPr>
          <w:ilvl w:val="0"/>
          <w:numId w:val="1005"/>
        </w:numPr>
        <w:pStyle w:val="Compact"/>
      </w:pPr>
      <w:r>
        <w:t xml:space="preserve">divulgue información médica, de discapacidad, desempeño, investigación, compensación o disciplina sin autorización;</w:t>
      </w:r>
    </w:p>
    <w:p>
      <w:pPr>
        <w:numPr>
          <w:ilvl w:val="0"/>
          <w:numId w:val="1005"/>
        </w:numPr>
        <w:pStyle w:val="Compact"/>
      </w:pPr>
      <w:r>
        <w:t xml:space="preserve">cambie contenido aprobado de cumplimiento o seguridad sin autorización del responsable;</w:t>
      </w:r>
    </w:p>
    <w:p>
      <w:pPr>
        <w:numPr>
          <w:ilvl w:val="0"/>
          <w:numId w:val="1005"/>
        </w:numPr>
        <w:pStyle w:val="Compact"/>
      </w:pPr>
      <w:r>
        <w:t xml:space="preserve">cargue datos confidenciales en una IA no aprobada;</w:t>
      </w:r>
    </w:p>
    <w:p>
      <w:pPr>
        <w:numPr>
          <w:ilvl w:val="0"/>
          <w:numId w:val="1005"/>
        </w:numPr>
        <w:pStyle w:val="Compact"/>
      </w:pPr>
      <w:r>
        <w:t xml:space="preserve">use contenido de IA como instrucción legal, clínica, de seguridad o regulatoria autorizada sin revisión competente; ni</w:t>
      </w:r>
    </w:p>
    <w:p>
      <w:pPr>
        <w:numPr>
          <w:ilvl w:val="0"/>
          <w:numId w:val="1005"/>
        </w:numPr>
        <w:pStyle w:val="Compact"/>
      </w:pPr>
      <w:r>
        <w:t xml:space="preserve">prometa certificación, promoción, empleo o salario.</w:t>
      </w:r>
    </w:p>
    <w:p>
      <w:pPr>
        <w:pStyle w:val="FirstParagraph"/>
      </w:pPr>
      <w:r>
        <w:t xml:space="preserve">Escale dudas legales, laborales, de seguridad, clínicas, privacidad, ciberseguridad, retención de registros o ajustes.</w:t>
      </w:r>
    </w:p>
    <w:bookmarkEnd w:id="28"/>
    <w:bookmarkStart w:id="33" w:name="X4ea17fe45f765f0226a9a64cc7e0166e603caf2"/>
    <w:p>
      <w:pPr>
        <w:pStyle w:val="Heading2"/>
      </w:pPr>
      <w:r>
        <w:t xml:space="preserve">6. Salarios, perspectivas e investigación actual</w:t>
      </w:r>
    </w:p>
    <w:bookmarkStart w:id="29" w:name="X09317ec8335c6f1b29c694e0da997cd42c7cad8"/>
    <w:p>
      <w:pPr>
        <w:pStyle w:val="Heading3"/>
      </w:pPr>
      <w:r>
        <w:t xml:space="preserve">Estados Unidos — referencia oficial relacionada de BLS</w:t>
      </w:r>
    </w:p>
    <w:p>
      <w:pPr>
        <w:pStyle w:val="FirstParagraph"/>
      </w:pPr>
      <w:r>
        <w:t xml:space="preserve">BLS clasifica</w:t>
      </w:r>
      <w:r>
        <w:t xml:space="preserve"> </w:t>
      </w:r>
      <w:r>
        <w:rPr>
          <w:bCs/>
          <w:b/>
        </w:rPr>
        <w:t xml:space="preserve">Training and Development Specialists</w:t>
      </w:r>
      <w:r>
        <w:t xml:space="preserve"> </w:t>
      </w:r>
      <w:r>
        <w:t xml:space="preserve">bajo</w:t>
      </w:r>
      <w:r>
        <w:t xml:space="preserve"> </w:t>
      </w:r>
      <w:r>
        <w:rPr>
          <w:bCs/>
          <w:b/>
        </w:rPr>
        <w:t xml:space="preserve">SOC 13-1151</w:t>
      </w:r>
      <w:r>
        <w:t xml:space="preserve">. Para mayo de 2024 informó:</w:t>
      </w:r>
    </w:p>
    <w:p>
      <w:pPr>
        <w:numPr>
          <w:ilvl w:val="0"/>
          <w:numId w:val="1006"/>
        </w:numPr>
        <w:pStyle w:val="Compact"/>
      </w:pPr>
      <w:r>
        <w:t xml:space="preserve">mediana anual:</w:t>
      </w:r>
      <w:r>
        <w:t xml:space="preserve"> </w:t>
      </w:r>
      <w:r>
        <w:rPr>
          <w:bCs/>
          <w:b/>
        </w:rPr>
        <w:t xml:space="preserve">US$65,850</w:t>
      </w:r>
      <w:r>
        <w:t xml:space="preserve">;</w:t>
      </w:r>
    </w:p>
    <w:p>
      <w:pPr>
        <w:numPr>
          <w:ilvl w:val="0"/>
          <w:numId w:val="1006"/>
        </w:numPr>
        <w:pStyle w:val="Compact"/>
      </w:pPr>
      <w:r>
        <w:t xml:space="preserve">10% inferior: menos de</w:t>
      </w:r>
      <w:r>
        <w:t xml:space="preserve"> </w:t>
      </w:r>
      <w:r>
        <w:rPr>
          <w:bCs/>
          <w:b/>
        </w:rPr>
        <w:t xml:space="preserve">US$37,510</w:t>
      </w:r>
      <w:r>
        <w:t xml:space="preserve">;</w:t>
      </w:r>
    </w:p>
    <w:p>
      <w:pPr>
        <w:numPr>
          <w:ilvl w:val="0"/>
          <w:numId w:val="1006"/>
        </w:numPr>
        <w:pStyle w:val="Compact"/>
      </w:pPr>
      <w:r>
        <w:t xml:space="preserve">10% superior: más de</w:t>
      </w:r>
      <w:r>
        <w:t xml:space="preserve"> </w:t>
      </w:r>
      <w:r>
        <w:rPr>
          <w:bCs/>
          <w:b/>
        </w:rPr>
        <w:t xml:space="preserve">US$120,190</w:t>
      </w:r>
      <w:r>
        <w:t xml:space="preserve">;</w:t>
      </w:r>
    </w:p>
    <w:p>
      <w:pPr>
        <w:numPr>
          <w:ilvl w:val="0"/>
          <w:numId w:val="1006"/>
        </w:numPr>
        <w:pStyle w:val="Compact"/>
      </w:pPr>
      <w:r>
        <w:t xml:space="preserve">empleo 2024: aproximadamente</w:t>
      </w:r>
      <w:r>
        <w:t xml:space="preserve"> </w:t>
      </w:r>
      <w:r>
        <w:rPr>
          <w:bCs/>
          <w:b/>
        </w:rPr>
        <w:t xml:space="preserve">452,300</w:t>
      </w:r>
      <w:r>
        <w:t xml:space="preserve">;</w:t>
      </w:r>
    </w:p>
    <w:p>
      <w:pPr>
        <w:numPr>
          <w:ilvl w:val="0"/>
          <w:numId w:val="1006"/>
        </w:numPr>
        <w:pStyle w:val="Compact"/>
      </w:pPr>
      <w:r>
        <w:t xml:space="preserve">empleo proyectado 2034: aproximadamente</w:t>
      </w:r>
      <w:r>
        <w:t xml:space="preserve"> </w:t>
      </w:r>
      <w:r>
        <w:rPr>
          <w:bCs/>
          <w:b/>
        </w:rPr>
        <w:t xml:space="preserve">501,000</w:t>
      </w:r>
      <w:r>
        <w:t xml:space="preserve">;</w:t>
      </w:r>
    </w:p>
    <w:p>
      <w:pPr>
        <w:numPr>
          <w:ilvl w:val="0"/>
          <w:numId w:val="1006"/>
        </w:numPr>
        <w:pStyle w:val="Compact"/>
      </w:pPr>
      <w:r>
        <w:t xml:space="preserve">crecimiento 2024–2034:</w:t>
      </w:r>
      <w:r>
        <w:t xml:space="preserve"> </w:t>
      </w:r>
      <w:r>
        <w:rPr>
          <w:bCs/>
          <w:b/>
        </w:rPr>
        <w:t xml:space="preserve">11%</w:t>
      </w:r>
      <w:r>
        <w:t xml:space="preserve">;</w:t>
      </w:r>
    </w:p>
    <w:p>
      <w:pPr>
        <w:numPr>
          <w:ilvl w:val="0"/>
          <w:numId w:val="1006"/>
        </w:numPr>
        <w:pStyle w:val="Compact"/>
      </w:pPr>
      <w:r>
        <w:t xml:space="preserve">aumento numérico: aproximadamente</w:t>
      </w:r>
      <w:r>
        <w:t xml:space="preserve"> </w:t>
      </w:r>
      <w:r>
        <w:rPr>
          <w:bCs/>
          <w:b/>
        </w:rPr>
        <w:t xml:space="preserve">48,700</w:t>
      </w:r>
      <w:r>
        <w:t xml:space="preserve"> </w:t>
      </w:r>
      <w:r>
        <w:t xml:space="preserve">puestos; y</w:t>
      </w:r>
    </w:p>
    <w:p>
      <w:pPr>
        <w:numPr>
          <w:ilvl w:val="0"/>
          <w:numId w:val="1006"/>
        </w:numPr>
        <w:pStyle w:val="Compact"/>
      </w:pPr>
      <w:r>
        <w:t xml:space="preserve">aproximadamente</w:t>
      </w:r>
      <w:r>
        <w:t xml:space="preserve"> </w:t>
      </w:r>
      <w:r>
        <w:rPr>
          <w:bCs/>
          <w:b/>
        </w:rPr>
        <w:t xml:space="preserve">43,900 vacantes por año</w:t>
      </w:r>
      <w:r>
        <w:t xml:space="preserve"> </w:t>
      </w:r>
      <w:r>
        <w:t xml:space="preserve">en promedio.</w:t>
      </w:r>
    </w:p>
    <w:p>
      <w:pPr>
        <w:pStyle w:val="FirstParagraph"/>
      </w:pPr>
      <w:r>
        <w:t xml:space="preserve">BLS describe normalmente licenciatura y experiencia relacionada para la ocupación de especialista. Un título de coordinador puede ser más junior o administrativo, por lo que no debe asumirse el mismo requisito o salario.</w:t>
      </w:r>
    </w:p>
    <w:bookmarkEnd w:id="29"/>
    <w:bookmarkStart w:id="30" w:name="Xdeae57339398ac8d9f0890db001f5dd7b25ab09"/>
    <w:p>
      <w:pPr>
        <w:pStyle w:val="Heading3"/>
      </w:pPr>
      <w:r>
        <w:t xml:space="preserve">Estados Unidos — estimación no gubernamental del título</w:t>
      </w:r>
    </w:p>
    <w:p>
      <w:pPr>
        <w:pStyle w:val="FirstParagraph"/>
      </w:pPr>
      <w:r>
        <w:t xml:space="preserve">ZipRecruiter, con fecha 20 de julio de 2026, informó para</w:t>
      </w:r>
      <w:r>
        <w:t xml:space="preserve"> </w:t>
      </w:r>
      <w:r>
        <w:rPr>
          <w:rStyle w:val="VerbatimChar"/>
        </w:rPr>
        <w:t xml:space="preserve">Training and Development Coordinator</w:t>
      </w:r>
      <w:r>
        <w:t xml:space="preserve">:</w:t>
      </w:r>
    </w:p>
    <w:p>
      <w:pPr>
        <w:numPr>
          <w:ilvl w:val="0"/>
          <w:numId w:val="1007"/>
        </w:numPr>
        <w:pStyle w:val="Compact"/>
      </w:pPr>
      <w:r>
        <w:t xml:space="preserve">promedio estimado</w:t>
      </w:r>
      <w:r>
        <w:t xml:space="preserve"> </w:t>
      </w:r>
      <w:r>
        <w:rPr>
          <w:bCs/>
          <w:b/>
        </w:rPr>
        <w:t xml:space="preserve">US$57,194/año</w:t>
      </w:r>
      <w:r>
        <w:t xml:space="preserve">;</w:t>
      </w:r>
    </w:p>
    <w:p>
      <w:pPr>
        <w:numPr>
          <w:ilvl w:val="0"/>
          <w:numId w:val="1007"/>
        </w:numPr>
        <w:pStyle w:val="Compact"/>
      </w:pPr>
      <w:r>
        <w:t xml:space="preserve">aproximadamente</w:t>
      </w:r>
      <w:r>
        <w:t xml:space="preserve"> </w:t>
      </w:r>
      <w:r>
        <w:rPr>
          <w:bCs/>
          <w:b/>
        </w:rPr>
        <w:t xml:space="preserve">US$27.50/hora</w:t>
      </w:r>
      <w:r>
        <w:t xml:space="preserve">; y</w:t>
      </w:r>
    </w:p>
    <w:p>
      <w:pPr>
        <w:numPr>
          <w:ilvl w:val="0"/>
          <w:numId w:val="1007"/>
        </w:numPr>
        <w:pStyle w:val="Compact"/>
      </w:pPr>
      <w:r>
        <w:t xml:space="preserve">rango común mostrado de aproximadamente</w:t>
      </w:r>
      <w:r>
        <w:t xml:space="preserve"> </w:t>
      </w:r>
      <w:r>
        <w:rPr>
          <w:bCs/>
          <w:b/>
        </w:rPr>
        <w:t xml:space="preserve">US$47,000–US$66,000/año</w:t>
      </w:r>
      <w:r>
        <w:t xml:space="preserve">.</w:t>
      </w:r>
    </w:p>
    <w:p>
      <w:pPr>
        <w:pStyle w:val="FirstParagraph"/>
      </w:pPr>
      <w:r>
        <w:t xml:space="preserve">Es una estimación no gubernamental basada en publicaciones y otras fuentes; no es una estadística oficial ni una garantía.</w:t>
      </w:r>
    </w:p>
    <w:bookmarkEnd w:id="30"/>
    <w:bookmarkStart w:id="31" w:name="canadá-referencia-oficial-de-job-bank"/>
    <w:p>
      <w:pPr>
        <w:pStyle w:val="Heading3"/>
      </w:pPr>
      <w:r>
        <w:t xml:space="preserve">Canadá — referencia oficial de Job Bank</w:t>
      </w:r>
    </w:p>
    <w:p>
      <w:pPr>
        <w:pStyle w:val="FirstParagraph"/>
      </w:pPr>
      <w:r>
        <w:t xml:space="preserve">Job Bank relaciona</w:t>
      </w:r>
      <w:r>
        <w:t xml:space="preserve"> </w:t>
      </w:r>
      <w:r>
        <w:rPr>
          <w:rStyle w:val="VerbatimChar"/>
        </w:rPr>
        <w:t xml:space="preserve">Staff Training and Development Officer</w:t>
      </w:r>
      <w:r>
        <w:t xml:space="preserve"> </w:t>
      </w:r>
      <w:r>
        <w:t xml:space="preserve">con</w:t>
      </w:r>
      <w:r>
        <w:t xml:space="preserve"> </w:t>
      </w:r>
      <w:r>
        <w:rPr>
          <w:bCs/>
          <w:b/>
        </w:rPr>
        <w:t xml:space="preserve">Human resources professionals, NOC 11200</w:t>
      </w:r>
      <w:r>
        <w:t xml:space="preserve">. La tabla nacional, actualizada el 19 de noviembre de 2025 para el período 2023–2024, informa:</w:t>
      </w:r>
    </w:p>
    <w:p>
      <w:pPr>
        <w:numPr>
          <w:ilvl w:val="0"/>
          <w:numId w:val="1008"/>
        </w:numPr>
        <w:pStyle w:val="Compact"/>
      </w:pPr>
      <w:r>
        <w:t xml:space="preserve">bajo</w:t>
      </w:r>
      <w:r>
        <w:t xml:space="preserve"> </w:t>
      </w:r>
      <w:r>
        <w:rPr>
          <w:bCs/>
          <w:b/>
        </w:rPr>
        <w:t xml:space="preserve">C$26.00/hora</w:t>
      </w:r>
      <w:r>
        <w:t xml:space="preserve">;</w:t>
      </w:r>
    </w:p>
    <w:p>
      <w:pPr>
        <w:numPr>
          <w:ilvl w:val="0"/>
          <w:numId w:val="1008"/>
        </w:numPr>
        <w:pStyle w:val="Compact"/>
      </w:pPr>
      <w:r>
        <w:t xml:space="preserve">mediana</w:t>
      </w:r>
      <w:r>
        <w:t xml:space="preserve"> </w:t>
      </w:r>
      <w:r>
        <w:rPr>
          <w:bCs/>
          <w:b/>
        </w:rPr>
        <w:t xml:space="preserve">C$40.87/hora</w:t>
      </w:r>
      <w:r>
        <w:t xml:space="preserve">; y</w:t>
      </w:r>
    </w:p>
    <w:p>
      <w:pPr>
        <w:numPr>
          <w:ilvl w:val="0"/>
          <w:numId w:val="1008"/>
        </w:numPr>
        <w:pStyle w:val="Compact"/>
      </w:pPr>
      <w:r>
        <w:t xml:space="preserve">alto</w:t>
      </w:r>
      <w:r>
        <w:t xml:space="preserve"> </w:t>
      </w:r>
      <w:r>
        <w:rPr>
          <w:bCs/>
          <w:b/>
        </w:rPr>
        <w:t xml:space="preserve">C$59.77/hora</w:t>
      </w:r>
      <w:r>
        <w:t xml:space="preserve">.</w:t>
      </w:r>
    </w:p>
    <w:p>
      <w:pPr>
        <w:pStyle w:val="FirstParagraph"/>
      </w:pPr>
      <w:r>
        <w:t xml:space="preserve">Job Bank indica que este NOC normalmente requiere título universitario. Una vacante local de coordinador puede diferir.</w:t>
      </w:r>
    </w:p>
    <w:bookmarkEnd w:id="31"/>
    <w:bookmarkStart w:id="32" w:name="colombia-y-américa-latina"/>
    <w:p>
      <w:pPr>
        <w:pStyle w:val="Heading3"/>
      </w:pPr>
      <w:r>
        <w:t xml:space="preserve">Colombia y América Latina</w:t>
      </w:r>
    </w:p>
    <w:p>
      <w:pPr>
        <w:pStyle w:val="FirstParagraph"/>
      </w:pPr>
      <w:r>
        <w:t xml:space="preserve">No invente una cifra salarial nacional para títulos que no se mapean de forma uniforme. Revise vacantes de empleadores, Servicio Público de Empleo y SENA. Registre título, ciudad, funciones, experiencia, educación, salario si se publica y fecha de consulta.</w:t>
      </w:r>
    </w:p>
    <w:bookmarkEnd w:id="32"/>
    <w:bookmarkEnd w:id="33"/>
    <w:bookmarkStart w:id="35" w:name="X9b92d22b3a1eb0e3798338da01a27c8713fda87"/>
    <w:p>
      <w:pPr>
        <w:pStyle w:val="Heading2"/>
      </w:pPr>
      <w:r>
        <w:t xml:space="preserve">7. Educación, credenciales y aprendizaje gratuito primero</w:t>
      </w:r>
    </w:p>
    <w:p>
      <w:pPr>
        <w:pStyle w:val="FirstParagraph"/>
      </w:pPr>
      <w:r>
        <w:t xml:space="preserve">No existe una credencial universal única para este trabajo. Áreas útiles:</w:t>
      </w:r>
    </w:p>
    <w:p>
      <w:pPr>
        <w:numPr>
          <w:ilvl w:val="0"/>
          <w:numId w:val="1009"/>
        </w:numPr>
        <w:pStyle w:val="Compact"/>
      </w:pPr>
      <w:r>
        <w:t xml:space="preserve">aprendizaje de adultos;</w:t>
      </w:r>
    </w:p>
    <w:p>
      <w:pPr>
        <w:numPr>
          <w:ilvl w:val="0"/>
          <w:numId w:val="1009"/>
        </w:numPr>
        <w:pStyle w:val="Compact"/>
      </w:pPr>
      <w:r>
        <w:t xml:space="preserve">facilitación y presentaciones;</w:t>
      </w:r>
    </w:p>
    <w:p>
      <w:pPr>
        <w:numPr>
          <w:ilvl w:val="0"/>
          <w:numId w:val="1009"/>
        </w:numPr>
        <w:pStyle w:val="Compact"/>
      </w:pPr>
      <w:r>
        <w:t xml:space="preserve">fundamentos de diseño instruccional;</w:t>
      </w:r>
    </w:p>
    <w:p>
      <w:pPr>
        <w:numPr>
          <w:ilvl w:val="0"/>
          <w:numId w:val="1009"/>
        </w:numPr>
        <w:pStyle w:val="Compact"/>
      </w:pPr>
      <w:r>
        <w:t xml:space="preserve">administración de LMS;</w:t>
      </w:r>
    </w:p>
    <w:p>
      <w:pPr>
        <w:numPr>
          <w:ilvl w:val="0"/>
          <w:numId w:val="1009"/>
        </w:numPr>
        <w:pStyle w:val="Compact"/>
      </w:pPr>
      <w:r>
        <w:t xml:space="preserve">hojas de cálculo e informes;</w:t>
      </w:r>
    </w:p>
    <w:p>
      <w:pPr>
        <w:numPr>
          <w:ilvl w:val="0"/>
          <w:numId w:val="1009"/>
        </w:numPr>
        <w:pStyle w:val="Compact"/>
      </w:pPr>
      <w:r>
        <w:t xml:space="preserve">coordinación de proyectos;</w:t>
      </w:r>
    </w:p>
    <w:p>
      <w:pPr>
        <w:numPr>
          <w:ilvl w:val="0"/>
          <w:numId w:val="1009"/>
        </w:numPr>
        <w:pStyle w:val="Compact"/>
      </w:pPr>
      <w:r>
        <w:t xml:space="preserve">accesibilidad e inclusión;</w:t>
      </w:r>
    </w:p>
    <w:p>
      <w:pPr>
        <w:numPr>
          <w:ilvl w:val="0"/>
          <w:numId w:val="1009"/>
        </w:numPr>
        <w:pStyle w:val="Compact"/>
      </w:pPr>
      <w:r>
        <w:t xml:space="preserve">evaluación y encuestas;</w:t>
      </w:r>
    </w:p>
    <w:p>
      <w:pPr>
        <w:numPr>
          <w:ilvl w:val="0"/>
          <w:numId w:val="1009"/>
        </w:numPr>
        <w:pStyle w:val="Compact"/>
      </w:pPr>
      <w:r>
        <w:t xml:space="preserve">privacidad y registros;</w:t>
      </w:r>
    </w:p>
    <w:p>
      <w:pPr>
        <w:numPr>
          <w:ilvl w:val="0"/>
          <w:numId w:val="1009"/>
        </w:numPr>
        <w:pStyle w:val="Compact"/>
      </w:pPr>
      <w:r>
        <w:t xml:space="preserve">redacción empresarial;</w:t>
      </w:r>
    </w:p>
    <w:p>
      <w:pPr>
        <w:numPr>
          <w:ilvl w:val="0"/>
          <w:numId w:val="1009"/>
        </w:numPr>
        <w:pStyle w:val="Compact"/>
      </w:pPr>
      <w:r>
        <w:t xml:space="preserve">comunicación del cambio; y</w:t>
      </w:r>
    </w:p>
    <w:p>
      <w:pPr>
        <w:numPr>
          <w:ilvl w:val="0"/>
          <w:numId w:val="1009"/>
        </w:numPr>
        <w:pStyle w:val="Compact"/>
      </w:pPr>
      <w:r>
        <w:t xml:space="preserve">IA responsable en flujos de aprendizaje.</w:t>
      </w:r>
    </w:p>
    <w:p>
      <w:pPr>
        <w:pStyle w:val="FirstParagraph"/>
      </w:pPr>
      <w:r>
        <w:t xml:space="preserve">Antes de pagar una credencial privada, compare por lo menos 20 vacantes actuales y confirme si realmente se solicita.</w:t>
      </w:r>
    </w:p>
    <w:bookmarkStart w:id="34" w:name="colombia-sena"/>
    <w:p>
      <w:pPr>
        <w:pStyle w:val="Heading3"/>
      </w:pPr>
      <w:r>
        <w:t xml:space="preserve">Colombia — SENA</w:t>
      </w:r>
    </w:p>
    <w:p>
      <w:pPr>
        <w:pStyle w:val="FirstParagraph"/>
      </w:pPr>
      <w:r>
        <w:t xml:space="preserve">Betowa documenta rutas relevantes como:</w:t>
      </w:r>
    </w:p>
    <w:p>
      <w:pPr>
        <w:numPr>
          <w:ilvl w:val="0"/>
          <w:numId w:val="1010"/>
        </w:numPr>
        <w:pStyle w:val="Compact"/>
      </w:pPr>
      <w:r>
        <w:rPr>
          <w:bCs/>
          <w:b/>
        </w:rPr>
        <w:t xml:space="preserve">Gestión del talento humano</w:t>
      </w:r>
      <w:r>
        <w:t xml:space="preserve">, programa titulado que incluye planeación, ejecución y evaluación de capacitación y desarrollo de competencias; y</w:t>
      </w:r>
    </w:p>
    <w:p>
      <w:pPr>
        <w:numPr>
          <w:ilvl w:val="0"/>
          <w:numId w:val="1010"/>
        </w:numPr>
        <w:pStyle w:val="Compact"/>
      </w:pPr>
      <w:r>
        <w:rPr>
          <w:bCs/>
          <w:b/>
        </w:rPr>
        <w:t xml:space="preserve">Gestión del desarrollo del talento humano</w:t>
      </w:r>
      <w:r>
        <w:t xml:space="preserve">, curso especial complementario de</w:t>
      </w:r>
      <w:r>
        <w:t xml:space="preserve"> </w:t>
      </w:r>
      <w:r>
        <w:rPr>
          <w:bCs/>
          <w:b/>
        </w:rPr>
        <w:t xml:space="preserve">48 horas</w:t>
      </w:r>
      <w:r>
        <w:t xml:space="preserve"> </w:t>
      </w:r>
      <w:r>
        <w:t xml:space="preserve">centrado en planear el desarrollo del talento humano.</w:t>
      </w:r>
    </w:p>
    <w:p>
      <w:pPr>
        <w:pStyle w:val="FirstParagraph"/>
      </w:pPr>
      <w:r>
        <w:t xml:space="preserve">Disponibilidad, ubicación, modalidad, cohortes y admisión cambian. Verifique el catálogo oficial vigente.</w:t>
      </w:r>
    </w:p>
    <w:bookmarkEnd w:id="34"/>
    <w:bookmarkEnd w:id="35"/>
    <w:bookmarkStart w:id="38" w:name="Xb9387d084a4956cbea411c50826113dd695b6c7"/>
    <w:p>
      <w:pPr>
        <w:pStyle w:val="Heading2"/>
      </w:pPr>
      <w:r>
        <w:t xml:space="preserve">8. Financiamiento, becas, apoyo del empleador y aprendizaje basado en trabajo</w:t>
      </w:r>
    </w:p>
    <w:bookmarkStart w:id="36" w:name="estados-unidos"/>
    <w:p>
      <w:pPr>
        <w:pStyle w:val="Heading3"/>
      </w:pPr>
      <w:r>
        <w:t xml:space="preserve">Estados Unidos</w:t>
      </w:r>
    </w:p>
    <w:p>
      <w:pPr>
        <w:pStyle w:val="FirstParagraph"/>
      </w:pPr>
      <w:r>
        <w:t xml:space="preserve">CareerOneStop ofrece el buscador de programas elegibles para WIOA; elegibilidad depende de persona, programa, estado y sistema local.</w:t>
      </w:r>
    </w:p>
    <w:p>
      <w:pPr>
        <w:pStyle w:val="BodyText"/>
      </w:pPr>
      <w:r>
        <w:t xml:space="preserve">Federal Student Aid puede ofrecer becas, work-study y préstamos federales a estudiantes y programas elegibles. No todo curso corto o certificado privado califica.</w:t>
      </w:r>
    </w:p>
    <w:p>
      <w:pPr>
        <w:pStyle w:val="BodyText"/>
      </w:pPr>
      <w:r>
        <w:t xml:space="preserve">Bajo un programa que cumpla</w:t>
      </w:r>
      <w:r>
        <w:t xml:space="preserve"> </w:t>
      </w:r>
      <w:r>
        <w:rPr>
          <w:bCs/>
          <w:b/>
        </w:rPr>
        <w:t xml:space="preserve">IRS Section 127</w:t>
      </w:r>
      <w:r>
        <w:t xml:space="preserve">, un empleador puede brindar hasta</w:t>
      </w:r>
      <w:r>
        <w:t xml:space="preserve"> </w:t>
      </w:r>
      <w:r>
        <w:rPr>
          <w:bCs/>
          <w:b/>
        </w:rPr>
        <w:t xml:space="preserve">US$5,250</w:t>
      </w:r>
      <w:r>
        <w:t xml:space="preserve"> </w:t>
      </w:r>
      <w:r>
        <w:t xml:space="preserve">de asistencia educativa calificable excluible del ingreso del empleado para 2025 y 2026. No es un beneficio universal.</w:t>
      </w:r>
    </w:p>
    <w:p>
      <w:pPr>
        <w:pStyle w:val="BodyText"/>
      </w:pPr>
      <w:r>
        <w:t xml:space="preserve">Use Apprenticeship.gov para buscar aprendizajes registrados y otras rutas basadas en trabajo; no suponga que existe un aprendizaje exacto de coordinador en cada localidad.</w:t>
      </w:r>
    </w:p>
    <w:bookmarkEnd w:id="36"/>
    <w:bookmarkStart w:id="37" w:name="canadá-y-américa-latina"/>
    <w:p>
      <w:pPr>
        <w:pStyle w:val="Heading3"/>
      </w:pPr>
      <w:r>
        <w:t xml:space="preserve">Canadá y América Latina</w:t>
      </w:r>
    </w:p>
    <w:p>
      <w:pPr>
        <w:pStyle w:val="FirstParagraph"/>
      </w:pPr>
      <w:r>
        <w:t xml:space="preserve">Use fuentes federales, provinciales, territoriales, nacionales, regionales, públicas y del empleador. Verifique elegibilidad y obligaciones de reembolso por escrito.</w:t>
      </w:r>
    </w:p>
    <w:bookmarkEnd w:id="37"/>
    <w:bookmarkEnd w:id="38"/>
    <w:bookmarkStart w:id="39" w:name="accesibilidad-e-inclusión"/>
    <w:p>
      <w:pPr>
        <w:pStyle w:val="Heading2"/>
      </w:pPr>
      <w:r>
        <w:t xml:space="preserve">9. Accesibilidad e inclusión</w:t>
      </w:r>
    </w:p>
    <w:p>
      <w:pPr>
        <w:pStyle w:val="FirstParagraph"/>
      </w:pPr>
      <w:r>
        <w:t xml:space="preserve">Buenas prácticas incluyen:</w:t>
      </w:r>
    </w:p>
    <w:p>
      <w:pPr>
        <w:numPr>
          <w:ilvl w:val="0"/>
          <w:numId w:val="1011"/>
        </w:numPr>
        <w:pStyle w:val="Compact"/>
      </w:pPr>
      <w:r>
        <w:t xml:space="preserve">subtítulos y transcripciones;</w:t>
      </w:r>
    </w:p>
    <w:p>
      <w:pPr>
        <w:numPr>
          <w:ilvl w:val="0"/>
          <w:numId w:val="1011"/>
        </w:numPr>
        <w:pStyle w:val="Compact"/>
      </w:pPr>
      <w:r>
        <w:t xml:space="preserve">contraste y tamaño legible;</w:t>
      </w:r>
    </w:p>
    <w:p>
      <w:pPr>
        <w:numPr>
          <w:ilvl w:val="0"/>
          <w:numId w:val="1011"/>
        </w:numPr>
        <w:pStyle w:val="Compact"/>
      </w:pPr>
      <w:r>
        <w:t xml:space="preserve">plataformas accesibles por teclado;</w:t>
      </w:r>
    </w:p>
    <w:p>
      <w:pPr>
        <w:numPr>
          <w:ilvl w:val="0"/>
          <w:numId w:val="1011"/>
        </w:numPr>
        <w:pStyle w:val="Compact"/>
      </w:pPr>
      <w:r>
        <w:t xml:space="preserve">PDF, DOCX, presentaciones y formularios accesibles;</w:t>
      </w:r>
    </w:p>
    <w:p>
      <w:pPr>
        <w:numPr>
          <w:ilvl w:val="0"/>
          <w:numId w:val="1011"/>
        </w:numPr>
        <w:pStyle w:val="Compact"/>
      </w:pPr>
      <w:r>
        <w:t xml:space="preserve">instrucciones en lenguaje claro;</w:t>
      </w:r>
    </w:p>
    <w:p>
      <w:pPr>
        <w:numPr>
          <w:ilvl w:val="0"/>
          <w:numId w:val="1011"/>
        </w:numPr>
        <w:pStyle w:val="Compact"/>
      </w:pPr>
      <w:r>
        <w:t xml:space="preserve">tiempo adecuado para lectura y evaluaciones;</w:t>
      </w:r>
    </w:p>
    <w:p>
      <w:pPr>
        <w:numPr>
          <w:ilvl w:val="0"/>
          <w:numId w:val="1011"/>
        </w:numPr>
        <w:pStyle w:val="Compact"/>
      </w:pPr>
      <w:r>
        <w:t xml:space="preserve">formatos alternativos;</w:t>
      </w:r>
    </w:p>
    <w:p>
      <w:pPr>
        <w:numPr>
          <w:ilvl w:val="0"/>
          <w:numId w:val="1011"/>
        </w:numPr>
        <w:pStyle w:val="Compact"/>
      </w:pPr>
      <w:r>
        <w:t xml:space="preserve">espacios físicos accesibles;</w:t>
      </w:r>
    </w:p>
    <w:p>
      <w:pPr>
        <w:numPr>
          <w:ilvl w:val="0"/>
          <w:numId w:val="1011"/>
        </w:numPr>
        <w:pStyle w:val="Compact"/>
      </w:pPr>
      <w:r>
        <w:t xml:space="preserve">canales para solicitar ajustes; y</w:t>
      </w:r>
    </w:p>
    <w:p>
      <w:pPr>
        <w:numPr>
          <w:ilvl w:val="0"/>
          <w:numId w:val="1011"/>
        </w:numPr>
        <w:pStyle w:val="Compact"/>
      </w:pPr>
      <w:r>
        <w:t xml:space="preserve">privacidad de información de ajustes.</w:t>
      </w:r>
    </w:p>
    <w:p>
      <w:pPr>
        <w:pStyle w:val="FirstParagraph"/>
      </w:pPr>
      <w:r>
        <w:t xml:space="preserve">Una prueba automatizada no certifica por sí sola cumplimiento legal de accesibilidad.</w:t>
      </w:r>
    </w:p>
    <w:bookmarkEnd w:id="39"/>
    <w:bookmarkStart w:id="40" w:name="X379a6307d7b4031ba82c3d2d510c7a7e3af8f29"/>
    <w:p>
      <w:pPr>
        <w:pStyle w:val="Heading2"/>
      </w:pPr>
      <w:r>
        <w:t xml:space="preserve">10. Privacidad, ciberseguridad, IA y automatización responsable</w:t>
      </w:r>
    </w:p>
    <w:p>
      <w:pPr>
        <w:pStyle w:val="FirstParagraph"/>
      </w:pPr>
      <w:r>
        <w:t xml:space="preserve">Los sistemas de capacitación pueden contener nombres, correos, cargos, ubicaciones, resultados, solicitudes de accesibilidad y registros de finalización.</w:t>
      </w:r>
    </w:p>
    <w:p>
      <w:pPr>
        <w:pStyle w:val="BodyText"/>
      </w:pPr>
      <w:r>
        <w:t xml:space="preserve">Use sistemas aprobados, acceso basado en funciones, autenticación fuerte, intercambio seguro y retención documentada.</w:t>
      </w:r>
    </w:p>
    <w:p>
      <w:pPr>
        <w:pStyle w:val="BodyText"/>
      </w:pPr>
      <w:r>
        <w:t xml:space="preserve">La IA puede ayudar con borradores de bajo riesgo: esquemas, preguntas con datos ficticios, simplificación de lenguaje, agendas, ejemplos, apoyo de traducción sujeto a revisión, resumen de comentarios no confidenciales y escenarios ficticios.</w:t>
      </w:r>
    </w:p>
    <w:p>
      <w:pPr>
        <w:pStyle w:val="BodyText"/>
      </w:pPr>
      <w:r>
        <w:t xml:space="preserve">La revisión humana conserva responsabilidad por exactitud, sesgo, accesibilidad, confidencialidad, obligaciones legales, seguridad y liberación final. Nunca pegue datos confidenciales de empleados en una IA no aprobada.</w:t>
      </w:r>
    </w:p>
    <w:bookmarkEnd w:id="40"/>
    <w:bookmarkStart w:id="41" w:name="construya-evidencia-de-capacidad"/>
    <w:p>
      <w:pPr>
        <w:pStyle w:val="Heading2"/>
      </w:pPr>
      <w:r>
        <w:t xml:space="preserve">11. Construya evidencia de capacidad</w:t>
      </w:r>
    </w:p>
    <w:p>
      <w:pPr>
        <w:pStyle w:val="FirstParagraph"/>
      </w:pPr>
      <w:r>
        <w:t xml:space="preserve">Use datos ficticios o totalmente anonimizados para crear:</w:t>
      </w:r>
    </w:p>
    <w:p>
      <w:pPr>
        <w:numPr>
          <w:ilvl w:val="0"/>
          <w:numId w:val="1012"/>
        </w:numPr>
        <w:pStyle w:val="Compact"/>
      </w:pPr>
      <w:r>
        <w:t xml:space="preserve">calendario de incorporación de 30 días;</w:t>
      </w:r>
    </w:p>
    <w:p>
      <w:pPr>
        <w:numPr>
          <w:ilvl w:val="0"/>
          <w:numId w:val="1012"/>
        </w:numPr>
        <w:pStyle w:val="Compact"/>
      </w:pPr>
      <w:r>
        <w:t xml:space="preserve">tablero ficticio de finalización LMS;</w:t>
      </w:r>
    </w:p>
    <w:p>
      <w:pPr>
        <w:numPr>
          <w:ilvl w:val="0"/>
          <w:numId w:val="1012"/>
        </w:numPr>
        <w:pStyle w:val="Compact"/>
      </w:pPr>
      <w:r>
        <w:t xml:space="preserve">invitación accesible y recordatorios;</w:t>
      </w:r>
    </w:p>
    <w:p>
      <w:pPr>
        <w:numPr>
          <w:ilvl w:val="0"/>
          <w:numId w:val="1012"/>
        </w:numPr>
        <w:pStyle w:val="Compact"/>
      </w:pPr>
      <w:r>
        <w:t xml:space="preserve">ayuda de trabajo de una página;</w:t>
      </w:r>
    </w:p>
    <w:p>
      <w:pPr>
        <w:numPr>
          <w:ilvl w:val="0"/>
          <w:numId w:val="1012"/>
        </w:numPr>
        <w:pStyle w:val="Compact"/>
      </w:pPr>
      <w:r>
        <w:t xml:space="preserve">lista de verificación del facilitador;</w:t>
      </w:r>
    </w:p>
    <w:p>
      <w:pPr>
        <w:numPr>
          <w:ilvl w:val="0"/>
          <w:numId w:val="1012"/>
        </w:numPr>
        <w:pStyle w:val="Compact"/>
      </w:pPr>
      <w:r>
        <w:t xml:space="preserve">matriz de necesidades;</w:t>
      </w:r>
    </w:p>
    <w:p>
      <w:pPr>
        <w:numPr>
          <w:ilvl w:val="0"/>
          <w:numId w:val="1012"/>
        </w:numPr>
        <w:pStyle w:val="Compact"/>
      </w:pPr>
      <w:r>
        <w:t xml:space="preserve">encuesta posterior y resumen;</w:t>
      </w:r>
    </w:p>
    <w:p>
      <w:pPr>
        <w:numPr>
          <w:ilvl w:val="0"/>
          <w:numId w:val="1012"/>
        </w:numPr>
        <w:pStyle w:val="Compact"/>
      </w:pPr>
      <w:r>
        <w:t xml:space="preserve">mapa de proceso desde solicitud hasta informe; o</w:t>
      </w:r>
    </w:p>
    <w:p>
      <w:pPr>
        <w:numPr>
          <w:ilvl w:val="0"/>
          <w:numId w:val="1012"/>
        </w:numPr>
        <w:pStyle w:val="Compact"/>
      </w:pPr>
      <w:r>
        <w:t xml:space="preserve">storyboard de microaprendizaje.</w:t>
      </w:r>
    </w:p>
    <w:p>
      <w:pPr>
        <w:pStyle w:val="FirstParagraph"/>
      </w:pPr>
      <w:r>
        <w:t xml:space="preserve">Explique problema, audiencia, objetivo, proceso, controles, resultado y aprendizaje. No publique datos reales de empleados, evaluaciones, salud, discapacidad o propiedad empresarial.</w:t>
      </w:r>
    </w:p>
    <w:bookmarkEnd w:id="41"/>
    <w:bookmarkStart w:id="42" w:name="preparación-para-entrevistas"/>
    <w:p>
      <w:pPr>
        <w:pStyle w:val="Heading2"/>
      </w:pPr>
      <w:r>
        <w:t xml:space="preserve">12. Preparación para entrevistas</w:t>
      </w:r>
    </w:p>
    <w:p>
      <w:pPr>
        <w:pStyle w:val="FirstParagraph"/>
      </w:pPr>
      <w:r>
        <w:t xml:space="preserve">Practique:</w:t>
      </w:r>
    </w:p>
    <w:p>
      <w:pPr>
        <w:numPr>
          <w:ilvl w:val="0"/>
          <w:numId w:val="1013"/>
        </w:numPr>
        <w:pStyle w:val="Compact"/>
      </w:pPr>
      <w:r>
        <w:t xml:space="preserve">¿Cómo organizaría capacitación recurrente para varios departamentos?</w:t>
      </w:r>
    </w:p>
    <w:p>
      <w:pPr>
        <w:numPr>
          <w:ilvl w:val="0"/>
          <w:numId w:val="1013"/>
        </w:numPr>
        <w:pStyle w:val="Compact"/>
      </w:pPr>
      <w:r>
        <w:t xml:space="preserve">¿Qué haría si el LMS muestra finalización incorrecta?</w:t>
      </w:r>
    </w:p>
    <w:p>
      <w:pPr>
        <w:numPr>
          <w:ilvl w:val="0"/>
          <w:numId w:val="1013"/>
        </w:numPr>
        <w:pStyle w:val="Compact"/>
      </w:pPr>
      <w:r>
        <w:t xml:space="preserve">¿Cómo apoyaría a una persona que solicita un ajuste?</w:t>
      </w:r>
    </w:p>
    <w:p>
      <w:pPr>
        <w:numPr>
          <w:ilvl w:val="0"/>
          <w:numId w:val="1013"/>
        </w:numPr>
        <w:pStyle w:val="Compact"/>
      </w:pPr>
      <w:r>
        <w:t xml:space="preserve">¿Qué haría si un gerente pide marcar a alguien como completo sin evidencia?</w:t>
      </w:r>
    </w:p>
    <w:p>
      <w:pPr>
        <w:numPr>
          <w:ilvl w:val="0"/>
          <w:numId w:val="1013"/>
        </w:numPr>
        <w:pStyle w:val="Compact"/>
      </w:pPr>
      <w:r>
        <w:t xml:space="preserve">¿Cómo mediría si una actividad ayudó?</w:t>
      </w:r>
    </w:p>
    <w:p>
      <w:pPr>
        <w:numPr>
          <w:ilvl w:val="0"/>
          <w:numId w:val="1013"/>
        </w:numPr>
        <w:pStyle w:val="Compact"/>
      </w:pPr>
      <w:r>
        <w:t xml:space="preserve">¿Cómo manejaría comentarios confidenciales?</w:t>
      </w:r>
    </w:p>
    <w:p>
      <w:pPr>
        <w:numPr>
          <w:ilvl w:val="0"/>
          <w:numId w:val="1013"/>
        </w:numPr>
        <w:pStyle w:val="Compact"/>
      </w:pPr>
      <w:r>
        <w:t xml:space="preserve">¿Qué haría si un facilitador cambia contenido regulado sin aprobación?</w:t>
      </w:r>
    </w:p>
    <w:p>
      <w:pPr>
        <w:numPr>
          <w:ilvl w:val="0"/>
          <w:numId w:val="1013"/>
        </w:numPr>
        <w:pStyle w:val="Compact"/>
      </w:pPr>
      <w:r>
        <w:t xml:space="preserve">¿Dónde puede ayudar la IA y dónde debe conservarse responsabilidad humana?</w:t>
      </w:r>
    </w:p>
    <w:p>
      <w:pPr>
        <w:pStyle w:val="FirstParagraph"/>
      </w:pPr>
      <w:r>
        <w:t xml:space="preserve">Las buenas respuestas muestran verificación, documentación, apoyo al participante, privacidad, accesibilidad y escalamiento.</w:t>
      </w:r>
    </w:p>
    <w:bookmarkEnd w:id="42"/>
    <w:bookmarkStart w:id="49" w:name="plan-práctico-de-12-semanas"/>
    <w:p>
      <w:pPr>
        <w:pStyle w:val="Heading2"/>
      </w:pPr>
      <w:r>
        <w:t xml:space="preserve">13. Plan práctico de 12 semanas</w:t>
      </w:r>
    </w:p>
    <w:bookmarkStart w:id="43" w:name="semanas-12"/>
    <w:p>
      <w:pPr>
        <w:pStyle w:val="Heading3"/>
      </w:pPr>
      <w:r>
        <w:t xml:space="preserve">Semanas 1–2</w:t>
      </w:r>
    </w:p>
    <w:p>
      <w:pPr>
        <w:numPr>
          <w:ilvl w:val="0"/>
          <w:numId w:val="1014"/>
        </w:numPr>
        <w:pStyle w:val="Compact"/>
      </w:pPr>
      <w:r>
        <w:t xml:space="preserve">Revise 20–30 vacantes y registre requisitos.</w:t>
      </w:r>
    </w:p>
    <w:p>
      <w:pPr>
        <w:numPr>
          <w:ilvl w:val="0"/>
          <w:numId w:val="1014"/>
        </w:numPr>
        <w:pStyle w:val="Compact"/>
      </w:pPr>
      <w:r>
        <w:t xml:space="preserve">Identifique títulos y sistemas comunes.</w:t>
      </w:r>
    </w:p>
    <w:bookmarkEnd w:id="43"/>
    <w:bookmarkStart w:id="44" w:name="semanas-34"/>
    <w:p>
      <w:pPr>
        <w:pStyle w:val="Heading3"/>
      </w:pPr>
      <w:r>
        <w:t xml:space="preserve">Semanas 3–4</w:t>
      </w:r>
    </w:p>
    <w:p>
      <w:pPr>
        <w:numPr>
          <w:ilvl w:val="0"/>
          <w:numId w:val="1015"/>
        </w:numPr>
        <w:pStyle w:val="Compact"/>
      </w:pPr>
      <w:r>
        <w:t xml:space="preserve">Refuerce hojas de cálculo, presentaciones y redacción.</w:t>
      </w:r>
    </w:p>
    <w:p>
      <w:pPr>
        <w:numPr>
          <w:ilvl w:val="0"/>
          <w:numId w:val="1015"/>
        </w:numPr>
        <w:pStyle w:val="Compact"/>
      </w:pPr>
      <w:r>
        <w:t xml:space="preserve">Aprenda fundamentos de aprendizaje de adultos y facilitación.</w:t>
      </w:r>
    </w:p>
    <w:bookmarkEnd w:id="44"/>
    <w:bookmarkStart w:id="45" w:name="semanas-56"/>
    <w:p>
      <w:pPr>
        <w:pStyle w:val="Heading3"/>
      </w:pPr>
      <w:r>
        <w:t xml:space="preserve">Semanas 5–6</w:t>
      </w:r>
    </w:p>
    <w:p>
      <w:pPr>
        <w:numPr>
          <w:ilvl w:val="0"/>
          <w:numId w:val="1016"/>
        </w:numPr>
        <w:pStyle w:val="Compact"/>
      </w:pPr>
      <w:r>
        <w:t xml:space="preserve">Complete una actividad gratuita o de bajo costo.</w:t>
      </w:r>
    </w:p>
    <w:p>
      <w:pPr>
        <w:numPr>
          <w:ilvl w:val="0"/>
          <w:numId w:val="1016"/>
        </w:numPr>
        <w:pStyle w:val="Compact"/>
      </w:pPr>
      <w:r>
        <w:t xml:space="preserve">Cree un calendario o rastreador LMS ficticio.</w:t>
      </w:r>
    </w:p>
    <w:bookmarkEnd w:id="45"/>
    <w:bookmarkStart w:id="46" w:name="semanas-78"/>
    <w:p>
      <w:pPr>
        <w:pStyle w:val="Heading3"/>
      </w:pPr>
      <w:r>
        <w:t xml:space="preserve">Semanas 7–8</w:t>
      </w:r>
    </w:p>
    <w:p>
      <w:pPr>
        <w:numPr>
          <w:ilvl w:val="0"/>
          <w:numId w:val="1017"/>
        </w:numPr>
        <w:pStyle w:val="Compact"/>
      </w:pPr>
      <w:r>
        <w:t xml:space="preserve">Cree una ayuda accesible o un módulo corto.</w:t>
      </w:r>
    </w:p>
    <w:p>
      <w:pPr>
        <w:numPr>
          <w:ilvl w:val="0"/>
          <w:numId w:val="1017"/>
        </w:numPr>
        <w:pStyle w:val="Compact"/>
      </w:pPr>
      <w:r>
        <w:t xml:space="preserve">Practique comunicaciones y facilitación.</w:t>
      </w:r>
    </w:p>
    <w:bookmarkEnd w:id="46"/>
    <w:bookmarkStart w:id="47" w:name="semanas-910"/>
    <w:p>
      <w:pPr>
        <w:pStyle w:val="Heading3"/>
      </w:pPr>
      <w:r>
        <w:t xml:space="preserve">Semanas 9–10</w:t>
      </w:r>
    </w:p>
    <w:p>
      <w:pPr>
        <w:numPr>
          <w:ilvl w:val="0"/>
          <w:numId w:val="1018"/>
        </w:numPr>
        <w:pStyle w:val="Compact"/>
      </w:pPr>
      <w:r>
        <w:t xml:space="preserve">Revise privacidad, accesibilidad, ciberseguridad, evaluación e IA responsable.</w:t>
      </w:r>
    </w:p>
    <w:p>
      <w:pPr>
        <w:numPr>
          <w:ilvl w:val="0"/>
          <w:numId w:val="1018"/>
        </w:numPr>
        <w:pStyle w:val="Compact"/>
      </w:pPr>
      <w:r>
        <w:t xml:space="preserve">Verifique opciones de financiamiento antes de pagar.</w:t>
      </w:r>
    </w:p>
    <w:bookmarkEnd w:id="47"/>
    <w:bookmarkStart w:id="48" w:name="semanas-1112"/>
    <w:p>
      <w:pPr>
        <w:pStyle w:val="Heading3"/>
      </w:pPr>
      <w:r>
        <w:t xml:space="preserve">Semanas 11–12</w:t>
      </w:r>
    </w:p>
    <w:p>
      <w:pPr>
        <w:numPr>
          <w:ilvl w:val="0"/>
          <w:numId w:val="1019"/>
        </w:numPr>
        <w:pStyle w:val="Compact"/>
      </w:pPr>
      <w:r>
        <w:t xml:space="preserve">Adapte su CV con evidencia veraz.</w:t>
      </w:r>
    </w:p>
    <w:p>
      <w:pPr>
        <w:numPr>
          <w:ilvl w:val="0"/>
          <w:numId w:val="1019"/>
        </w:numPr>
        <w:pStyle w:val="Compact"/>
      </w:pPr>
      <w:r>
        <w:t xml:space="preserve">Practique entrevistas situacionales.</w:t>
      </w:r>
    </w:p>
    <w:p>
      <w:pPr>
        <w:numPr>
          <w:ilvl w:val="0"/>
          <w:numId w:val="1019"/>
        </w:numPr>
        <w:pStyle w:val="Compact"/>
      </w:pPr>
      <w:r>
        <w:t xml:space="preserve">Postule selectivamente y ajuste el plan según retroalimentación real.</w:t>
      </w:r>
    </w:p>
    <w:bookmarkEnd w:id="48"/>
    <w:bookmarkEnd w:id="49"/>
    <w:bookmarkStart w:id="50" w:name="estrategia-de-búsqueda-de-empleo"/>
    <w:p>
      <w:pPr>
        <w:pStyle w:val="Heading2"/>
      </w:pPr>
      <w:r>
        <w:t xml:space="preserve">14. Estrategia de búsqueda de empleo</w:t>
      </w:r>
    </w:p>
    <w:p>
      <w:pPr>
        <w:pStyle w:val="FirstParagraph"/>
      </w:pPr>
      <w:r>
        <w:t xml:space="preserve">Busque títulos adyacentes:</w:t>
      </w:r>
    </w:p>
    <w:p>
      <w:pPr>
        <w:numPr>
          <w:ilvl w:val="0"/>
          <w:numId w:val="1020"/>
        </w:numPr>
        <w:pStyle w:val="Compact"/>
      </w:pPr>
      <w:r>
        <w:t xml:space="preserve">Training and Development Coordinator</w:t>
      </w:r>
    </w:p>
    <w:p>
      <w:pPr>
        <w:numPr>
          <w:ilvl w:val="0"/>
          <w:numId w:val="1020"/>
        </w:numPr>
        <w:pStyle w:val="Compact"/>
      </w:pPr>
      <w:r>
        <w:t xml:space="preserve">Learning and Development Coordinator</w:t>
      </w:r>
    </w:p>
    <w:p>
      <w:pPr>
        <w:numPr>
          <w:ilvl w:val="0"/>
          <w:numId w:val="1020"/>
        </w:numPr>
        <w:pStyle w:val="Compact"/>
      </w:pPr>
      <w:r>
        <w:t xml:space="preserve">Training Coordinator</w:t>
      </w:r>
    </w:p>
    <w:p>
      <w:pPr>
        <w:numPr>
          <w:ilvl w:val="0"/>
          <w:numId w:val="1020"/>
        </w:numPr>
        <w:pStyle w:val="Compact"/>
      </w:pPr>
      <w:r>
        <w:t xml:space="preserve">Learning Coordinator</w:t>
      </w:r>
    </w:p>
    <w:p>
      <w:pPr>
        <w:numPr>
          <w:ilvl w:val="0"/>
          <w:numId w:val="1020"/>
        </w:numPr>
        <w:pStyle w:val="Compact"/>
      </w:pPr>
      <w:r>
        <w:t xml:space="preserve">L&amp;D Coordinator</w:t>
      </w:r>
    </w:p>
    <w:p>
      <w:pPr>
        <w:numPr>
          <w:ilvl w:val="0"/>
          <w:numId w:val="1020"/>
        </w:numPr>
        <w:pStyle w:val="Compact"/>
      </w:pPr>
      <w:r>
        <w:t xml:space="preserve">Training Administrator</w:t>
      </w:r>
    </w:p>
    <w:p>
      <w:pPr>
        <w:numPr>
          <w:ilvl w:val="0"/>
          <w:numId w:val="1020"/>
        </w:numPr>
        <w:pStyle w:val="Compact"/>
      </w:pPr>
      <w:r>
        <w:t xml:space="preserve">Talent Development Coordinator</w:t>
      </w:r>
    </w:p>
    <w:p>
      <w:pPr>
        <w:numPr>
          <w:ilvl w:val="0"/>
          <w:numId w:val="1020"/>
        </w:numPr>
        <w:pStyle w:val="Compact"/>
      </w:pPr>
      <w:r>
        <w:t xml:space="preserve">Learning Operations Coordinator</w:t>
      </w:r>
    </w:p>
    <w:p>
      <w:pPr>
        <w:numPr>
          <w:ilvl w:val="0"/>
          <w:numId w:val="1020"/>
        </w:numPr>
        <w:pStyle w:val="Compact"/>
      </w:pPr>
      <w:r>
        <w:t xml:space="preserve">Onboarding Coordinator</w:t>
      </w:r>
    </w:p>
    <w:p>
      <w:pPr>
        <w:numPr>
          <w:ilvl w:val="0"/>
          <w:numId w:val="1020"/>
        </w:numPr>
        <w:pStyle w:val="Compact"/>
      </w:pPr>
      <w:r>
        <w:t xml:space="preserve">LMS Administrator</w:t>
      </w:r>
    </w:p>
    <w:p>
      <w:pPr>
        <w:numPr>
          <w:ilvl w:val="0"/>
          <w:numId w:val="1020"/>
        </w:numPr>
        <w:pStyle w:val="Compact"/>
      </w:pPr>
      <w:r>
        <w:t xml:space="preserve">Training Specialist</w:t>
      </w:r>
    </w:p>
    <w:p>
      <w:pPr>
        <w:numPr>
          <w:ilvl w:val="0"/>
          <w:numId w:val="1020"/>
        </w:numPr>
        <w:pStyle w:val="Compact"/>
      </w:pPr>
      <w:r>
        <w:t xml:space="preserve">Training Program Coordinator</w:t>
      </w:r>
    </w:p>
    <w:p>
      <w:pPr>
        <w:pStyle w:val="FirstParagraph"/>
      </w:pPr>
      <w:r>
        <w:t xml:space="preserve">Lea las funciones: un</w:t>
      </w:r>
      <w:r>
        <w:t xml:space="preserve"> </w:t>
      </w:r>
      <w:r>
        <w:rPr>
          <w:rStyle w:val="VerbatimChar"/>
        </w:rPr>
        <w:t xml:space="preserve">Training Coordinator</w:t>
      </w:r>
      <w:r>
        <w:t xml:space="preserve"> </w:t>
      </w:r>
      <w:r>
        <w:t xml:space="preserve">puede ser administrador de RR. HH., administrador de cumplimiento, facilitador, especialista LMS, diseñador instruccional, coordinador de eventos o formación de seguridad.</w:t>
      </w:r>
    </w:p>
    <w:bookmarkEnd w:id="50"/>
    <w:bookmarkStart w:id="51" w:name="Xea914e7cfed13aa81c3101af1ff7fae5e0947c3"/>
    <w:p>
      <w:pPr>
        <w:pStyle w:val="Heading2"/>
      </w:pPr>
      <w:r>
        <w:t xml:space="preserve">15. Evidencia en el currículum y la postulación</w:t>
      </w:r>
    </w:p>
    <w:p>
      <w:pPr>
        <w:pStyle w:val="FirstParagraph"/>
      </w:pPr>
      <w:r>
        <w:t xml:space="preserve">Use evidencia defendible:</w:t>
      </w:r>
    </w:p>
    <w:p>
      <w:pPr>
        <w:numPr>
          <w:ilvl w:val="0"/>
          <w:numId w:val="1021"/>
        </w:numPr>
        <w:pStyle w:val="Compact"/>
      </w:pPr>
      <w:r>
        <w:t xml:space="preserve">participantes, sesiones, programas, departamentos o ubicaciones apoyados;</w:t>
      </w:r>
    </w:p>
    <w:p>
      <w:pPr>
        <w:numPr>
          <w:ilvl w:val="0"/>
          <w:numId w:val="1021"/>
        </w:numPr>
        <w:pStyle w:val="Compact"/>
      </w:pPr>
      <w:r>
        <w:t xml:space="preserve">LMS o HRIS utilizados;</w:t>
      </w:r>
    </w:p>
    <w:p>
      <w:pPr>
        <w:numPr>
          <w:ilvl w:val="0"/>
          <w:numId w:val="1021"/>
        </w:numPr>
        <w:pStyle w:val="Compact"/>
      </w:pPr>
      <w:r>
        <w:t xml:space="preserve">registros de asistencia y finalización mantenidos;</w:t>
      </w:r>
    </w:p>
    <w:p>
      <w:pPr>
        <w:numPr>
          <w:ilvl w:val="0"/>
          <w:numId w:val="1021"/>
        </w:numPr>
        <w:pStyle w:val="Compact"/>
      </w:pPr>
      <w:r>
        <w:t xml:space="preserve">prácticas de accesibilidad apoyadas;</w:t>
      </w:r>
    </w:p>
    <w:p>
      <w:pPr>
        <w:numPr>
          <w:ilvl w:val="0"/>
          <w:numId w:val="1021"/>
        </w:numPr>
        <w:pStyle w:val="Compact"/>
      </w:pPr>
      <w:r>
        <w:t xml:space="preserve">calendarios y comunicaciones coordinados;</w:t>
      </w:r>
    </w:p>
    <w:p>
      <w:pPr>
        <w:numPr>
          <w:ilvl w:val="0"/>
          <w:numId w:val="1021"/>
        </w:numPr>
        <w:pStyle w:val="Compact"/>
      </w:pPr>
      <w:r>
        <w:t xml:space="preserve">análisis de informes o encuestas;</w:t>
      </w:r>
    </w:p>
    <w:p>
      <w:pPr>
        <w:numPr>
          <w:ilvl w:val="0"/>
          <w:numId w:val="1021"/>
        </w:numPr>
        <w:pStyle w:val="Compact"/>
      </w:pPr>
      <w:r>
        <w:t xml:space="preserve">materiales creados o actualizados;</w:t>
      </w:r>
    </w:p>
    <w:p>
      <w:pPr>
        <w:numPr>
          <w:ilvl w:val="0"/>
          <w:numId w:val="1021"/>
        </w:numPr>
        <w:pStyle w:val="Compact"/>
      </w:pPr>
      <w:r>
        <w:t xml:space="preserve">proveedores o expertos coordinados; y</w:t>
      </w:r>
    </w:p>
    <w:p>
      <w:pPr>
        <w:numPr>
          <w:ilvl w:val="0"/>
          <w:numId w:val="1021"/>
        </w:numPr>
        <w:pStyle w:val="Compact"/>
      </w:pPr>
      <w:r>
        <w:t xml:space="preserve">mejoras de proceso con resultados verificados.</w:t>
      </w:r>
    </w:p>
    <w:p>
      <w:pPr>
        <w:pStyle w:val="FirstParagraph"/>
      </w:pPr>
      <w:r>
        <w:t xml:space="preserve">No invente tasas de finalización, participantes, ahorros, satisfacción, sistemas, credenciales o impacto.</w:t>
      </w:r>
    </w:p>
    <w:bookmarkEnd w:id="51"/>
    <w:bookmarkStart w:id="52" w:name="progresión-profesional"/>
    <w:p>
      <w:pPr>
        <w:pStyle w:val="Heading2"/>
      </w:pPr>
      <w:r>
        <w:t xml:space="preserve">16. Progresión profesional</w:t>
      </w:r>
    </w:p>
    <w:p>
      <w:pPr>
        <w:pStyle w:val="FirstParagraph"/>
      </w:pPr>
      <w:r>
        <w:t xml:space="preserve">Posibles siguientes pasos:</w:t>
      </w:r>
    </w:p>
    <w:p>
      <w:pPr>
        <w:numPr>
          <w:ilvl w:val="0"/>
          <w:numId w:val="1022"/>
        </w:numPr>
        <w:pStyle w:val="Compact"/>
      </w:pPr>
      <w:r>
        <w:t xml:space="preserve">Senior Training Coordinator</w:t>
      </w:r>
    </w:p>
    <w:p>
      <w:pPr>
        <w:numPr>
          <w:ilvl w:val="0"/>
          <w:numId w:val="1022"/>
        </w:numPr>
        <w:pStyle w:val="Compact"/>
      </w:pPr>
      <w:r>
        <w:t xml:space="preserve">Training and Development Specialist</w:t>
      </w:r>
    </w:p>
    <w:p>
      <w:pPr>
        <w:numPr>
          <w:ilvl w:val="0"/>
          <w:numId w:val="1022"/>
        </w:numPr>
        <w:pStyle w:val="Compact"/>
      </w:pPr>
      <w:r>
        <w:t xml:space="preserve">Learning and Development Specialist</w:t>
      </w:r>
    </w:p>
    <w:p>
      <w:pPr>
        <w:numPr>
          <w:ilvl w:val="0"/>
          <w:numId w:val="1022"/>
        </w:numPr>
        <w:pStyle w:val="Compact"/>
      </w:pPr>
      <w:r>
        <w:t xml:space="preserve">Instructional Designer</w:t>
      </w:r>
    </w:p>
    <w:p>
      <w:pPr>
        <w:numPr>
          <w:ilvl w:val="0"/>
          <w:numId w:val="1022"/>
        </w:numPr>
        <w:pStyle w:val="Compact"/>
      </w:pPr>
      <w:r>
        <w:t xml:space="preserve">LMS Administrator</w:t>
      </w:r>
    </w:p>
    <w:p>
      <w:pPr>
        <w:numPr>
          <w:ilvl w:val="0"/>
          <w:numId w:val="1022"/>
        </w:numPr>
        <w:pStyle w:val="Compact"/>
      </w:pPr>
      <w:r>
        <w:t xml:space="preserve">Learning Operations Specialist</w:t>
      </w:r>
    </w:p>
    <w:p>
      <w:pPr>
        <w:numPr>
          <w:ilvl w:val="0"/>
          <w:numId w:val="1022"/>
        </w:numPr>
        <w:pStyle w:val="Compact"/>
      </w:pPr>
      <w:r>
        <w:t xml:space="preserve">Talent Development Specialist</w:t>
      </w:r>
    </w:p>
    <w:p>
      <w:pPr>
        <w:numPr>
          <w:ilvl w:val="0"/>
          <w:numId w:val="1022"/>
        </w:numPr>
        <w:pStyle w:val="Compact"/>
      </w:pPr>
      <w:r>
        <w:t xml:space="preserve">Organizational Development Specialist</w:t>
      </w:r>
    </w:p>
    <w:p>
      <w:pPr>
        <w:numPr>
          <w:ilvl w:val="0"/>
          <w:numId w:val="1022"/>
        </w:numPr>
        <w:pStyle w:val="Compact"/>
      </w:pPr>
      <w:r>
        <w:t xml:space="preserve">Training Program Manager</w:t>
      </w:r>
    </w:p>
    <w:p>
      <w:pPr>
        <w:numPr>
          <w:ilvl w:val="0"/>
          <w:numId w:val="1022"/>
        </w:numPr>
        <w:pStyle w:val="Compact"/>
      </w:pPr>
      <w:r>
        <w:t xml:space="preserve">Learning and Development Manager</w:t>
      </w:r>
    </w:p>
    <w:p>
      <w:pPr>
        <w:pStyle w:val="FirstParagraph"/>
      </w:pPr>
      <w:r>
        <w:t xml:space="preserve">La progresión no es automática. Funciones de especialista, diseño, gerencia, desarrollo organizacional, seguridad o cumplimiento pueden exigir experiencia o educación adicional.</w:t>
      </w:r>
    </w:p>
    <w:bookmarkEnd w:id="52"/>
    <w:bookmarkStart w:id="53" w:name="X609bed3e0e8f9c91c5eae1e15298b8c38ab8347"/>
    <w:p>
      <w:pPr>
        <w:pStyle w:val="Heading2"/>
      </w:pPr>
      <w:r>
        <w:t xml:space="preserve">17. Cuándo pausar, retrasar o elegir otra ruta</w:t>
      </w:r>
    </w:p>
    <w:p>
      <w:pPr>
        <w:pStyle w:val="FirstParagraph"/>
      </w:pPr>
      <w:r>
        <w:t xml:space="preserve">Pause si:</w:t>
      </w:r>
    </w:p>
    <w:p>
      <w:pPr>
        <w:numPr>
          <w:ilvl w:val="0"/>
          <w:numId w:val="1023"/>
        </w:numPr>
        <w:pStyle w:val="Compact"/>
      </w:pPr>
      <w:r>
        <w:t xml:space="preserve">la función real es mucho más senior que el título;</w:t>
      </w:r>
    </w:p>
    <w:p>
      <w:pPr>
        <w:numPr>
          <w:ilvl w:val="0"/>
          <w:numId w:val="1023"/>
        </w:numPr>
        <w:pStyle w:val="Compact"/>
      </w:pPr>
      <w:r>
        <w:t xml:space="preserve">viajes, horarios, facilitación o exigencias físicas no son sostenibles y no hay ajuste viable;</w:t>
      </w:r>
    </w:p>
    <w:p>
      <w:pPr>
        <w:numPr>
          <w:ilvl w:val="0"/>
          <w:numId w:val="1023"/>
        </w:numPr>
        <w:pStyle w:val="Compact"/>
      </w:pPr>
      <w:r>
        <w:t xml:space="preserve">un proveedor promete empleo o salario garantizado;</w:t>
      </w:r>
    </w:p>
    <w:p>
      <w:pPr>
        <w:numPr>
          <w:ilvl w:val="0"/>
          <w:numId w:val="1023"/>
        </w:numPr>
        <w:pStyle w:val="Compact"/>
      </w:pPr>
      <w:r>
        <w:t xml:space="preserve">costos, reembolsos o condiciones no están claros;</w:t>
      </w:r>
    </w:p>
    <w:p>
      <w:pPr>
        <w:numPr>
          <w:ilvl w:val="0"/>
          <w:numId w:val="1023"/>
        </w:numPr>
        <w:pStyle w:val="Compact"/>
      </w:pPr>
      <w:r>
        <w:t xml:space="preserve">el puesto exige autoridad legal, clínica, de seguridad, relaciones laborales o regulatoria que no posee;</w:t>
      </w:r>
    </w:p>
    <w:p>
      <w:pPr>
        <w:numPr>
          <w:ilvl w:val="0"/>
          <w:numId w:val="1023"/>
        </w:numPr>
        <w:pStyle w:val="Compact"/>
      </w:pPr>
      <w:r>
        <w:t xml:space="preserve">se esperan registros falsificados; o</w:t>
      </w:r>
    </w:p>
    <w:p>
      <w:pPr>
        <w:numPr>
          <w:ilvl w:val="0"/>
          <w:numId w:val="1023"/>
        </w:numPr>
        <w:pStyle w:val="Compact"/>
      </w:pPr>
      <w:r>
        <w:t xml:space="preserve">se manejan datos confidenciales sin controles adecuados.</w:t>
      </w:r>
    </w:p>
    <w:p>
      <w:pPr>
        <w:pStyle w:val="FirstParagraph"/>
      </w:pPr>
      <w:r>
        <w:t xml:space="preserve">RR. HH. de apoyo, coordinación de proyectos, LMS, educación de clientes, operaciones o administración pueden ser rutas alternativas.</w:t>
      </w:r>
    </w:p>
    <w:bookmarkEnd w:id="53"/>
    <w:bookmarkStart w:id="54" w:name="X9535a782858cb983acc62e9037073c5772cef81"/>
    <w:p>
      <w:pPr>
        <w:pStyle w:val="Heading2"/>
      </w:pPr>
      <w:r>
        <w:t xml:space="preserve">18. Lista de verificación antes de gastar dinero</w:t>
      </w:r>
    </w:p>
    <w:p>
      <w:pPr>
        <w:pStyle w:val="FirstParagraph"/>
      </w:pPr>
      <w:r>
        <w:t xml:space="preserve">Verifique:</w:t>
      </w:r>
    </w:p>
    <w:p>
      <w:pPr>
        <w:numPr>
          <w:ilvl w:val="0"/>
          <w:numId w:val="1024"/>
        </w:numPr>
        <w:pStyle w:val="Compact"/>
      </w:pPr>
      <w:r>
        <w:t xml:space="preserve">título y funciones objetivo;</w:t>
      </w:r>
    </w:p>
    <w:p>
      <w:pPr>
        <w:numPr>
          <w:ilvl w:val="0"/>
          <w:numId w:val="1024"/>
        </w:numPr>
        <w:pStyle w:val="Compact"/>
      </w:pPr>
      <w:r>
        <w:t xml:space="preserve">vacantes locales actuales;</w:t>
      </w:r>
    </w:p>
    <w:p>
      <w:pPr>
        <w:numPr>
          <w:ilvl w:val="0"/>
          <w:numId w:val="1024"/>
        </w:numPr>
        <w:pStyle w:val="Compact"/>
      </w:pPr>
      <w:r>
        <w:t xml:space="preserve">educación requerida versus preferida;</w:t>
      </w:r>
    </w:p>
    <w:p>
      <w:pPr>
        <w:numPr>
          <w:ilvl w:val="0"/>
          <w:numId w:val="1024"/>
        </w:numPr>
        <w:pStyle w:val="Compact"/>
      </w:pPr>
      <w:r>
        <w:t xml:space="preserve">credenciales obligatorias versus opcionales;</w:t>
      </w:r>
    </w:p>
    <w:p>
      <w:pPr>
        <w:numPr>
          <w:ilvl w:val="0"/>
          <w:numId w:val="1024"/>
        </w:numPr>
        <w:pStyle w:val="Compact"/>
      </w:pPr>
      <w:r>
        <w:t xml:space="preserve">costo total;</w:t>
      </w:r>
    </w:p>
    <w:p>
      <w:pPr>
        <w:numPr>
          <w:ilvl w:val="0"/>
          <w:numId w:val="1024"/>
        </w:numPr>
        <w:pStyle w:val="Compact"/>
      </w:pPr>
      <w:r>
        <w:t xml:space="preserve">reglas de retiro y reembolso;</w:t>
      </w:r>
    </w:p>
    <w:p>
      <w:pPr>
        <w:numPr>
          <w:ilvl w:val="0"/>
          <w:numId w:val="1024"/>
        </w:numPr>
        <w:pStyle w:val="Compact"/>
      </w:pPr>
      <w:r>
        <w:t xml:space="preserve">acreditación o reconocimiento cuando corresponda;</w:t>
      </w:r>
    </w:p>
    <w:p>
      <w:pPr>
        <w:numPr>
          <w:ilvl w:val="0"/>
          <w:numId w:val="1024"/>
        </w:numPr>
        <w:pStyle w:val="Compact"/>
      </w:pPr>
      <w:r>
        <w:t xml:space="preserve">financiamiento público o del empleador;</w:t>
      </w:r>
    </w:p>
    <w:p>
      <w:pPr>
        <w:numPr>
          <w:ilvl w:val="0"/>
          <w:numId w:val="1024"/>
        </w:numPr>
        <w:pStyle w:val="Compact"/>
      </w:pPr>
      <w:r>
        <w:t xml:space="preserve">becas;</w:t>
      </w:r>
    </w:p>
    <w:p>
      <w:pPr>
        <w:numPr>
          <w:ilvl w:val="0"/>
          <w:numId w:val="1024"/>
        </w:numPr>
        <w:pStyle w:val="Compact"/>
      </w:pPr>
      <w:r>
        <w:t xml:space="preserve">aprendizaje o alternativas basadas en trabajo;</w:t>
      </w:r>
    </w:p>
    <w:p>
      <w:pPr>
        <w:numPr>
          <w:ilvl w:val="0"/>
          <w:numId w:val="1024"/>
        </w:numPr>
        <w:pStyle w:val="Compact"/>
      </w:pPr>
      <w:r>
        <w:t xml:space="preserve">accesibilidad;</w:t>
      </w:r>
    </w:p>
    <w:p>
      <w:pPr>
        <w:numPr>
          <w:ilvl w:val="0"/>
          <w:numId w:val="1024"/>
        </w:numPr>
        <w:pStyle w:val="Compact"/>
      </w:pPr>
      <w:r>
        <w:t xml:space="preserve">práctica, viajes, horarios y tecnología;</w:t>
      </w:r>
    </w:p>
    <w:p>
      <w:pPr>
        <w:numPr>
          <w:ilvl w:val="0"/>
          <w:numId w:val="1024"/>
        </w:numPr>
        <w:pStyle w:val="Compact"/>
      </w:pPr>
      <w:r>
        <w:t xml:space="preserve">transferencia de créditos;</w:t>
      </w:r>
    </w:p>
    <w:p>
      <w:pPr>
        <w:numPr>
          <w:ilvl w:val="0"/>
          <w:numId w:val="1024"/>
        </w:numPr>
        <w:pStyle w:val="Compact"/>
      </w:pPr>
      <w:r>
        <w:t xml:space="preserve">renovación de credenciales;</w:t>
      </w:r>
    </w:p>
    <w:p>
      <w:pPr>
        <w:numPr>
          <w:ilvl w:val="0"/>
          <w:numId w:val="1024"/>
        </w:numPr>
        <w:pStyle w:val="Compact"/>
      </w:pPr>
      <w:r>
        <w:t xml:space="preserve">obligaciones de reembolso del empleador;</w:t>
      </w:r>
    </w:p>
    <w:p>
      <w:pPr>
        <w:numPr>
          <w:ilvl w:val="0"/>
          <w:numId w:val="1024"/>
        </w:numPr>
        <w:pStyle w:val="Compact"/>
      </w:pPr>
      <w:r>
        <w:t xml:space="preserve">consecuencias tributarias; y</w:t>
      </w:r>
    </w:p>
    <w:p>
      <w:pPr>
        <w:numPr>
          <w:ilvl w:val="0"/>
          <w:numId w:val="1024"/>
        </w:numPr>
        <w:pStyle w:val="Compact"/>
      </w:pPr>
      <w:r>
        <w:t xml:space="preserve">salarios locales realistas con evidencia actual.</w:t>
      </w:r>
    </w:p>
    <w:p>
      <w:pPr>
        <w:pStyle w:val="FirstParagraph"/>
      </w:pPr>
      <w:r>
        <w:t xml:space="preserve">Guarde términos escritos y fechas de consulta.</w:t>
      </w:r>
    </w:p>
    <w:bookmarkEnd w:id="54"/>
    <w:bookmarkStart w:id="59" w:name="fuentes-actuales-de-verificación"/>
    <w:p>
      <w:pPr>
        <w:pStyle w:val="Heading2"/>
      </w:pPr>
      <w:r>
        <w:t xml:space="preserve">19. Fuentes actuales de verificación</w:t>
      </w:r>
    </w:p>
    <w:bookmarkStart w:id="55" w:name="estados-unidos-1"/>
    <w:p>
      <w:pPr>
        <w:pStyle w:val="Heading3"/>
      </w:pPr>
      <w:r>
        <w:t xml:space="preserve">Estados Unidos</w:t>
      </w:r>
    </w:p>
    <w:p>
      <w:pPr>
        <w:numPr>
          <w:ilvl w:val="0"/>
          <w:numId w:val="1025"/>
        </w:numPr>
        <w:pStyle w:val="Compact"/>
      </w:pPr>
      <w:r>
        <w:t xml:space="preserve">U.S. Bureau of Labor Statistics — Training and Development Specialists: https://www.bls.gov/ooh/business-and-financial/training-and-development-specialists.htm</w:t>
      </w:r>
    </w:p>
    <w:p>
      <w:pPr>
        <w:numPr>
          <w:ilvl w:val="0"/>
          <w:numId w:val="1025"/>
        </w:numPr>
        <w:pStyle w:val="Compact"/>
      </w:pPr>
      <w:r>
        <w:t xml:space="preserve">CareerOneStop WIOA-Eligible Training Program Finder: https://www.careeronestop.org/LocalHelp/EmploymentAndTraining/find-WIOA-training-programs.aspx</w:t>
      </w:r>
    </w:p>
    <w:p>
      <w:pPr>
        <w:numPr>
          <w:ilvl w:val="0"/>
          <w:numId w:val="1025"/>
        </w:numPr>
        <w:pStyle w:val="Compact"/>
      </w:pPr>
      <w:r>
        <w:t xml:space="preserve">Federal Student Aid: https://studentaid.gov/</w:t>
      </w:r>
    </w:p>
    <w:p>
      <w:pPr>
        <w:numPr>
          <w:ilvl w:val="0"/>
          <w:numId w:val="1025"/>
        </w:numPr>
        <w:pStyle w:val="Compact"/>
      </w:pPr>
      <w:r>
        <w:t xml:space="preserve">Apprenticeship.gov: https://www.apprenticeship.gov/</w:t>
      </w:r>
    </w:p>
    <w:p>
      <w:pPr>
        <w:numPr>
          <w:ilvl w:val="0"/>
          <w:numId w:val="1025"/>
        </w:numPr>
        <w:pStyle w:val="Compact"/>
      </w:pPr>
      <w:r>
        <w:t xml:space="preserve">IRS Section 127: https://www.irs.gov/newsroom/irs-updates-frequently-asked-questions-about-section-127-educational-assistance-programs</w:t>
      </w:r>
    </w:p>
    <w:p>
      <w:pPr>
        <w:numPr>
          <w:ilvl w:val="0"/>
          <w:numId w:val="1025"/>
        </w:numPr>
        <w:pStyle w:val="Compact"/>
      </w:pPr>
      <w:r>
        <w:t xml:space="preserve">U.S. Department of Education accreditation: https://www.ed.gov/accreditation</w:t>
      </w:r>
    </w:p>
    <w:p>
      <w:pPr>
        <w:numPr>
          <w:ilvl w:val="0"/>
          <w:numId w:val="1025"/>
        </w:numPr>
        <w:pStyle w:val="Compact"/>
      </w:pPr>
      <w:r>
        <w:t xml:space="preserve">EEOC disability discrimination: https://www.eeoc.gov/disability-discrimination</w:t>
      </w:r>
    </w:p>
    <w:bookmarkEnd w:id="55"/>
    <w:bookmarkStart w:id="56" w:name="canadá"/>
    <w:p>
      <w:pPr>
        <w:pStyle w:val="Heading3"/>
      </w:pPr>
      <w:r>
        <w:t xml:space="preserve">Canadá</w:t>
      </w:r>
    </w:p>
    <w:p>
      <w:pPr>
        <w:numPr>
          <w:ilvl w:val="0"/>
          <w:numId w:val="1026"/>
        </w:numPr>
        <w:pStyle w:val="Compact"/>
      </w:pPr>
      <w:r>
        <w:t xml:space="preserve">Job Bank — Staff Training and Development Officer / NOC 11200: https://www.jobbank.gc.ca/marketreport/summary-occupation/255/ca</w:t>
      </w:r>
    </w:p>
    <w:p>
      <w:pPr>
        <w:numPr>
          <w:ilvl w:val="0"/>
          <w:numId w:val="1026"/>
        </w:numPr>
        <w:pStyle w:val="Compact"/>
      </w:pPr>
      <w:r>
        <w:t xml:space="preserve">Job Bank salarios nacionales: https://www.jobbank.gc.ca/marketreport/wages-occupation/255/ca</w:t>
      </w:r>
    </w:p>
    <w:bookmarkEnd w:id="56"/>
    <w:bookmarkStart w:id="57" w:name="colombia"/>
    <w:p>
      <w:pPr>
        <w:pStyle w:val="Heading3"/>
      </w:pPr>
      <w:r>
        <w:t xml:space="preserve">Colombia</w:t>
      </w:r>
    </w:p>
    <w:p>
      <w:pPr>
        <w:numPr>
          <w:ilvl w:val="0"/>
          <w:numId w:val="1027"/>
        </w:numPr>
        <w:pStyle w:val="Compact"/>
      </w:pPr>
      <w:r>
        <w:t xml:space="preserve">Servicio Público de Empleo: https://www.serviciodeempleo.gov.co/</w:t>
      </w:r>
    </w:p>
    <w:p>
      <w:pPr>
        <w:numPr>
          <w:ilvl w:val="0"/>
          <w:numId w:val="1027"/>
        </w:numPr>
        <w:pStyle w:val="Compact"/>
      </w:pPr>
      <w:r>
        <w:t xml:space="preserve">SENA: https://www.sena.edu.co/</w:t>
      </w:r>
    </w:p>
    <w:p>
      <w:pPr>
        <w:numPr>
          <w:ilvl w:val="0"/>
          <w:numId w:val="1027"/>
        </w:numPr>
        <w:pStyle w:val="Compact"/>
      </w:pPr>
      <w:r>
        <w:t xml:space="preserve">SENA Betowa — Gestión del talento humano: https://betowa.sena.edu.co/oferta/gestion-del-talento-humano?modality=P&amp;programId=8996</w:t>
      </w:r>
    </w:p>
    <w:p>
      <w:pPr>
        <w:numPr>
          <w:ilvl w:val="0"/>
          <w:numId w:val="1027"/>
        </w:numPr>
        <w:pStyle w:val="Compact"/>
      </w:pPr>
      <w:r>
        <w:t xml:space="preserve">SENA Betowa — Gestión del desarrollo del talento humano: https://betowa.sena.edu.co/oferta/gestion-del-desarrollo-del-talento-humano?modality=P&amp;programId=145414</w:t>
      </w:r>
    </w:p>
    <w:bookmarkEnd w:id="57"/>
    <w:bookmarkStart w:id="58" w:name="referencia-actual-no-gubernamental"/>
    <w:p>
      <w:pPr>
        <w:pStyle w:val="Heading3"/>
      </w:pPr>
      <w:r>
        <w:t xml:space="preserve">Referencia actual no gubernamental</w:t>
      </w:r>
    </w:p>
    <w:p>
      <w:pPr>
        <w:numPr>
          <w:ilvl w:val="0"/>
          <w:numId w:val="1028"/>
        </w:numPr>
        <w:pStyle w:val="Compact"/>
      </w:pPr>
      <w:r>
        <w:t xml:space="preserve">ZipRecruiter — Training and Development Coordinator salary: https://www.ziprecruiter.com/Salaries/Training-And-Development-Coordinator-Salary</w:t>
      </w:r>
    </w:p>
    <w:p>
      <w:pPr>
        <w:pStyle w:val="FirstParagraph"/>
      </w:pPr>
      <w:r>
        <w:t xml:space="preserve">Las páginas de mercado, programas y vacantes cambian. Vuelva a verificar fecha, título, ubicación y metodología antes de una decisión de alto impacto.</w:t>
      </w:r>
    </w:p>
    <w:p>
      <w:r>
        <w:pict>
          <v:rect style="width:0;height:1.5pt" o:hralign="center" o:hrstd="t" o:hr="t"/>
        </w:pict>
      </w:r>
    </w:p>
    <w:bookmarkEnd w:id="58"/>
    <w:bookmarkEnd w:id="59"/>
    <w:bookmarkStart w:id="60" w:name="recordatorio-final"/>
    <w:p>
      <w:pPr>
        <w:pStyle w:val="Heading2"/>
      </w:pPr>
      <w:r>
        <w:t xml:space="preserve">Recordatorio final</w:t>
      </w:r>
    </w:p>
    <w:p>
      <w:pPr>
        <w:pStyle w:val="FirstParagraph"/>
      </w:pPr>
      <w:r>
        <w:t xml:space="preserve">Una ruta sólida en capacitación y desarrollo comienza con evidencia actual de empleo, aprendizaje asequible, diseño accesible, registros precisos, tecnología responsable y prueba honesta de habilidades. Aprenda el trabajo antes de comprar una credencial, proteja los datos de los participantes y escale decisiones que excedan su autoridad.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2026-08-08T20:51:47Z</dcterms:created>
  <dcterms:modified xsi:type="dcterms:W3CDTF">2026-08-08T20:51:47Z</dcterms:modified>
</cp:coreProperties>
</file>

<file path=docProps/custom.xml><?xml version="1.0" encoding="utf-8"?>
<Properties xmlns="http://schemas.openxmlformats.org/officeDocument/2006/custom-properties" xmlns:vt="http://schemas.openxmlformats.org/officeDocument/2006/docPropsVTypes"/>
</file>