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X53bd16ad5060a871163bff74ce8c3c415c51bb1"/>
    <w:p>
      <w:pPr>
        <w:pStyle w:val="Heading1"/>
      </w:pPr>
      <w:r>
        <w:t xml:space="preserve">Lifelong Opportunity Guide 100 — Clinical Laboratory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29-2012.00 — Medical and Clinical Laboratory Technicians</w:t>
      </w:r>
      <w:r>
        <w:br/>
      </w:r>
      <w:r>
        <w:rPr>
          <w:bCs/>
          <w:b/>
        </w:rPr>
        <w:t xml:space="preserve">Canada comparisons:</w:t>
      </w:r>
      <w:r>
        <w:t xml:space="preserve"> </w:t>
      </w:r>
      <w:r>
        <w:t xml:space="preserve">NOC 32120 — Medical laboratory technologists; NOC 33101 — Medical laboratory assistants and related technical occupations</w:t>
      </w:r>
      <w:r>
        <w:br/>
      </w:r>
      <w:r>
        <w:rPr>
          <w:bCs/>
          <w:b/>
        </w:rPr>
        <w:t xml:space="preserve">Colombia comparisons:</w:t>
      </w:r>
      <w:r>
        <w:t xml:space="preserve"> </w:t>
      </w:r>
      <w:r>
        <w:t xml:space="preserve">CUOC 32120 — Técnicos de laboratorios médicos; CUOC 53294 — Auxiliares de laboratorio clínico</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Clinical laboratory technicians help turn human specimens into reliable laboratory information. Depending on the workplace, they may receive, prepare, test, store, route, document, or dispose of blood, urine, tissue, body fluids, cultures, reagents, controls, and other materials under approved procedures.</w:t>
      </w:r>
    </w:p>
    <w:p>
      <w:pPr>
        <w:pStyle w:val="BodyText"/>
      </w:pPr>
      <w:r>
        <w:t xml:space="preserve">In the United States, this guide uses</w:t>
      </w:r>
      <w:r>
        <w:t xml:space="preserve"> </w:t>
      </w:r>
      <w:r>
        <w:rPr>
          <w:bCs/>
          <w:b/>
        </w:rPr>
        <w:t xml:space="preserve">O*NET-SOC 29-2012.00 — Medical and Clinical Laboratory Technicians</w:t>
      </w:r>
      <w:r>
        <w:t xml:space="preserve"> </w:t>
      </w:r>
      <w:r>
        <w:t xml:space="preserve">as the primary benchmark. O*NET describes the occupation as performing routine medical laboratory tests for diagnosis, treatment, and prevention of disease, sometimes under the supervision of a medical technologist.</w:t>
      </w:r>
    </w:p>
    <w:p>
      <w:pPr>
        <w:pStyle w:val="BodyText"/>
      </w:pPr>
      <w:r>
        <w:t xml:space="preserve">Typical settings include hospital laboratories, medical and diagnostic laboratories, physician-office laboratories, blood banks, clinics, public-health laboratories, research organizations, universities, reference laboratories, and specialized testing facilities.</w:t>
      </w:r>
    </w:p>
    <w:p>
      <w:pPr>
        <w:pStyle w:val="BodyText"/>
      </w:pPr>
      <w:r>
        <w:t xml:space="preserve">Job titles vary. They may include clinical laboratory technician, medical laboratory technician, MLT, laboratory technician, clinical lab technician, medical technician, histology technician, specimen-processing technician, laboratory assistant, or other employer-specific titles. Titles do not establish legal authority. Always check the actual job description, applicable regulations, laboratory policies, test complexity, certification requirements, state or provincial rules, and assigned supervision.</w:t>
      </w:r>
    </w:p>
    <w:bookmarkEnd w:id="20"/>
    <w:bookmarkStart w:id="21" w:name="why-this-role-can-be-an-opportunity"/>
    <w:p>
      <w:pPr>
        <w:pStyle w:val="Heading2"/>
      </w:pPr>
      <w:r>
        <w:t xml:space="preserve">Why this role can be an opportunity</w:t>
      </w:r>
    </w:p>
    <w:p>
      <w:pPr>
        <w:pStyle w:val="FirstParagraph"/>
      </w:pPr>
      <w:r>
        <w:t xml:space="preserve">This career can suit people who enjoy practical science, careful routines, instruments, data, and work that supports patient care without requiring them to be the person who makes the final medical diagnosis.</w:t>
      </w:r>
    </w:p>
    <w:p>
      <w:pPr>
        <w:pStyle w:val="BodyText"/>
      </w:pPr>
      <w:r>
        <w:t xml:space="preserve">The work may appeal to someone who likes to:</w:t>
      </w:r>
    </w:p>
    <w:p>
      <w:pPr>
        <w:numPr>
          <w:ilvl w:val="0"/>
          <w:numId w:val="1001"/>
        </w:numPr>
        <w:pStyle w:val="Compact"/>
      </w:pPr>
      <w:r>
        <w:t xml:space="preserve">follow a validated method precisely;</w:t>
      </w:r>
    </w:p>
    <w:p>
      <w:pPr>
        <w:numPr>
          <w:ilvl w:val="0"/>
          <w:numId w:val="1001"/>
        </w:numPr>
        <w:pStyle w:val="Compact"/>
      </w:pPr>
      <w:r>
        <w:t xml:space="preserve">identify and organize specimens;</w:t>
      </w:r>
    </w:p>
    <w:p>
      <w:pPr>
        <w:numPr>
          <w:ilvl w:val="0"/>
          <w:numId w:val="1001"/>
        </w:numPr>
        <w:pStyle w:val="Compact"/>
      </w:pPr>
      <w:r>
        <w:t xml:space="preserve">measure, pipette, prepare, stain, count, compare, and document;</w:t>
      </w:r>
    </w:p>
    <w:p>
      <w:pPr>
        <w:numPr>
          <w:ilvl w:val="0"/>
          <w:numId w:val="1001"/>
        </w:numPr>
        <w:pStyle w:val="Compact"/>
      </w:pPr>
      <w:r>
        <w:t xml:space="preserve">work with microscopes, analyzers and laboratory information systems;</w:t>
      </w:r>
    </w:p>
    <w:p>
      <w:pPr>
        <w:numPr>
          <w:ilvl w:val="0"/>
          <w:numId w:val="1001"/>
        </w:numPr>
        <w:pStyle w:val="Compact"/>
      </w:pPr>
      <w:r>
        <w:t xml:space="preserve">notice when a control, instrument or specimen does not look right;</w:t>
      </w:r>
    </w:p>
    <w:p>
      <w:pPr>
        <w:numPr>
          <w:ilvl w:val="0"/>
          <w:numId w:val="1001"/>
        </w:numPr>
        <w:pStyle w:val="Compact"/>
      </w:pPr>
      <w:r>
        <w:t xml:space="preserve">solve routine technical problems within assigned authority;</w:t>
      </w:r>
    </w:p>
    <w:p>
      <w:pPr>
        <w:numPr>
          <w:ilvl w:val="0"/>
          <w:numId w:val="1001"/>
        </w:numPr>
        <w:pStyle w:val="Compact"/>
      </w:pPr>
      <w:r>
        <w:t xml:space="preserve">maintain accurate records;</w:t>
      </w:r>
    </w:p>
    <w:p>
      <w:pPr>
        <w:numPr>
          <w:ilvl w:val="0"/>
          <w:numId w:val="1001"/>
        </w:numPr>
        <w:pStyle w:val="Compact"/>
      </w:pPr>
      <w:r>
        <w:t xml:space="preserve">work as part of a health-care team;</w:t>
      </w:r>
    </w:p>
    <w:p>
      <w:pPr>
        <w:numPr>
          <w:ilvl w:val="0"/>
          <w:numId w:val="1001"/>
        </w:numPr>
        <w:pStyle w:val="Compact"/>
      </w:pPr>
      <w:r>
        <w:t xml:space="preserve">protect patient privacy and laboratory data;</w:t>
      </w:r>
    </w:p>
    <w:p>
      <w:pPr>
        <w:numPr>
          <w:ilvl w:val="0"/>
          <w:numId w:val="1001"/>
        </w:numPr>
        <w:pStyle w:val="Compact"/>
      </w:pPr>
      <w:r>
        <w:t xml:space="preserve">report errors rather than hide them;</w:t>
      </w:r>
    </w:p>
    <w:p>
      <w:pPr>
        <w:numPr>
          <w:ilvl w:val="0"/>
          <w:numId w:val="1001"/>
        </w:numPr>
        <w:pStyle w:val="Compact"/>
      </w:pPr>
      <w:r>
        <w:t xml:space="preserve">learn continuously as methods and instruments change.</w:t>
      </w:r>
    </w:p>
    <w:p>
      <w:pPr>
        <w:pStyle w:val="FirstParagraph"/>
      </w:pPr>
      <w:r>
        <w:t xml:space="preserve">The work can also be demanding. Clinical laboratories may involve infectious specimens, sharps, chemicals, repetitive hand movements, close visual work, standing, shift work, nights, weekends, holidays, urgent specimens, alarms, strict quality rules, and consequences when specimen identity or test accuracy is compromised.</w:t>
      </w:r>
    </w:p>
    <w:p>
      <w:pPr>
        <w:pStyle w:val="BodyText"/>
      </w:pPr>
      <w:r>
        <w:t xml:space="preserve">A learner should investigate the real work environment before committing to an expensive program. A laboratory tour, approved job-shadow experience, entry-level specimen-processing role, phlebotomy exposure where appropriate, school laboratory, information session, or conversation with working laboratory professionals can help clarify fit.</w:t>
      </w:r>
    </w:p>
    <w:bookmarkEnd w:id="21"/>
    <w:bookmarkStart w:id="27" w:name="Xb90fc29c423b6becdec21ea1755b164b26f5c99"/>
    <w:p>
      <w:pPr>
        <w:pStyle w:val="Heading2"/>
      </w:pPr>
      <w:r>
        <w:t xml:space="preserve">Technician, technologist/scientist, assistant, phlebotomist and pathologist are different roles</w:t>
      </w:r>
    </w:p>
    <w:p>
      <w:pPr>
        <w:pStyle w:val="FirstParagraph"/>
      </w:pPr>
      <w:r>
        <w:t xml:space="preserve">The same title can mean different things across employers and countries. The safest approach is to understand responsibilities and authority rather than rely on the title alone.</w:t>
      </w:r>
    </w:p>
    <w:bookmarkStart w:id="22" w:name="X2be5032d5b3ee1a2a17b94cafc1d59b1b1ce35a"/>
    <w:p>
      <w:pPr>
        <w:pStyle w:val="Heading3"/>
      </w:pPr>
      <w:r>
        <w:t xml:space="preserve">A clinical or medical laboratory technician may be assigned to</w:t>
      </w:r>
    </w:p>
    <w:p>
      <w:pPr>
        <w:numPr>
          <w:ilvl w:val="0"/>
          <w:numId w:val="1002"/>
        </w:numPr>
        <w:pStyle w:val="Compact"/>
      </w:pPr>
      <w:r>
        <w:t xml:space="preserve">receive and identify specimens;</w:t>
      </w:r>
    </w:p>
    <w:p>
      <w:pPr>
        <w:numPr>
          <w:ilvl w:val="0"/>
          <w:numId w:val="1002"/>
        </w:numPr>
        <w:pStyle w:val="Compact"/>
      </w:pPr>
      <w:r>
        <w:t xml:space="preserve">assess specimen acceptability using approved criteria;</w:t>
      </w:r>
    </w:p>
    <w:p>
      <w:pPr>
        <w:numPr>
          <w:ilvl w:val="0"/>
          <w:numId w:val="1002"/>
        </w:numPr>
        <w:pStyle w:val="Compact"/>
      </w:pPr>
      <w:r>
        <w:t xml:space="preserve">prepare specimens for testing;</w:t>
      </w:r>
    </w:p>
    <w:p>
      <w:pPr>
        <w:numPr>
          <w:ilvl w:val="0"/>
          <w:numId w:val="1002"/>
        </w:numPr>
        <w:pStyle w:val="Compact"/>
      </w:pPr>
      <w:r>
        <w:t xml:space="preserve">perform routine chemistry, hematology, urinalysis, immunology, microbiology, blood-bank or other approved tests within competency and authorization;</w:t>
      </w:r>
    </w:p>
    <w:p>
      <w:pPr>
        <w:numPr>
          <w:ilvl w:val="0"/>
          <w:numId w:val="1002"/>
        </w:numPr>
        <w:pStyle w:val="Compact"/>
      </w:pPr>
      <w:r>
        <w:t xml:space="preserve">prepare reagents, controls and materials according to procedure;</w:t>
      </w:r>
    </w:p>
    <w:p>
      <w:pPr>
        <w:numPr>
          <w:ilvl w:val="0"/>
          <w:numId w:val="1002"/>
        </w:numPr>
        <w:pStyle w:val="Compact"/>
      </w:pPr>
      <w:r>
        <w:t xml:space="preserve">load and operate approved analyzers;</w:t>
      </w:r>
    </w:p>
    <w:p>
      <w:pPr>
        <w:numPr>
          <w:ilvl w:val="0"/>
          <w:numId w:val="1002"/>
        </w:numPr>
        <w:pStyle w:val="Compact"/>
      </w:pPr>
      <w:r>
        <w:t xml:space="preserve">perform manual procedures for which the technician has been trained and authorized;</w:t>
      </w:r>
    </w:p>
    <w:p>
      <w:pPr>
        <w:numPr>
          <w:ilvl w:val="0"/>
          <w:numId w:val="1002"/>
        </w:numPr>
        <w:pStyle w:val="Compact"/>
      </w:pPr>
      <w:r>
        <w:t xml:space="preserve">record quality-control results;</w:t>
      </w:r>
    </w:p>
    <w:p>
      <w:pPr>
        <w:numPr>
          <w:ilvl w:val="0"/>
          <w:numId w:val="1002"/>
        </w:numPr>
        <w:pStyle w:val="Compact"/>
      </w:pPr>
      <w:r>
        <w:t xml:space="preserve">calibrate, verify, clean or maintain equipment when assigned;</w:t>
      </w:r>
    </w:p>
    <w:p>
      <w:pPr>
        <w:numPr>
          <w:ilvl w:val="0"/>
          <w:numId w:val="1002"/>
        </w:numPr>
        <w:pStyle w:val="Compact"/>
      </w:pPr>
      <w:r>
        <w:t xml:space="preserve">document instrument errors and corrective actions;</w:t>
      </w:r>
    </w:p>
    <w:p>
      <w:pPr>
        <w:numPr>
          <w:ilvl w:val="0"/>
          <w:numId w:val="1002"/>
        </w:numPr>
        <w:pStyle w:val="Compact"/>
      </w:pPr>
      <w:r>
        <w:t xml:space="preserve">enter or verify data in approved laboratory systems within assigned authority;</w:t>
      </w:r>
    </w:p>
    <w:p>
      <w:pPr>
        <w:numPr>
          <w:ilvl w:val="0"/>
          <w:numId w:val="1002"/>
        </w:numPr>
        <w:pStyle w:val="Compact"/>
      </w:pPr>
      <w:r>
        <w:t xml:space="preserve">recognize critical, unusual, inconsistent or out-of-range findings and escalate them under the laboratory procedure;</w:t>
      </w:r>
    </w:p>
    <w:p>
      <w:pPr>
        <w:numPr>
          <w:ilvl w:val="0"/>
          <w:numId w:val="1002"/>
        </w:numPr>
        <w:pStyle w:val="Compact"/>
      </w:pPr>
      <w:r>
        <w:t xml:space="preserve">preserve original observations and instrument data;</w:t>
      </w:r>
    </w:p>
    <w:p>
      <w:pPr>
        <w:numPr>
          <w:ilvl w:val="0"/>
          <w:numId w:val="1002"/>
        </w:numPr>
        <w:pStyle w:val="Compact"/>
      </w:pPr>
      <w:r>
        <w:t xml:space="preserve">follow bloodborne-pathogen, chemical, sharps, waste, infection-control and PPE requirements.</w:t>
      </w:r>
    </w:p>
    <w:bookmarkEnd w:id="22"/>
    <w:bookmarkStart w:id="23" w:name="X8e60e1447b72bce0767292f4fcffc720f52ca24"/>
    <w:p>
      <w:pPr>
        <w:pStyle w:val="Heading3"/>
      </w:pPr>
      <w:r>
        <w:t xml:space="preserve">A medical laboratory technologist or medical laboratory scientist may have broader duties</w:t>
      </w:r>
    </w:p>
    <w:p>
      <w:pPr>
        <w:pStyle w:val="FirstParagraph"/>
      </w:pPr>
      <w:r>
        <w:t xml:space="preserve">Depending on jurisdiction and employer, a technologist or scientist may perform more complex testing, advanced troubleshooting, method verification or validation, specialized microscopy, quality-system work, training, competency assessment, supervisory functions, technical consultation, or other responsibilities beyond a technician’s assigned scope.</w:t>
      </w:r>
    </w:p>
    <w:bookmarkEnd w:id="23"/>
    <w:bookmarkStart w:id="24" w:name="X2a18f04ba9f3c8d79b5648d1a5c75e43e0498a0"/>
    <w:p>
      <w:pPr>
        <w:pStyle w:val="Heading3"/>
      </w:pPr>
      <w:r>
        <w:t xml:space="preserve">A medical laboratory assistant may have a narrower pre-analytical role</w:t>
      </w:r>
    </w:p>
    <w:p>
      <w:pPr>
        <w:pStyle w:val="FirstParagraph"/>
      </w:pPr>
      <w:r>
        <w:t xml:space="preserve">An assistant may focus on specimen collection, accessioning, labeling, transport, processing, centrifugation, aliquoting, reagent preparation, equipment setup, cleaning, clerical support, or selected routine procedures. In Canada, this narrower route is represented separately by</w:t>
      </w:r>
      <w:r>
        <w:t xml:space="preserve"> </w:t>
      </w:r>
      <w:r>
        <w:rPr>
          <w:bCs/>
          <w:b/>
        </w:rPr>
        <w:t xml:space="preserve">NOC 33101 — Medical laboratory assistants and related technical occupations</w:t>
      </w:r>
      <w:r>
        <w:t xml:space="preserve">.</w:t>
      </w:r>
    </w:p>
    <w:bookmarkEnd w:id="24"/>
    <w:bookmarkStart w:id="25" w:name="Xa6d2d8a8c4cdb100bbb1f697e7f2128168d0b7d"/>
    <w:p>
      <w:pPr>
        <w:pStyle w:val="Heading3"/>
      </w:pPr>
      <w:r>
        <w:t xml:space="preserve">A phlebotomist focuses on blood collection</w:t>
      </w:r>
    </w:p>
    <w:p>
      <w:pPr>
        <w:pStyle w:val="FirstParagraph"/>
      </w:pPr>
      <w:r>
        <w:t xml:space="preserve">Phlebotomy is an important specialty, but the ability to collect blood does not by itself qualify someone to perform the full range of clinical laboratory testing.</w:t>
      </w:r>
    </w:p>
    <w:bookmarkEnd w:id="25"/>
    <w:bookmarkStart w:id="26" w:name="X80f48276704e30f250bb9fa028d32f5b2752ea9"/>
    <w:p>
      <w:pPr>
        <w:pStyle w:val="Heading3"/>
      </w:pPr>
      <w:r>
        <w:t xml:space="preserve">A pathologist, physician, laboratory director or other authorized professional has different accountability</w:t>
      </w:r>
    </w:p>
    <w:p>
      <w:pPr>
        <w:pStyle w:val="FirstParagraph"/>
      </w:pPr>
      <w:r>
        <w:t xml:space="preserve">These professionals may be responsible for medical interpretation, diagnosis, laboratory direction, method approval, regulatory oversight, final review, consultation, result-release policies or other high-consequence decisions. A technician should understand how their work supports those decisions without claiming authority they do not hold.</w:t>
      </w:r>
    </w:p>
    <w:bookmarkEnd w:id="26"/>
    <w:bookmarkEnd w:id="27"/>
    <w:bookmarkStart w:id="28" w:name="typical-responsibilities"/>
    <w:p>
      <w:pPr>
        <w:pStyle w:val="Heading2"/>
      </w:pPr>
      <w:r>
        <w:t xml:space="preserve">Typical responsibilities</w:t>
      </w:r>
    </w:p>
    <w:p>
      <w:pPr>
        <w:pStyle w:val="FirstParagraph"/>
      </w:pPr>
      <w:r>
        <w:t xml:space="preserve">Depending on the laboratory, a technician’s work may include:</w:t>
      </w:r>
    </w:p>
    <w:p>
      <w:pPr>
        <w:numPr>
          <w:ilvl w:val="0"/>
          <w:numId w:val="1003"/>
        </w:numPr>
        <w:pStyle w:val="Compact"/>
      </w:pPr>
      <w:r>
        <w:t xml:space="preserve">checking a test order and specimen against identifiers;</w:t>
      </w:r>
    </w:p>
    <w:p>
      <w:pPr>
        <w:numPr>
          <w:ilvl w:val="0"/>
          <w:numId w:val="1003"/>
        </w:numPr>
        <w:pStyle w:val="Compact"/>
      </w:pPr>
      <w:r>
        <w:t xml:space="preserve">labeling or accessioning specimens through approved workflows;</w:t>
      </w:r>
    </w:p>
    <w:p>
      <w:pPr>
        <w:numPr>
          <w:ilvl w:val="0"/>
          <w:numId w:val="1003"/>
        </w:numPr>
        <w:pStyle w:val="Compact"/>
      </w:pPr>
      <w:r>
        <w:t xml:space="preserve">documenting collection or receipt time;</w:t>
      </w:r>
    </w:p>
    <w:p>
      <w:pPr>
        <w:numPr>
          <w:ilvl w:val="0"/>
          <w:numId w:val="1003"/>
        </w:numPr>
        <w:pStyle w:val="Compact"/>
      </w:pPr>
      <w:r>
        <w:t xml:space="preserve">checking specimen type, volume, container, anticoagulant, transport condition and visible integrity;</w:t>
      </w:r>
    </w:p>
    <w:p>
      <w:pPr>
        <w:numPr>
          <w:ilvl w:val="0"/>
          <w:numId w:val="1003"/>
        </w:numPr>
        <w:pStyle w:val="Compact"/>
      </w:pPr>
      <w:r>
        <w:t xml:space="preserve">centrifuging, separating, aliquoting or preparing specimens;</w:t>
      </w:r>
    </w:p>
    <w:p>
      <w:pPr>
        <w:numPr>
          <w:ilvl w:val="0"/>
          <w:numId w:val="1003"/>
        </w:numPr>
        <w:pStyle w:val="Compact"/>
      </w:pPr>
      <w:r>
        <w:t xml:space="preserve">preparing slides, stains, dilutions, standards, controls or reagents;</w:t>
      </w:r>
    </w:p>
    <w:p>
      <w:pPr>
        <w:numPr>
          <w:ilvl w:val="0"/>
          <w:numId w:val="1003"/>
        </w:numPr>
        <w:pStyle w:val="Compact"/>
      </w:pPr>
      <w:r>
        <w:t xml:space="preserve">performing routine automated or manual tests;</w:t>
      </w:r>
    </w:p>
    <w:p>
      <w:pPr>
        <w:numPr>
          <w:ilvl w:val="0"/>
          <w:numId w:val="1003"/>
        </w:numPr>
        <w:pStyle w:val="Compact"/>
      </w:pPr>
      <w:r>
        <w:t xml:space="preserve">using microscopes and cell counters;</w:t>
      </w:r>
    </w:p>
    <w:p>
      <w:pPr>
        <w:numPr>
          <w:ilvl w:val="0"/>
          <w:numId w:val="1003"/>
        </w:numPr>
        <w:pStyle w:val="Compact"/>
      </w:pPr>
      <w:r>
        <w:t xml:space="preserve">running chemistry or hematology analyzers;</w:t>
      </w:r>
    </w:p>
    <w:p>
      <w:pPr>
        <w:numPr>
          <w:ilvl w:val="0"/>
          <w:numId w:val="1003"/>
        </w:numPr>
        <w:pStyle w:val="Compact"/>
      </w:pPr>
      <w:r>
        <w:t xml:space="preserve">supporting microbiology workflows within training and authorization;</w:t>
      </w:r>
    </w:p>
    <w:p>
      <w:pPr>
        <w:numPr>
          <w:ilvl w:val="0"/>
          <w:numId w:val="1003"/>
        </w:numPr>
        <w:pStyle w:val="Compact"/>
      </w:pPr>
      <w:r>
        <w:t xml:space="preserve">performing urinalysis and other body-fluid testing;</w:t>
      </w:r>
    </w:p>
    <w:p>
      <w:pPr>
        <w:numPr>
          <w:ilvl w:val="0"/>
          <w:numId w:val="1003"/>
        </w:numPr>
        <w:pStyle w:val="Compact"/>
      </w:pPr>
      <w:r>
        <w:t xml:space="preserve">supporting immunology or transfusion-service workflows within assigned scope;</w:t>
      </w:r>
    </w:p>
    <w:p>
      <w:pPr>
        <w:numPr>
          <w:ilvl w:val="0"/>
          <w:numId w:val="1003"/>
        </w:numPr>
        <w:pStyle w:val="Compact"/>
      </w:pPr>
      <w:r>
        <w:t xml:space="preserve">performing instrument calibration, calibration verification or maintenance when authorized;</w:t>
      </w:r>
    </w:p>
    <w:p>
      <w:pPr>
        <w:numPr>
          <w:ilvl w:val="0"/>
          <w:numId w:val="1003"/>
        </w:numPr>
        <w:pStyle w:val="Compact"/>
      </w:pPr>
      <w:r>
        <w:t xml:space="preserve">running and documenting quality controls;</w:t>
      </w:r>
    </w:p>
    <w:p>
      <w:pPr>
        <w:numPr>
          <w:ilvl w:val="0"/>
          <w:numId w:val="1003"/>
        </w:numPr>
        <w:pStyle w:val="Compact"/>
      </w:pPr>
      <w:r>
        <w:t xml:space="preserve">recognizing a failed control or instrument flag;</w:t>
      </w:r>
    </w:p>
    <w:p>
      <w:pPr>
        <w:numPr>
          <w:ilvl w:val="0"/>
          <w:numId w:val="1003"/>
        </w:numPr>
        <w:pStyle w:val="Compact"/>
      </w:pPr>
      <w:r>
        <w:t xml:space="preserve">documenting corrective action according to procedure;</w:t>
      </w:r>
    </w:p>
    <w:p>
      <w:pPr>
        <w:numPr>
          <w:ilvl w:val="0"/>
          <w:numId w:val="1003"/>
        </w:numPr>
        <w:pStyle w:val="Compact"/>
      </w:pPr>
      <w:r>
        <w:t xml:space="preserve">recording results in a laboratory information system;</w:t>
      </w:r>
    </w:p>
    <w:p>
      <w:pPr>
        <w:numPr>
          <w:ilvl w:val="0"/>
          <w:numId w:val="1003"/>
        </w:numPr>
        <w:pStyle w:val="Compact"/>
      </w:pPr>
      <w:r>
        <w:t xml:space="preserve">communicating urgent workflow problems to authorized staff;</w:t>
      </w:r>
    </w:p>
    <w:p>
      <w:pPr>
        <w:numPr>
          <w:ilvl w:val="0"/>
          <w:numId w:val="1003"/>
        </w:numPr>
        <w:pStyle w:val="Compact"/>
      </w:pPr>
      <w:r>
        <w:t xml:space="preserve">maintaining reagent, lot, expiration and temperature records;</w:t>
      </w:r>
    </w:p>
    <w:p>
      <w:pPr>
        <w:numPr>
          <w:ilvl w:val="0"/>
          <w:numId w:val="1003"/>
        </w:numPr>
        <w:pStyle w:val="Compact"/>
      </w:pPr>
      <w:r>
        <w:t xml:space="preserve">cleaning work areas and equipment according to procedure;</w:t>
      </w:r>
    </w:p>
    <w:p>
      <w:pPr>
        <w:numPr>
          <w:ilvl w:val="0"/>
          <w:numId w:val="1003"/>
        </w:numPr>
        <w:pStyle w:val="Compact"/>
      </w:pPr>
      <w:r>
        <w:t xml:space="preserve">managing regulated waste through approved processes;</w:t>
      </w:r>
    </w:p>
    <w:p>
      <w:pPr>
        <w:numPr>
          <w:ilvl w:val="0"/>
          <w:numId w:val="1003"/>
        </w:numPr>
        <w:pStyle w:val="Compact"/>
      </w:pPr>
      <w:r>
        <w:t xml:space="preserve">following exposure, spill and incident procedures;</w:t>
      </w:r>
    </w:p>
    <w:p>
      <w:pPr>
        <w:numPr>
          <w:ilvl w:val="0"/>
          <w:numId w:val="1003"/>
        </w:numPr>
        <w:pStyle w:val="Compact"/>
      </w:pPr>
      <w:r>
        <w:t xml:space="preserve">participating in competency, proficiency-testing or quality activities under laboratory rules.</w:t>
      </w:r>
    </w:p>
    <w:bookmarkEnd w:id="28"/>
    <w:bookmarkStart w:id="29" w:name="what-you-must-not-do-without-authority"/>
    <w:p>
      <w:pPr>
        <w:pStyle w:val="Heading2"/>
      </w:pPr>
      <w:r>
        <w:t xml:space="preserve">What you must not do without authority</w:t>
      </w:r>
    </w:p>
    <w:p>
      <w:pPr>
        <w:pStyle w:val="FirstParagraph"/>
      </w:pPr>
      <w:r>
        <w:t xml:space="preserve">A technician should never assume that technical skill creates unlimited clinical authority.</w:t>
      </w:r>
    </w:p>
    <w:p>
      <w:pPr>
        <w:pStyle w:val="BodyText"/>
      </w:pPr>
      <w:r>
        <w:t xml:space="preserve">Do not:</w:t>
      </w:r>
    </w:p>
    <w:p>
      <w:pPr>
        <w:numPr>
          <w:ilvl w:val="0"/>
          <w:numId w:val="1004"/>
        </w:numPr>
        <w:pStyle w:val="Compact"/>
      </w:pPr>
      <w:r>
        <w:t xml:space="preserve">diagnose a patient;</w:t>
      </w:r>
    </w:p>
    <w:p>
      <w:pPr>
        <w:numPr>
          <w:ilvl w:val="0"/>
          <w:numId w:val="1004"/>
        </w:numPr>
        <w:pStyle w:val="Compact"/>
      </w:pPr>
      <w:r>
        <w:t xml:space="preserve">tell a patient what a laboratory result means medically unless that communication is explicitly within your role and approved process;</w:t>
      </w:r>
    </w:p>
    <w:p>
      <w:pPr>
        <w:numPr>
          <w:ilvl w:val="0"/>
          <w:numId w:val="1004"/>
        </w:numPr>
        <w:pStyle w:val="Compact"/>
      </w:pPr>
      <w:r>
        <w:t xml:space="preserve">release or verify results outside assigned authorization;</w:t>
      </w:r>
    </w:p>
    <w:p>
      <w:pPr>
        <w:numPr>
          <w:ilvl w:val="0"/>
          <w:numId w:val="1004"/>
        </w:numPr>
        <w:pStyle w:val="Compact"/>
      </w:pPr>
      <w:r>
        <w:t xml:space="preserve">change a validated method because another way seems faster;</w:t>
      </w:r>
    </w:p>
    <w:p>
      <w:pPr>
        <w:numPr>
          <w:ilvl w:val="0"/>
          <w:numId w:val="1004"/>
        </w:numPr>
        <w:pStyle w:val="Compact"/>
      </w:pPr>
      <w:r>
        <w:t xml:space="preserve">ignore or override failed quality controls;</w:t>
      </w:r>
    </w:p>
    <w:p>
      <w:pPr>
        <w:numPr>
          <w:ilvl w:val="0"/>
          <w:numId w:val="1004"/>
        </w:numPr>
        <w:pStyle w:val="Compact"/>
      </w:pPr>
      <w:r>
        <w:t xml:space="preserve">alter acceptance limits without authorization;</w:t>
      </w:r>
    </w:p>
    <w:p>
      <w:pPr>
        <w:numPr>
          <w:ilvl w:val="0"/>
          <w:numId w:val="1004"/>
        </w:numPr>
        <w:pStyle w:val="Compact"/>
      </w:pPr>
      <w:r>
        <w:t xml:space="preserve">repeat a test until a preferred result appears unless the approved procedure defines when repeat testing is appropriate;</w:t>
      </w:r>
    </w:p>
    <w:p>
      <w:pPr>
        <w:numPr>
          <w:ilvl w:val="0"/>
          <w:numId w:val="1004"/>
        </w:numPr>
        <w:pStyle w:val="Compact"/>
      </w:pPr>
      <w:r>
        <w:t xml:space="preserve">delete, backdate, overwrite, fabricate or selectively omit data;</w:t>
      </w:r>
    </w:p>
    <w:p>
      <w:pPr>
        <w:numPr>
          <w:ilvl w:val="0"/>
          <w:numId w:val="1004"/>
        </w:numPr>
        <w:pStyle w:val="Compact"/>
      </w:pPr>
      <w:r>
        <w:t xml:space="preserve">copy a result from another specimen;</w:t>
      </w:r>
    </w:p>
    <w:p>
      <w:pPr>
        <w:numPr>
          <w:ilvl w:val="0"/>
          <w:numId w:val="1004"/>
        </w:numPr>
        <w:pStyle w:val="Compact"/>
      </w:pPr>
      <w:r>
        <w:t xml:space="preserve">change a patient or specimen identifier to make records appear to match;</w:t>
      </w:r>
    </w:p>
    <w:p>
      <w:pPr>
        <w:numPr>
          <w:ilvl w:val="0"/>
          <w:numId w:val="1004"/>
        </w:numPr>
        <w:pStyle w:val="Compact"/>
      </w:pPr>
      <w:r>
        <w:t xml:space="preserve">use another person’s login, initials or electronic signature;</w:t>
      </w:r>
    </w:p>
    <w:p>
      <w:pPr>
        <w:numPr>
          <w:ilvl w:val="0"/>
          <w:numId w:val="1004"/>
        </w:numPr>
        <w:pStyle w:val="Compact"/>
      </w:pPr>
      <w:r>
        <w:t xml:space="preserve">report a proficiency-testing result that was obtained through prohibited collaboration or referral;</w:t>
      </w:r>
    </w:p>
    <w:p>
      <w:pPr>
        <w:numPr>
          <w:ilvl w:val="0"/>
          <w:numId w:val="1004"/>
        </w:numPr>
        <w:pStyle w:val="Compact"/>
      </w:pPr>
      <w:r>
        <w:t xml:space="preserve">operate a method or instrument before required training and competency are complete;</w:t>
      </w:r>
    </w:p>
    <w:p>
      <w:pPr>
        <w:numPr>
          <w:ilvl w:val="0"/>
          <w:numId w:val="1004"/>
        </w:numPr>
        <w:pStyle w:val="Compact"/>
      </w:pPr>
      <w:r>
        <w:t xml:space="preserve">handle a spill, exposure, culture, chemical or sharps incident by improvisation;</w:t>
      </w:r>
    </w:p>
    <w:p>
      <w:pPr>
        <w:numPr>
          <w:ilvl w:val="0"/>
          <w:numId w:val="1004"/>
        </w:numPr>
        <w:pStyle w:val="Compact"/>
      </w:pPr>
      <w:r>
        <w:t xml:space="preserve">recap, bend or manipulate contaminated sharps contrary to approved safety procedures;</w:t>
      </w:r>
    </w:p>
    <w:p>
      <w:pPr>
        <w:numPr>
          <w:ilvl w:val="0"/>
          <w:numId w:val="1004"/>
        </w:numPr>
        <w:pStyle w:val="Compact"/>
      </w:pPr>
      <w:r>
        <w:t xml:space="preserve">put patient information, laboratory results, instrument exports, images, credentials or proprietary methods into an unapproved AI system;</w:t>
      </w:r>
    </w:p>
    <w:p>
      <w:pPr>
        <w:numPr>
          <w:ilvl w:val="0"/>
          <w:numId w:val="1004"/>
        </w:numPr>
        <w:pStyle w:val="Compact"/>
      </w:pPr>
      <w:r>
        <w:t xml:space="preserve">represent an ASCP, state, provincial, Colombian or other credential you have not earned;</w:t>
      </w:r>
    </w:p>
    <w:p>
      <w:pPr>
        <w:numPr>
          <w:ilvl w:val="0"/>
          <w:numId w:val="1004"/>
        </w:numPr>
        <w:pStyle w:val="Compact"/>
      </w:pPr>
      <w:r>
        <w:t xml:space="preserve">claim that a short course makes you legally qualified for a regulated clinical role.</w:t>
      </w:r>
    </w:p>
    <w:p>
      <w:pPr>
        <w:pStyle w:val="FirstParagraph"/>
      </w:pPr>
      <w:r>
        <w:t xml:space="preserve">When something is wrong, preserve the specimen and records when safe, protect people from immediate hazards, and escalate through the laboratory’s approved process.</w:t>
      </w:r>
    </w:p>
    <w:bookmarkEnd w:id="29"/>
    <w:bookmarkStart w:id="36" w:name="a-simple-specimen-to-result-workflow"/>
    <w:p>
      <w:pPr>
        <w:pStyle w:val="Heading2"/>
      </w:pPr>
      <w:r>
        <w:t xml:space="preserve">A simple specimen-to-result workflow</w:t>
      </w:r>
    </w:p>
    <w:bookmarkStart w:id="30" w:name="X9d402d684182e13266315e7548390e92e9d72db"/>
    <w:p>
      <w:pPr>
        <w:pStyle w:val="Heading3"/>
      </w:pPr>
      <w:r>
        <w:t xml:space="preserve">1. Confirm the order and identity</w:t>
      </w:r>
    </w:p>
    <w:p>
      <w:pPr>
        <w:pStyle w:val="FirstParagraph"/>
      </w:pPr>
      <w:r>
        <w:t xml:space="preserve">Before testing, confirm the required identifiers, requested test, specimen type, container and applicable collection/handling requirements.</w:t>
      </w:r>
    </w:p>
    <w:p>
      <w:pPr>
        <w:pStyle w:val="BodyText"/>
      </w:pPr>
      <w:r>
        <w:t xml:space="preserve">Never “fix” an identity problem by guessing. If identifiers do not meet policy, follow the laboratory’s rejection, recollection or exception process.</w:t>
      </w:r>
    </w:p>
    <w:bookmarkEnd w:id="30"/>
    <w:bookmarkStart w:id="31" w:name="Xacd015168b23b8d47e01d29568b8f037fbdf176"/>
    <w:p>
      <w:pPr>
        <w:pStyle w:val="Heading3"/>
      </w:pPr>
      <w:r>
        <w:t xml:space="preserve">2. Protect the specimen during the pre-analytical phase</w:t>
      </w:r>
    </w:p>
    <w:p>
      <w:pPr>
        <w:pStyle w:val="FirstParagraph"/>
      </w:pPr>
      <w:r>
        <w:t xml:space="preserve">Check what the procedure requires for:</w:t>
      </w:r>
    </w:p>
    <w:p>
      <w:pPr>
        <w:numPr>
          <w:ilvl w:val="0"/>
          <w:numId w:val="1005"/>
        </w:numPr>
        <w:pStyle w:val="Compact"/>
      </w:pPr>
      <w:r>
        <w:t xml:space="preserve">container and additive;</w:t>
      </w:r>
    </w:p>
    <w:p>
      <w:pPr>
        <w:numPr>
          <w:ilvl w:val="0"/>
          <w:numId w:val="1005"/>
        </w:numPr>
        <w:pStyle w:val="Compact"/>
      </w:pPr>
      <w:r>
        <w:t xml:space="preserve">volume;</w:t>
      </w:r>
    </w:p>
    <w:p>
      <w:pPr>
        <w:numPr>
          <w:ilvl w:val="0"/>
          <w:numId w:val="1005"/>
        </w:numPr>
        <w:pStyle w:val="Compact"/>
      </w:pPr>
      <w:r>
        <w:t xml:space="preserve">labeling;</w:t>
      </w:r>
    </w:p>
    <w:p>
      <w:pPr>
        <w:numPr>
          <w:ilvl w:val="0"/>
          <w:numId w:val="1005"/>
        </w:numPr>
        <w:pStyle w:val="Compact"/>
      </w:pPr>
      <w:r>
        <w:t xml:space="preserve">collection time;</w:t>
      </w:r>
    </w:p>
    <w:p>
      <w:pPr>
        <w:numPr>
          <w:ilvl w:val="0"/>
          <w:numId w:val="1005"/>
        </w:numPr>
        <w:pStyle w:val="Compact"/>
      </w:pPr>
      <w:r>
        <w:t xml:space="preserve">transport time;</w:t>
      </w:r>
    </w:p>
    <w:p>
      <w:pPr>
        <w:numPr>
          <w:ilvl w:val="0"/>
          <w:numId w:val="1005"/>
        </w:numPr>
        <w:pStyle w:val="Compact"/>
      </w:pPr>
      <w:r>
        <w:t xml:space="preserve">temperature;</w:t>
      </w:r>
    </w:p>
    <w:p>
      <w:pPr>
        <w:numPr>
          <w:ilvl w:val="0"/>
          <w:numId w:val="1005"/>
        </w:numPr>
        <w:pStyle w:val="Compact"/>
      </w:pPr>
      <w:r>
        <w:t xml:space="preserve">light protection;</w:t>
      </w:r>
    </w:p>
    <w:p>
      <w:pPr>
        <w:numPr>
          <w:ilvl w:val="0"/>
          <w:numId w:val="1005"/>
        </w:numPr>
        <w:pStyle w:val="Compact"/>
      </w:pPr>
      <w:r>
        <w:t xml:space="preserve">centrifugation;</w:t>
      </w:r>
    </w:p>
    <w:p>
      <w:pPr>
        <w:numPr>
          <w:ilvl w:val="0"/>
          <w:numId w:val="1005"/>
        </w:numPr>
        <w:pStyle w:val="Compact"/>
      </w:pPr>
      <w:r>
        <w:t xml:space="preserve">clotting;</w:t>
      </w:r>
    </w:p>
    <w:p>
      <w:pPr>
        <w:numPr>
          <w:ilvl w:val="0"/>
          <w:numId w:val="1005"/>
        </w:numPr>
        <w:pStyle w:val="Compact"/>
      </w:pPr>
      <w:r>
        <w:t xml:space="preserve">hemolysis, lipemia, contamination or leakage;</w:t>
      </w:r>
    </w:p>
    <w:p>
      <w:pPr>
        <w:numPr>
          <w:ilvl w:val="0"/>
          <w:numId w:val="1005"/>
        </w:numPr>
        <w:pStyle w:val="Compact"/>
      </w:pPr>
      <w:r>
        <w:t xml:space="preserve">storage and stability.</w:t>
      </w:r>
    </w:p>
    <w:p>
      <w:pPr>
        <w:pStyle w:val="FirstParagraph"/>
      </w:pPr>
      <w:r>
        <w:t xml:space="preserve">A sophisticated analyzer cannot correct a specimen that belongs to the wrong patient or was handled outside validated conditions.</w:t>
      </w:r>
    </w:p>
    <w:bookmarkEnd w:id="31"/>
    <w:bookmarkStart w:id="32" w:name="Xccceaf80d9f5e76a23a9feedb078fa0095d9877"/>
    <w:p>
      <w:pPr>
        <w:pStyle w:val="Heading3"/>
      </w:pPr>
      <w:r>
        <w:t xml:space="preserve">3. Verify instrument, reagent and QC status</w:t>
      </w:r>
    </w:p>
    <w:p>
      <w:pPr>
        <w:pStyle w:val="FirstParagraph"/>
      </w:pPr>
      <w:r>
        <w:t xml:space="preserve">Before patient testing, confirm that the equipment, reagents, controls, calibration and maintenance status meet the laboratory’s approved requirements.</w:t>
      </w:r>
    </w:p>
    <w:p>
      <w:pPr>
        <w:pStyle w:val="BodyText"/>
      </w:pPr>
      <w:r>
        <w:t xml:space="preserve">If QC fails, stop and follow the laboratory procedure. Do not decide independently that patient results are “probably fine.”</w:t>
      </w:r>
    </w:p>
    <w:bookmarkEnd w:id="32"/>
    <w:bookmarkStart w:id="33" w:name="Xf0e36cea08da80f1509f6294650913df0fd5705"/>
    <w:p>
      <w:pPr>
        <w:pStyle w:val="Heading3"/>
      </w:pPr>
      <w:r>
        <w:t xml:space="preserve">4. Perform the approved procedure</w:t>
      </w:r>
    </w:p>
    <w:p>
      <w:pPr>
        <w:pStyle w:val="FirstParagraph"/>
      </w:pPr>
      <w:r>
        <w:t xml:space="preserve">Follow the current SOP and manufacturer/laboratory instructions. Use the correct units, volumes, timing, sequence and safety controls. Do not make an undocumented shortcut.</w:t>
      </w:r>
    </w:p>
    <w:bookmarkEnd w:id="33"/>
    <w:bookmarkStart w:id="34" w:name="X1b1924003e39a474be1cade1419955839a291b4"/>
    <w:p>
      <w:pPr>
        <w:pStyle w:val="Heading3"/>
      </w:pPr>
      <w:r>
        <w:t xml:space="preserve">5. Review technical validity</w:t>
      </w:r>
    </w:p>
    <w:p>
      <w:pPr>
        <w:pStyle w:val="FirstParagraph"/>
      </w:pPr>
      <w:r>
        <w:t xml:space="preserve">Within your assigned role, check for instrument flags, control status, reference or reportable-range rules, dilution requirements, impossible combinations, specimen problems, delta checks or other laboratory-defined review criteria.</w:t>
      </w:r>
    </w:p>
    <w:bookmarkEnd w:id="34"/>
    <w:bookmarkStart w:id="35" w:name="X4d6e436373471c7b4155b9cfa45659636ce9d1e"/>
    <w:p>
      <w:pPr>
        <w:pStyle w:val="Heading3"/>
      </w:pPr>
      <w:r>
        <w:t xml:space="preserve">6. Document and escalate</w:t>
      </w:r>
    </w:p>
    <w:p>
      <w:pPr>
        <w:pStyle w:val="FirstParagraph"/>
      </w:pPr>
      <w:r>
        <w:t xml:space="preserve">Record what actually happened. If the result is critical, inconsistent, outside reportable limits, affected by failed QC, linked to a specimen problem or otherwise requires review, follow the laboratory’s escalation and communication procedure.</w:t>
      </w:r>
    </w:p>
    <w:bookmarkEnd w:id="35"/>
    <w:bookmarkEnd w:id="36"/>
    <w:bookmarkStart w:id="37" w:name="clia-and-test-complexity--united-states"/>
    <w:p>
      <w:pPr>
        <w:pStyle w:val="Heading2"/>
      </w:pPr>
      <w:r>
        <w:t xml:space="preserve">CLIA and test complexity — United States</w:t>
      </w:r>
    </w:p>
    <w:p>
      <w:pPr>
        <w:pStyle w:val="FirstParagraph"/>
      </w:pPr>
      <w:r>
        <w:t xml:space="preserve">The</w:t>
      </w:r>
      <w:r>
        <w:t xml:space="preserve"> </w:t>
      </w:r>
      <w:r>
        <w:rPr>
          <w:bCs/>
          <w:b/>
        </w:rPr>
        <w:t xml:space="preserve">Clinical Laboratory Improvement Amendments of 1988 (CLIA)</w:t>
      </w:r>
      <w:r>
        <w:t xml:space="preserve"> </w:t>
      </w:r>
      <w:r>
        <w:t xml:space="preserve">establish federal quality standards for U.S. facilities or sites that test human specimens for health assessment or for diagnosis, prevention or treatment of disease.</w:t>
      </w:r>
    </w:p>
    <w:p>
      <w:pPr>
        <w:pStyle w:val="BodyText"/>
      </w:pPr>
      <w:r>
        <w:t xml:space="preserve">Clinical testing may be categorized as waived, moderate complexity or high complexity. The applicable laboratory certificate, quality-system requirements and personnel qualifications depend on the testing performed and other factors.</w:t>
      </w:r>
    </w:p>
    <w:p>
      <w:pPr>
        <w:pStyle w:val="BodyText"/>
      </w:pPr>
      <w:r>
        <w:t xml:space="preserve">Important points for a learner:</w:t>
      </w:r>
    </w:p>
    <w:p>
      <w:pPr>
        <w:numPr>
          <w:ilvl w:val="0"/>
          <w:numId w:val="1006"/>
        </w:numPr>
        <w:pStyle w:val="Compact"/>
      </w:pPr>
      <w:r>
        <w:t xml:space="preserve">waived does not mean error-proof;</w:t>
      </w:r>
    </w:p>
    <w:p>
      <w:pPr>
        <w:numPr>
          <w:ilvl w:val="0"/>
          <w:numId w:val="1006"/>
        </w:numPr>
        <w:pStyle w:val="Compact"/>
      </w:pPr>
      <w:r>
        <w:t xml:space="preserve">nonwaived testing carries additional quality-system requirements;</w:t>
      </w:r>
    </w:p>
    <w:p>
      <w:pPr>
        <w:numPr>
          <w:ilvl w:val="0"/>
          <w:numId w:val="1006"/>
        </w:numPr>
        <w:pStyle w:val="Compact"/>
      </w:pPr>
      <w:r>
        <w:t xml:space="preserve">moderate- and high-complexity testing have personnel requirements;</w:t>
      </w:r>
    </w:p>
    <w:p>
      <w:pPr>
        <w:numPr>
          <w:ilvl w:val="0"/>
          <w:numId w:val="1006"/>
        </w:numPr>
        <w:pStyle w:val="Compact"/>
      </w:pPr>
      <w:r>
        <w:t xml:space="preserve">laboratory-developed tests and manufacturer-modified tests may fall into high-complexity categories;</w:t>
      </w:r>
    </w:p>
    <w:p>
      <w:pPr>
        <w:numPr>
          <w:ilvl w:val="0"/>
          <w:numId w:val="1006"/>
        </w:numPr>
        <w:pStyle w:val="Compact"/>
      </w:pPr>
      <w:r>
        <w:t xml:space="preserve">federal CLIA requirements are not the only possible rules—state law, accreditor standards and employer policies may add requirements;</w:t>
      </w:r>
    </w:p>
    <w:p>
      <w:pPr>
        <w:numPr>
          <w:ilvl w:val="0"/>
          <w:numId w:val="1006"/>
        </w:numPr>
        <w:pStyle w:val="Compact"/>
      </w:pPr>
      <w:r>
        <w:t xml:space="preserve">a job title alone does not prove that a person meets the personnel qualifications for a particular test system or role.</w:t>
      </w:r>
    </w:p>
    <w:p>
      <w:pPr>
        <w:pStyle w:val="FirstParagraph"/>
      </w:pPr>
      <w:r>
        <w:t xml:space="preserve">Use current CMS/CDC/eCFR sources and the laboratory’s compliance leadership for any real personnel-qualification decision.</w:t>
      </w:r>
    </w:p>
    <w:bookmarkEnd w:id="37"/>
    <w:bookmarkStart w:id="41" w:name="Xf4d1546a08547af599697878a69cae4ebae57bf"/>
    <w:p>
      <w:pPr>
        <w:pStyle w:val="Heading2"/>
      </w:pPr>
      <w:r>
        <w:t xml:space="preserve">Quality control, quality assurance and proficiency testing</w:t>
      </w:r>
    </w:p>
    <w:p>
      <w:pPr>
        <w:pStyle w:val="FirstParagraph"/>
      </w:pPr>
      <w:r>
        <w:t xml:space="preserve">Reliable laboratory testing depends on systems, not individual confidence.</w:t>
      </w:r>
    </w:p>
    <w:bookmarkStart w:id="38" w:name="quality-control"/>
    <w:p>
      <w:pPr>
        <w:pStyle w:val="Heading3"/>
      </w:pPr>
      <w:r>
        <w:t xml:space="preserve">Quality control</w:t>
      </w:r>
    </w:p>
    <w:p>
      <w:pPr>
        <w:pStyle w:val="FirstParagraph"/>
      </w:pPr>
      <w:r>
        <w:t xml:space="preserve">QC is used to monitor whether a test system is operating within defined performance expectations. A technician may be responsible for running controls, reviewing control status within assigned authority, documenting failures, troubleshooting defined causes and escalating unresolved problems.</w:t>
      </w:r>
    </w:p>
    <w:p>
      <w:pPr>
        <w:pStyle w:val="BodyText"/>
      </w:pPr>
      <w:r>
        <w:t xml:space="preserve">Do not use patient results when the quality system says they are invalid.</w:t>
      </w:r>
    </w:p>
    <w:bookmarkEnd w:id="38"/>
    <w:bookmarkStart w:id="39" w:name="quality-assurance-and-quality-management"/>
    <w:p>
      <w:pPr>
        <w:pStyle w:val="Heading3"/>
      </w:pPr>
      <w:r>
        <w:t xml:space="preserve">Quality assurance and quality management</w:t>
      </w:r>
    </w:p>
    <w:p>
      <w:pPr>
        <w:pStyle w:val="FirstParagraph"/>
      </w:pPr>
      <w:r>
        <w:t xml:space="preserve">Quality extends across the complete testing process:</w:t>
      </w:r>
    </w:p>
    <w:p>
      <w:pPr>
        <w:numPr>
          <w:ilvl w:val="0"/>
          <w:numId w:val="1007"/>
        </w:numPr>
        <w:pStyle w:val="Compact"/>
      </w:pPr>
      <w:r>
        <w:t xml:space="preserve">correct order;</w:t>
      </w:r>
    </w:p>
    <w:p>
      <w:pPr>
        <w:numPr>
          <w:ilvl w:val="0"/>
          <w:numId w:val="1007"/>
        </w:numPr>
        <w:pStyle w:val="Compact"/>
      </w:pPr>
      <w:r>
        <w:t xml:space="preserve">patient/specimen identification;</w:t>
      </w:r>
    </w:p>
    <w:p>
      <w:pPr>
        <w:numPr>
          <w:ilvl w:val="0"/>
          <w:numId w:val="1007"/>
        </w:numPr>
        <w:pStyle w:val="Compact"/>
      </w:pPr>
      <w:r>
        <w:t xml:space="preserve">collection;</w:t>
      </w:r>
    </w:p>
    <w:p>
      <w:pPr>
        <w:numPr>
          <w:ilvl w:val="0"/>
          <w:numId w:val="1007"/>
        </w:numPr>
        <w:pStyle w:val="Compact"/>
      </w:pPr>
      <w:r>
        <w:t xml:space="preserve">transport;</w:t>
      </w:r>
    </w:p>
    <w:p>
      <w:pPr>
        <w:numPr>
          <w:ilvl w:val="0"/>
          <w:numId w:val="1007"/>
        </w:numPr>
        <w:pStyle w:val="Compact"/>
      </w:pPr>
      <w:r>
        <w:t xml:space="preserve">preparation;</w:t>
      </w:r>
    </w:p>
    <w:p>
      <w:pPr>
        <w:numPr>
          <w:ilvl w:val="0"/>
          <w:numId w:val="1007"/>
        </w:numPr>
        <w:pStyle w:val="Compact"/>
      </w:pPr>
      <w:r>
        <w:t xml:space="preserve">analysis;</w:t>
      </w:r>
    </w:p>
    <w:p>
      <w:pPr>
        <w:numPr>
          <w:ilvl w:val="0"/>
          <w:numId w:val="1007"/>
        </w:numPr>
        <w:pStyle w:val="Compact"/>
      </w:pPr>
      <w:r>
        <w:t xml:space="preserve">result review;</w:t>
      </w:r>
    </w:p>
    <w:p>
      <w:pPr>
        <w:numPr>
          <w:ilvl w:val="0"/>
          <w:numId w:val="1007"/>
        </w:numPr>
        <w:pStyle w:val="Compact"/>
      </w:pPr>
      <w:r>
        <w:t xml:space="preserve">reporting;</w:t>
      </w:r>
    </w:p>
    <w:p>
      <w:pPr>
        <w:numPr>
          <w:ilvl w:val="0"/>
          <w:numId w:val="1007"/>
        </w:numPr>
        <w:pStyle w:val="Compact"/>
      </w:pPr>
      <w:r>
        <w:t xml:space="preserve">record retention;</w:t>
      </w:r>
    </w:p>
    <w:p>
      <w:pPr>
        <w:numPr>
          <w:ilvl w:val="0"/>
          <w:numId w:val="1007"/>
        </w:numPr>
        <w:pStyle w:val="Compact"/>
      </w:pPr>
      <w:r>
        <w:t xml:space="preserve">corrective action;</w:t>
      </w:r>
    </w:p>
    <w:p>
      <w:pPr>
        <w:numPr>
          <w:ilvl w:val="0"/>
          <w:numId w:val="1007"/>
        </w:numPr>
        <w:pStyle w:val="Compact"/>
      </w:pPr>
      <w:r>
        <w:t xml:space="preserve">equipment management;</w:t>
      </w:r>
    </w:p>
    <w:p>
      <w:pPr>
        <w:numPr>
          <w:ilvl w:val="0"/>
          <w:numId w:val="1007"/>
        </w:numPr>
        <w:pStyle w:val="Compact"/>
      </w:pPr>
      <w:r>
        <w:t xml:space="preserve">competency;</w:t>
      </w:r>
    </w:p>
    <w:p>
      <w:pPr>
        <w:numPr>
          <w:ilvl w:val="0"/>
          <w:numId w:val="1007"/>
        </w:numPr>
        <w:pStyle w:val="Compact"/>
      </w:pPr>
      <w:r>
        <w:t xml:space="preserve">document control;</w:t>
      </w:r>
    </w:p>
    <w:p>
      <w:pPr>
        <w:numPr>
          <w:ilvl w:val="0"/>
          <w:numId w:val="1007"/>
        </w:numPr>
        <w:pStyle w:val="Compact"/>
      </w:pPr>
      <w:r>
        <w:t xml:space="preserve">occurrence management.</w:t>
      </w:r>
    </w:p>
    <w:bookmarkEnd w:id="39"/>
    <w:bookmarkStart w:id="40" w:name="proficiency-testing"/>
    <w:p>
      <w:pPr>
        <w:pStyle w:val="Heading3"/>
      </w:pPr>
      <w:r>
        <w:t xml:space="preserve">Proficiency testing</w:t>
      </w:r>
    </w:p>
    <w:p>
      <w:pPr>
        <w:pStyle w:val="FirstParagraph"/>
      </w:pPr>
      <w:r>
        <w:t xml:space="preserve">Proficiency testing evaluates laboratory performance using external challenge samples where applicable. Treat proficiency samples according to applicable rules and laboratory procedures. Do not seek prohibited outside assistance, substitute another laboratory’s result or manipulate the process to create a passing score.</w:t>
      </w:r>
    </w:p>
    <w:bookmarkEnd w:id="40"/>
    <w:bookmarkEnd w:id="41"/>
    <w:bookmarkStart w:id="42" w:name="specimen-identification-and-traceability"/>
    <w:p>
      <w:pPr>
        <w:pStyle w:val="Heading2"/>
      </w:pPr>
      <w:r>
        <w:t xml:space="preserve">Specimen identification and traceability</w:t>
      </w:r>
    </w:p>
    <w:p>
      <w:pPr>
        <w:pStyle w:val="FirstParagraph"/>
      </w:pPr>
      <w:r>
        <w:t xml:space="preserve">Specimen identity is a patient-safety control.</w:t>
      </w:r>
    </w:p>
    <w:p>
      <w:pPr>
        <w:pStyle w:val="BodyText"/>
      </w:pPr>
      <w:r>
        <w:t xml:space="preserve">Good practice includes:</w:t>
      </w:r>
    </w:p>
    <w:p>
      <w:pPr>
        <w:numPr>
          <w:ilvl w:val="0"/>
          <w:numId w:val="1008"/>
        </w:numPr>
        <w:pStyle w:val="Compact"/>
      </w:pPr>
      <w:r>
        <w:t xml:space="preserve">use required patient identifiers;</w:t>
      </w:r>
    </w:p>
    <w:p>
      <w:pPr>
        <w:numPr>
          <w:ilvl w:val="0"/>
          <w:numId w:val="1008"/>
        </w:numPr>
        <w:pStyle w:val="Compact"/>
      </w:pPr>
      <w:r>
        <w:t xml:space="preserve">label at the required point in the process;</w:t>
      </w:r>
    </w:p>
    <w:p>
      <w:pPr>
        <w:numPr>
          <w:ilvl w:val="0"/>
          <w:numId w:val="1008"/>
        </w:numPr>
        <w:pStyle w:val="Compact"/>
      </w:pPr>
      <w:r>
        <w:t xml:space="preserve">preserve collection and receipt timestamps;</w:t>
      </w:r>
    </w:p>
    <w:p>
      <w:pPr>
        <w:numPr>
          <w:ilvl w:val="0"/>
          <w:numId w:val="1008"/>
        </w:numPr>
        <w:pStyle w:val="Compact"/>
      </w:pPr>
      <w:r>
        <w:t xml:space="preserve">use barcodes only as designed;</w:t>
      </w:r>
    </w:p>
    <w:p>
      <w:pPr>
        <w:numPr>
          <w:ilvl w:val="0"/>
          <w:numId w:val="1008"/>
        </w:numPr>
        <w:pStyle w:val="Compact"/>
      </w:pPr>
      <w:r>
        <w:t xml:space="preserve">verify aliquot identity;</w:t>
      </w:r>
    </w:p>
    <w:p>
      <w:pPr>
        <w:numPr>
          <w:ilvl w:val="0"/>
          <w:numId w:val="1008"/>
        </w:numPr>
        <w:pStyle w:val="Compact"/>
      </w:pPr>
      <w:r>
        <w:t xml:space="preserve">keep parent/child specimen relationships traceable;</w:t>
      </w:r>
    </w:p>
    <w:p>
      <w:pPr>
        <w:numPr>
          <w:ilvl w:val="0"/>
          <w:numId w:val="1008"/>
        </w:numPr>
        <w:pStyle w:val="Compact"/>
      </w:pPr>
      <w:r>
        <w:t xml:space="preserve">document transfers and send-outs;</w:t>
      </w:r>
    </w:p>
    <w:p>
      <w:pPr>
        <w:numPr>
          <w:ilvl w:val="0"/>
          <w:numId w:val="1008"/>
        </w:numPr>
        <w:pStyle w:val="Compact"/>
      </w:pPr>
      <w:r>
        <w:t xml:space="preserve">follow requirements for chain of custody where applicable;</w:t>
      </w:r>
    </w:p>
    <w:p>
      <w:pPr>
        <w:numPr>
          <w:ilvl w:val="0"/>
          <w:numId w:val="1008"/>
        </w:numPr>
        <w:pStyle w:val="Compact"/>
      </w:pPr>
      <w:r>
        <w:t xml:space="preserve">record rejection or recollection decisions through approved systems;</w:t>
      </w:r>
    </w:p>
    <w:p>
      <w:pPr>
        <w:numPr>
          <w:ilvl w:val="0"/>
          <w:numId w:val="1008"/>
        </w:numPr>
        <w:pStyle w:val="Compact"/>
      </w:pPr>
      <w:r>
        <w:t xml:space="preserve">never relabel from memory.</w:t>
      </w:r>
    </w:p>
    <w:p>
      <w:pPr>
        <w:pStyle w:val="FirstParagraph"/>
      </w:pPr>
      <w:r>
        <w:t xml:space="preserve">If the identity is uncertain, stop and escalate.</w:t>
      </w:r>
    </w:p>
    <w:bookmarkEnd w:id="42"/>
    <w:bookmarkStart w:id="43" w:name="bloodborne-pathogens-and-sharps"/>
    <w:p>
      <w:pPr>
        <w:pStyle w:val="Heading2"/>
      </w:pPr>
      <w:r>
        <w:t xml:space="preserve">Bloodborne pathogens and sharps</w:t>
      </w:r>
    </w:p>
    <w:p>
      <w:pPr>
        <w:pStyle w:val="FirstParagraph"/>
      </w:pPr>
      <w:r>
        <w:t xml:space="preserve">Clinical laboratory workers may encounter blood and other potentially infectious materials.</w:t>
      </w:r>
    </w:p>
    <w:p>
      <w:pPr>
        <w:pStyle w:val="BodyText"/>
      </w:pPr>
      <w:r>
        <w:t xml:space="preserve">In the United States, OSHA’s Bloodborne Pathogens standard, 29 CFR 1910.1030, addresses occupational exposure and includes exposure-control plans, universal precautions, engineering controls, work-practice controls, PPE, sharps safety, training and post-exposure processes.</w:t>
      </w:r>
    </w:p>
    <w:p>
      <w:pPr>
        <w:pStyle w:val="BodyText"/>
      </w:pPr>
      <w:r>
        <w:t xml:space="preserve">Practical habits include:</w:t>
      </w:r>
    </w:p>
    <w:p>
      <w:pPr>
        <w:numPr>
          <w:ilvl w:val="0"/>
          <w:numId w:val="1009"/>
        </w:numPr>
        <w:pStyle w:val="Compact"/>
      </w:pPr>
      <w:r>
        <w:t xml:space="preserve">treat applicable human blood/body-fluid materials as potentially infectious;</w:t>
      </w:r>
    </w:p>
    <w:p>
      <w:pPr>
        <w:numPr>
          <w:ilvl w:val="0"/>
          <w:numId w:val="1009"/>
        </w:numPr>
        <w:pStyle w:val="Compact"/>
      </w:pPr>
      <w:r>
        <w:t xml:space="preserve">use the required PPE;</w:t>
      </w:r>
    </w:p>
    <w:p>
      <w:pPr>
        <w:numPr>
          <w:ilvl w:val="0"/>
          <w:numId w:val="1009"/>
        </w:numPr>
        <w:pStyle w:val="Compact"/>
      </w:pPr>
      <w:r>
        <w:t xml:space="preserve">keep hands away from your face while gloved;</w:t>
      </w:r>
    </w:p>
    <w:p>
      <w:pPr>
        <w:numPr>
          <w:ilvl w:val="0"/>
          <w:numId w:val="1009"/>
        </w:numPr>
        <w:pStyle w:val="Compact"/>
      </w:pPr>
      <w:r>
        <w:t xml:space="preserve">wash hands after glove removal and contamination events as required;</w:t>
      </w:r>
    </w:p>
    <w:p>
      <w:pPr>
        <w:numPr>
          <w:ilvl w:val="0"/>
          <w:numId w:val="1009"/>
        </w:numPr>
        <w:pStyle w:val="Compact"/>
      </w:pPr>
      <w:r>
        <w:t xml:space="preserve">use approved sharps containers;</w:t>
      </w:r>
    </w:p>
    <w:p>
      <w:pPr>
        <w:numPr>
          <w:ilvl w:val="0"/>
          <w:numId w:val="1009"/>
        </w:numPr>
        <w:pStyle w:val="Compact"/>
      </w:pPr>
      <w:r>
        <w:t xml:space="preserve">do not bend, break or recap contaminated needles except under narrowly defined approved circumstances and controls;</w:t>
      </w:r>
    </w:p>
    <w:p>
      <w:pPr>
        <w:numPr>
          <w:ilvl w:val="0"/>
          <w:numId w:val="1009"/>
        </w:numPr>
        <w:pStyle w:val="Compact"/>
      </w:pPr>
      <w:r>
        <w:t xml:space="preserve">never mouth-pipette;</w:t>
      </w:r>
    </w:p>
    <w:p>
      <w:pPr>
        <w:numPr>
          <w:ilvl w:val="0"/>
          <w:numId w:val="1009"/>
        </w:numPr>
        <w:pStyle w:val="Compact"/>
      </w:pPr>
      <w:r>
        <w:t xml:space="preserve">use containers that prevent specimen leakage;</w:t>
      </w:r>
    </w:p>
    <w:p>
      <w:pPr>
        <w:numPr>
          <w:ilvl w:val="0"/>
          <w:numId w:val="1009"/>
        </w:numPr>
        <w:pStyle w:val="Compact"/>
      </w:pPr>
      <w:r>
        <w:t xml:space="preserve">decontaminate equipment according to procedure;</w:t>
      </w:r>
    </w:p>
    <w:p>
      <w:pPr>
        <w:numPr>
          <w:ilvl w:val="0"/>
          <w:numId w:val="1009"/>
        </w:numPr>
        <w:pStyle w:val="Compact"/>
      </w:pPr>
      <w:r>
        <w:t xml:space="preserve">report needlesticks, splashes and other exposure incidents immediately through the employer process.</w:t>
      </w:r>
    </w:p>
    <w:p>
      <w:pPr>
        <w:pStyle w:val="FirstParagraph"/>
      </w:pPr>
      <w:r>
        <w:t xml:space="preserve">Do not delay an exposure report because you feel embarrassed or think the specimen was low risk.</w:t>
      </w:r>
    </w:p>
    <w:bookmarkEnd w:id="43"/>
    <w:bookmarkStart w:id="44" w:name="chemical-safety"/>
    <w:p>
      <w:pPr>
        <w:pStyle w:val="Heading2"/>
      </w:pPr>
      <w:r>
        <w:t xml:space="preserve">Chemical safety</w:t>
      </w:r>
    </w:p>
    <w:p>
      <w:pPr>
        <w:pStyle w:val="FirstParagraph"/>
      </w:pPr>
      <w:r>
        <w:t xml:space="preserve">Clinical laboratories may use stains, solvents, acids, bases, fixatives, disinfectants and other hazardous chemicals.</w:t>
      </w:r>
    </w:p>
    <w:p>
      <w:pPr>
        <w:pStyle w:val="BodyText"/>
      </w:pPr>
      <w:r>
        <w:t xml:space="preserve">OSHA’s laboratory standard, 29 CFR 1910.1450, requires covered employers to implement a Chemical Hygiene Plan and appropriate controls for laboratory chemical hazards.</w:t>
      </w:r>
    </w:p>
    <w:p>
      <w:pPr>
        <w:pStyle w:val="BodyText"/>
      </w:pPr>
      <w:r>
        <w:t xml:space="preserve">Before handling a chemical:</w:t>
      </w:r>
    </w:p>
    <w:p>
      <w:pPr>
        <w:numPr>
          <w:ilvl w:val="0"/>
          <w:numId w:val="1010"/>
        </w:numPr>
        <w:pStyle w:val="Compact"/>
      </w:pPr>
      <w:r>
        <w:t xml:space="preserve">confirm identity and concentration;</w:t>
      </w:r>
    </w:p>
    <w:p>
      <w:pPr>
        <w:numPr>
          <w:ilvl w:val="0"/>
          <w:numId w:val="1010"/>
        </w:numPr>
        <w:pStyle w:val="Compact"/>
      </w:pPr>
      <w:r>
        <w:t xml:space="preserve">use the current SOP;</w:t>
      </w:r>
    </w:p>
    <w:p>
      <w:pPr>
        <w:numPr>
          <w:ilvl w:val="0"/>
          <w:numId w:val="1010"/>
        </w:numPr>
        <w:pStyle w:val="Compact"/>
      </w:pPr>
      <w:r>
        <w:t xml:space="preserve">review labels and safety information;</w:t>
      </w:r>
    </w:p>
    <w:p>
      <w:pPr>
        <w:numPr>
          <w:ilvl w:val="0"/>
          <w:numId w:val="1010"/>
        </w:numPr>
        <w:pStyle w:val="Compact"/>
      </w:pPr>
      <w:r>
        <w:t xml:space="preserve">use required ventilation or containment;</w:t>
      </w:r>
    </w:p>
    <w:p>
      <w:pPr>
        <w:numPr>
          <w:ilvl w:val="0"/>
          <w:numId w:val="1010"/>
        </w:numPr>
        <w:pStyle w:val="Compact"/>
      </w:pPr>
      <w:r>
        <w:t xml:space="preserve">wear required PPE;</w:t>
      </w:r>
    </w:p>
    <w:p>
      <w:pPr>
        <w:numPr>
          <w:ilvl w:val="0"/>
          <w:numId w:val="1010"/>
        </w:numPr>
        <w:pStyle w:val="Compact"/>
      </w:pPr>
      <w:r>
        <w:t xml:space="preserve">check incompatibilities before mixing;</w:t>
      </w:r>
    </w:p>
    <w:p>
      <w:pPr>
        <w:numPr>
          <w:ilvl w:val="0"/>
          <w:numId w:val="1010"/>
        </w:numPr>
        <w:pStyle w:val="Compact"/>
      </w:pPr>
      <w:r>
        <w:t xml:space="preserve">know spill and exposure procedures;</w:t>
      </w:r>
    </w:p>
    <w:p>
      <w:pPr>
        <w:numPr>
          <w:ilvl w:val="0"/>
          <w:numId w:val="1010"/>
        </w:numPr>
        <w:pStyle w:val="Compact"/>
      </w:pPr>
      <w:r>
        <w:t xml:space="preserve">label prepared solutions correctly;</w:t>
      </w:r>
    </w:p>
    <w:p>
      <w:pPr>
        <w:numPr>
          <w:ilvl w:val="0"/>
          <w:numId w:val="1010"/>
        </w:numPr>
        <w:pStyle w:val="Compact"/>
      </w:pPr>
      <w:r>
        <w:t xml:space="preserve">store chemicals in approved locations;</w:t>
      </w:r>
    </w:p>
    <w:p>
      <w:pPr>
        <w:numPr>
          <w:ilvl w:val="0"/>
          <w:numId w:val="1010"/>
        </w:numPr>
        <w:pStyle w:val="Compact"/>
      </w:pPr>
      <w:r>
        <w:t xml:space="preserve">dispose of waste through approved channels.</w:t>
      </w:r>
    </w:p>
    <w:p>
      <w:pPr>
        <w:pStyle w:val="FirstParagraph"/>
      </w:pPr>
      <w:r>
        <w:t xml:space="preserve">Do not create a reagent by guessing a concentration, substituting an unknown material or following an AI-generated recipe that has not been validated and approved.</w:t>
      </w:r>
    </w:p>
    <w:bookmarkEnd w:id="44"/>
    <w:bookmarkStart w:id="53" w:name="major-laboratory-disciplines"/>
    <w:p>
      <w:pPr>
        <w:pStyle w:val="Heading2"/>
      </w:pPr>
      <w:r>
        <w:t xml:space="preserve">Major laboratory disciplines</w:t>
      </w:r>
    </w:p>
    <w:p>
      <w:pPr>
        <w:pStyle w:val="FirstParagraph"/>
      </w:pPr>
      <w:r>
        <w:t xml:space="preserve">Programs and employers may expose technicians to several disciplines. The exact scope depends on training, credential, test complexity and laboratory authorization.</w:t>
      </w:r>
    </w:p>
    <w:bookmarkStart w:id="45" w:name="clinical-chemistry"/>
    <w:p>
      <w:pPr>
        <w:pStyle w:val="Heading3"/>
      </w:pPr>
      <w:r>
        <w:t xml:space="preserve">Clinical chemistry</w:t>
      </w:r>
    </w:p>
    <w:p>
      <w:pPr>
        <w:pStyle w:val="FirstParagraph"/>
      </w:pPr>
      <w:r>
        <w:t xml:space="preserve">May include analysis of electrolytes, enzymes, metabolites, proteins, hormones or other analytes using automated and manual methods.</w:t>
      </w:r>
    </w:p>
    <w:bookmarkEnd w:id="45"/>
    <w:bookmarkStart w:id="46" w:name="hematology-and-hemostasis"/>
    <w:p>
      <w:pPr>
        <w:pStyle w:val="Heading3"/>
      </w:pPr>
      <w:r>
        <w:t xml:space="preserve">Hematology and hemostasis</w:t>
      </w:r>
    </w:p>
    <w:p>
      <w:pPr>
        <w:pStyle w:val="FirstParagraph"/>
      </w:pPr>
      <w:r>
        <w:t xml:space="preserve">May include blood counts, cell morphology support, coagulation testing and related procedures within assigned scope.</w:t>
      </w:r>
    </w:p>
    <w:bookmarkEnd w:id="46"/>
    <w:bookmarkStart w:id="47" w:name="urinalysis-and-body-fluids"/>
    <w:p>
      <w:pPr>
        <w:pStyle w:val="Heading3"/>
      </w:pPr>
      <w:r>
        <w:t xml:space="preserve">Urinalysis and body fluids</w:t>
      </w:r>
    </w:p>
    <w:p>
      <w:pPr>
        <w:pStyle w:val="FirstParagraph"/>
      </w:pPr>
      <w:r>
        <w:t xml:space="preserve">May include physical, chemical and microscopic examination under approved methods.</w:t>
      </w:r>
    </w:p>
    <w:bookmarkEnd w:id="47"/>
    <w:bookmarkStart w:id="48" w:name="immunology-and-serology"/>
    <w:p>
      <w:pPr>
        <w:pStyle w:val="Heading3"/>
      </w:pPr>
      <w:r>
        <w:t xml:space="preserve">Immunology and serology</w:t>
      </w:r>
    </w:p>
    <w:p>
      <w:pPr>
        <w:pStyle w:val="FirstParagraph"/>
      </w:pPr>
      <w:r>
        <w:t xml:space="preserve">May include assays that detect antibodies, antigens or other immunologic markers.</w:t>
      </w:r>
    </w:p>
    <w:bookmarkEnd w:id="48"/>
    <w:bookmarkStart w:id="49" w:name="microbiology"/>
    <w:p>
      <w:pPr>
        <w:pStyle w:val="Heading3"/>
      </w:pPr>
      <w:r>
        <w:t xml:space="preserve">Microbiology</w:t>
      </w:r>
    </w:p>
    <w:p>
      <w:pPr>
        <w:pStyle w:val="FirstParagraph"/>
      </w:pPr>
      <w:r>
        <w:t xml:space="preserve">May include specimen preparation, culture-related tasks, staining, instrument workflows or identification processes within training, biosafety and authorization.</w:t>
      </w:r>
    </w:p>
    <w:bookmarkEnd w:id="49"/>
    <w:bookmarkStart w:id="50" w:name="immunohematology--transfusion-services"/>
    <w:p>
      <w:pPr>
        <w:pStyle w:val="Heading3"/>
      </w:pPr>
      <w:r>
        <w:t xml:space="preserve">Immunohematology / transfusion services</w:t>
      </w:r>
    </w:p>
    <w:p>
      <w:pPr>
        <w:pStyle w:val="FirstParagraph"/>
      </w:pPr>
      <w:r>
        <w:t xml:space="preserve">May include blood typing and related testing under strict procedures. Errors in this area can have severe consequences, so no trainee or technician should exceed assigned competency or bypass verification controls.</w:t>
      </w:r>
    </w:p>
    <w:bookmarkEnd w:id="50"/>
    <w:bookmarkStart w:id="51" w:name="histology"/>
    <w:p>
      <w:pPr>
        <w:pStyle w:val="Heading3"/>
      </w:pPr>
      <w:r>
        <w:t xml:space="preserve">Histology</w:t>
      </w:r>
    </w:p>
    <w:p>
      <w:pPr>
        <w:pStyle w:val="FirstParagraph"/>
      </w:pPr>
      <w:r>
        <w:t xml:space="preserve">Histology technicians may process, embed, cut, stain or prepare tissue for review by appropriately qualified professionals.</w:t>
      </w:r>
    </w:p>
    <w:bookmarkEnd w:id="51"/>
    <w:bookmarkStart w:id="52" w:name="molecular-testing"/>
    <w:p>
      <w:pPr>
        <w:pStyle w:val="Heading3"/>
      </w:pPr>
      <w:r>
        <w:t xml:space="preserve">Molecular testing</w:t>
      </w:r>
    </w:p>
    <w:p>
      <w:pPr>
        <w:pStyle w:val="FirstParagraph"/>
      </w:pPr>
      <w:r>
        <w:t xml:space="preserve">Molecular methods may involve nucleic acid preparation, amplification, detection, contamination controls and specialized workflows. Laboratory-developed or modified tests can involve additional regulatory and validation requirements.</w:t>
      </w:r>
    </w:p>
    <w:bookmarkEnd w:id="52"/>
    <w:bookmarkEnd w:id="53"/>
    <w:bookmarkStart w:id="54" w:name="equipment-calibration-and-maintenance"/>
    <w:p>
      <w:pPr>
        <w:pStyle w:val="Heading2"/>
      </w:pPr>
      <w:r>
        <w:t xml:space="preserve">Equipment, calibration and maintenance</w:t>
      </w:r>
    </w:p>
    <w:p>
      <w:pPr>
        <w:pStyle w:val="FirstParagraph"/>
      </w:pPr>
      <w:r>
        <w:t xml:space="preserve">Clinical laboratories depend on instruments that must perform predictably.</w:t>
      </w:r>
    </w:p>
    <w:p>
      <w:pPr>
        <w:pStyle w:val="BodyText"/>
      </w:pPr>
      <w:r>
        <w:t xml:space="preserve">A technician may be assigned to:</w:t>
      </w:r>
    </w:p>
    <w:p>
      <w:pPr>
        <w:numPr>
          <w:ilvl w:val="0"/>
          <w:numId w:val="1011"/>
        </w:numPr>
        <w:pStyle w:val="Compact"/>
      </w:pPr>
      <w:r>
        <w:t xml:space="preserve">perform daily startup or shutdown;</w:t>
      </w:r>
    </w:p>
    <w:p>
      <w:pPr>
        <w:numPr>
          <w:ilvl w:val="0"/>
          <w:numId w:val="1011"/>
        </w:numPr>
        <w:pStyle w:val="Compact"/>
      </w:pPr>
      <w:r>
        <w:t xml:space="preserve">run calibration or calibration verification;</w:t>
      </w:r>
    </w:p>
    <w:p>
      <w:pPr>
        <w:numPr>
          <w:ilvl w:val="0"/>
          <w:numId w:val="1011"/>
        </w:numPr>
        <w:pStyle w:val="Compact"/>
      </w:pPr>
      <w:r>
        <w:t xml:space="preserve">document maintenance;</w:t>
      </w:r>
    </w:p>
    <w:p>
      <w:pPr>
        <w:numPr>
          <w:ilvl w:val="0"/>
          <w:numId w:val="1011"/>
        </w:numPr>
        <w:pStyle w:val="Compact"/>
      </w:pPr>
      <w:r>
        <w:t xml:space="preserve">replace consumables;</w:t>
      </w:r>
    </w:p>
    <w:p>
      <w:pPr>
        <w:numPr>
          <w:ilvl w:val="0"/>
          <w:numId w:val="1011"/>
        </w:numPr>
        <w:pStyle w:val="Compact"/>
      </w:pPr>
      <w:r>
        <w:t xml:space="preserve">inspect temperatures or environmental conditions;</w:t>
      </w:r>
    </w:p>
    <w:p>
      <w:pPr>
        <w:numPr>
          <w:ilvl w:val="0"/>
          <w:numId w:val="1011"/>
        </w:numPr>
        <w:pStyle w:val="Compact"/>
      </w:pPr>
      <w:r>
        <w:t xml:space="preserve">record reagent and lot changes;</w:t>
      </w:r>
    </w:p>
    <w:p>
      <w:pPr>
        <w:numPr>
          <w:ilvl w:val="0"/>
          <w:numId w:val="1011"/>
        </w:numPr>
        <w:pStyle w:val="Compact"/>
      </w:pPr>
      <w:r>
        <w:t xml:space="preserve">perform approved troubleshooting;</w:t>
      </w:r>
    </w:p>
    <w:p>
      <w:pPr>
        <w:numPr>
          <w:ilvl w:val="0"/>
          <w:numId w:val="1011"/>
        </w:numPr>
        <w:pStyle w:val="Compact"/>
      </w:pPr>
      <w:r>
        <w:t xml:space="preserve">contact authorized support when an issue exceeds local procedures.</w:t>
      </w:r>
    </w:p>
    <w:p>
      <w:pPr>
        <w:pStyle w:val="FirstParagraph"/>
      </w:pPr>
      <w:r>
        <w:t xml:space="preserve">Do not return an instrument to patient testing merely because it powers on. Follow the laboratory’s defined acceptance criteria after service, maintenance, calibration or troubleshooting.</w:t>
      </w:r>
    </w:p>
    <w:bookmarkEnd w:id="54"/>
    <w:bookmarkStart w:id="55" w:name="data-integrity"/>
    <w:p>
      <w:pPr>
        <w:pStyle w:val="Heading2"/>
      </w:pPr>
      <w:r>
        <w:t xml:space="preserve">Data integrity</w:t>
      </w:r>
    </w:p>
    <w:p>
      <w:pPr>
        <w:pStyle w:val="FirstParagraph"/>
      </w:pPr>
      <w:r>
        <w:t xml:space="preserve">Laboratory results can influence medical decisions. That makes data integrity a patient-safety issue.</w:t>
      </w:r>
    </w:p>
    <w:p>
      <w:pPr>
        <w:pStyle w:val="BodyText"/>
      </w:pPr>
      <w:r>
        <w:t xml:space="preserve">Good practice means:</w:t>
      </w:r>
    </w:p>
    <w:p>
      <w:pPr>
        <w:numPr>
          <w:ilvl w:val="0"/>
          <w:numId w:val="1012"/>
        </w:numPr>
        <w:pStyle w:val="Compact"/>
      </w:pPr>
      <w:r>
        <w:t xml:space="preserve">record results and observations when generated;</w:t>
      </w:r>
    </w:p>
    <w:p>
      <w:pPr>
        <w:numPr>
          <w:ilvl w:val="0"/>
          <w:numId w:val="1012"/>
        </w:numPr>
        <w:pStyle w:val="Compact"/>
      </w:pPr>
      <w:r>
        <w:t xml:space="preserve">preserve original instrument files where required;</w:t>
      </w:r>
    </w:p>
    <w:p>
      <w:pPr>
        <w:numPr>
          <w:ilvl w:val="0"/>
          <w:numId w:val="1012"/>
        </w:numPr>
        <w:pStyle w:val="Compact"/>
      </w:pPr>
      <w:r>
        <w:t xml:space="preserve">use the correct patient/specimen identifier;</w:t>
      </w:r>
    </w:p>
    <w:p>
      <w:pPr>
        <w:numPr>
          <w:ilvl w:val="0"/>
          <w:numId w:val="1012"/>
        </w:numPr>
        <w:pStyle w:val="Compact"/>
      </w:pPr>
      <w:r>
        <w:t xml:space="preserve">use your own account;</w:t>
      </w:r>
    </w:p>
    <w:p>
      <w:pPr>
        <w:numPr>
          <w:ilvl w:val="0"/>
          <w:numId w:val="1012"/>
        </w:numPr>
        <w:pStyle w:val="Compact"/>
      </w:pPr>
      <w:r>
        <w:t xml:space="preserve">document corrections through the approved audit trail;</w:t>
      </w:r>
    </w:p>
    <w:p>
      <w:pPr>
        <w:numPr>
          <w:ilvl w:val="0"/>
          <w:numId w:val="1012"/>
        </w:numPr>
        <w:pStyle w:val="Compact"/>
      </w:pPr>
      <w:r>
        <w:t xml:space="preserve">document repeats and dilutions;</w:t>
      </w:r>
    </w:p>
    <w:p>
      <w:pPr>
        <w:numPr>
          <w:ilvl w:val="0"/>
          <w:numId w:val="1012"/>
        </w:numPr>
        <w:pStyle w:val="Compact"/>
      </w:pPr>
      <w:r>
        <w:t xml:space="preserve">preserve QC and calibration records;</w:t>
      </w:r>
    </w:p>
    <w:p>
      <w:pPr>
        <w:numPr>
          <w:ilvl w:val="0"/>
          <w:numId w:val="1012"/>
        </w:numPr>
        <w:pStyle w:val="Compact"/>
      </w:pPr>
      <w:r>
        <w:t xml:space="preserve">do not hide an instrument alarm;</w:t>
      </w:r>
    </w:p>
    <w:p>
      <w:pPr>
        <w:numPr>
          <w:ilvl w:val="0"/>
          <w:numId w:val="1012"/>
        </w:numPr>
        <w:pStyle w:val="Compact"/>
      </w:pPr>
      <w:r>
        <w:t xml:space="preserve">do not backdate a result or maintenance entry;</w:t>
      </w:r>
    </w:p>
    <w:p>
      <w:pPr>
        <w:numPr>
          <w:ilvl w:val="0"/>
          <w:numId w:val="1012"/>
        </w:numPr>
        <w:pStyle w:val="Compact"/>
      </w:pPr>
      <w:r>
        <w:t xml:space="preserve">report suspected manipulation;</w:t>
      </w:r>
    </w:p>
    <w:p>
      <w:pPr>
        <w:numPr>
          <w:ilvl w:val="0"/>
          <w:numId w:val="1012"/>
        </w:numPr>
        <w:pStyle w:val="Compact"/>
      </w:pPr>
      <w:r>
        <w:t xml:space="preserve">distinguish a corrected result from an original result according to laboratory policy.</w:t>
      </w:r>
    </w:p>
    <w:p>
      <w:pPr>
        <w:pStyle w:val="FirstParagraph"/>
      </w:pPr>
      <w:r>
        <w:t xml:space="preserve">An honest, traceable error can be investigated. A hidden error undermines the entire quality system.</w:t>
      </w:r>
    </w:p>
    <w:bookmarkEnd w:id="55"/>
    <w:bookmarkStart w:id="56" w:name="X0c9fe6fb94cb821543613d9c052d5d883cad9ee"/>
    <w:p>
      <w:pPr>
        <w:pStyle w:val="Heading2"/>
      </w:pPr>
      <w:r>
        <w:t xml:space="preserve">Laboratory information systems, privacy and cybersecurity</w:t>
      </w:r>
    </w:p>
    <w:p>
      <w:pPr>
        <w:pStyle w:val="FirstParagraph"/>
      </w:pPr>
      <w:r>
        <w:t xml:space="preserve">Modern laboratories rely on laboratory information systems (LIS), electronic health records, middleware, analyzers, barcode systems, network shares, cloud services, portals and connected instruments.</w:t>
      </w:r>
    </w:p>
    <w:p>
      <w:pPr>
        <w:pStyle w:val="BodyText"/>
      </w:pPr>
      <w:r>
        <w:t xml:space="preserve">Practical controls include:</w:t>
      </w:r>
    </w:p>
    <w:p>
      <w:pPr>
        <w:numPr>
          <w:ilvl w:val="0"/>
          <w:numId w:val="1013"/>
        </w:numPr>
        <w:pStyle w:val="Compact"/>
      </w:pPr>
      <w:r>
        <w:t xml:space="preserve">use only approved systems and accounts;</w:t>
      </w:r>
    </w:p>
    <w:p>
      <w:pPr>
        <w:numPr>
          <w:ilvl w:val="0"/>
          <w:numId w:val="1013"/>
        </w:numPr>
        <w:pStyle w:val="Compact"/>
      </w:pPr>
      <w:r>
        <w:t xml:space="preserve">use multifactor authentication where supported;</w:t>
      </w:r>
    </w:p>
    <w:p>
      <w:pPr>
        <w:numPr>
          <w:ilvl w:val="0"/>
          <w:numId w:val="1013"/>
        </w:numPr>
        <w:pStyle w:val="Compact"/>
      </w:pPr>
      <w:r>
        <w:t xml:space="preserve">never share passwords or badges;</w:t>
      </w:r>
    </w:p>
    <w:p>
      <w:pPr>
        <w:numPr>
          <w:ilvl w:val="0"/>
          <w:numId w:val="1013"/>
        </w:numPr>
        <w:pStyle w:val="Compact"/>
      </w:pPr>
      <w:r>
        <w:t xml:space="preserve">verify patient identity before viewing or entering data;</w:t>
      </w:r>
    </w:p>
    <w:p>
      <w:pPr>
        <w:numPr>
          <w:ilvl w:val="0"/>
          <w:numId w:val="1013"/>
        </w:numPr>
        <w:pStyle w:val="Compact"/>
      </w:pPr>
      <w:r>
        <w:t xml:space="preserve">do not browse records without a work reason;</w:t>
      </w:r>
    </w:p>
    <w:p>
      <w:pPr>
        <w:numPr>
          <w:ilvl w:val="0"/>
          <w:numId w:val="1013"/>
        </w:numPr>
        <w:pStyle w:val="Compact"/>
      </w:pPr>
      <w:r>
        <w:t xml:space="preserve">lock the workstation when leaving it;</w:t>
      </w:r>
    </w:p>
    <w:p>
      <w:pPr>
        <w:numPr>
          <w:ilvl w:val="0"/>
          <w:numId w:val="1013"/>
        </w:numPr>
        <w:pStyle w:val="Compact"/>
      </w:pPr>
      <w:r>
        <w:t xml:space="preserve">do not move patient or proprietary information to personal email or personal cloud storage;</w:t>
      </w:r>
    </w:p>
    <w:p>
      <w:pPr>
        <w:numPr>
          <w:ilvl w:val="0"/>
          <w:numId w:val="1013"/>
        </w:numPr>
        <w:pStyle w:val="Compact"/>
      </w:pPr>
      <w:r>
        <w:t xml:space="preserve">do not connect unauthorized USB devices;</w:t>
      </w:r>
    </w:p>
    <w:p>
      <w:pPr>
        <w:numPr>
          <w:ilvl w:val="0"/>
          <w:numId w:val="1013"/>
        </w:numPr>
        <w:pStyle w:val="Compact"/>
      </w:pPr>
      <w:r>
        <w:t xml:space="preserve">report phishing and suspicious system behavior;</w:t>
      </w:r>
    </w:p>
    <w:p>
      <w:pPr>
        <w:numPr>
          <w:ilvl w:val="0"/>
          <w:numId w:val="1013"/>
        </w:numPr>
        <w:pStyle w:val="Compact"/>
      </w:pPr>
      <w:r>
        <w:t xml:space="preserve">follow downtime procedures during outages;</w:t>
      </w:r>
    </w:p>
    <w:p>
      <w:pPr>
        <w:numPr>
          <w:ilvl w:val="0"/>
          <w:numId w:val="1013"/>
        </w:numPr>
        <w:pStyle w:val="Compact"/>
      </w:pPr>
      <w:r>
        <w:t xml:space="preserve">preserve paper/electronic records created during downtime;</w:t>
      </w:r>
    </w:p>
    <w:p>
      <w:pPr>
        <w:numPr>
          <w:ilvl w:val="0"/>
          <w:numId w:val="1013"/>
        </w:numPr>
        <w:pStyle w:val="Compact"/>
      </w:pPr>
      <w:r>
        <w:t xml:space="preserve">reconcile data after system restoration according to procedure.</w:t>
      </w:r>
    </w:p>
    <w:p>
      <w:pPr>
        <w:pStyle w:val="FirstParagraph"/>
      </w:pPr>
      <w:r>
        <w:t xml:space="preserve">In U.S. HIPAA-covered settings, protected health information is subject to applicable privacy and security requirements. Other countries have their own legal frameworks. This guide does not provide legal advice; use the employer’s privacy and security program and current official rules.</w:t>
      </w:r>
    </w:p>
    <w:bookmarkEnd w:id="56"/>
    <w:bookmarkStart w:id="59" w:name="responsible-ai"/>
    <w:p>
      <w:pPr>
        <w:pStyle w:val="Heading2"/>
      </w:pPr>
      <w:r>
        <w:t xml:space="preserve">Responsible AI</w:t>
      </w:r>
    </w:p>
    <w:p>
      <w:pPr>
        <w:pStyle w:val="FirstParagraph"/>
      </w:pPr>
      <w:r>
        <w:t xml:space="preserve">AI can be useful in low-risk support activities, but clinical laboratory work is a high-consequence environment.</w:t>
      </w:r>
    </w:p>
    <w:bookmarkStart w:id="57" w:name="lower-risk-uses-may-include"/>
    <w:p>
      <w:pPr>
        <w:pStyle w:val="Heading3"/>
      </w:pPr>
      <w:r>
        <w:t xml:space="preserve">Lower-risk uses may include</w:t>
      </w:r>
    </w:p>
    <w:p>
      <w:pPr>
        <w:numPr>
          <w:ilvl w:val="0"/>
          <w:numId w:val="1014"/>
        </w:numPr>
        <w:pStyle w:val="Compact"/>
      </w:pPr>
      <w:r>
        <w:t xml:space="preserve">explaining public scientific concepts for study;</w:t>
      </w:r>
    </w:p>
    <w:p>
      <w:pPr>
        <w:numPr>
          <w:ilvl w:val="0"/>
          <w:numId w:val="1014"/>
        </w:numPr>
        <w:pStyle w:val="Compact"/>
      </w:pPr>
      <w:r>
        <w:t xml:space="preserve">creating practice questions;</w:t>
      </w:r>
    </w:p>
    <w:p>
      <w:pPr>
        <w:numPr>
          <w:ilvl w:val="0"/>
          <w:numId w:val="1014"/>
        </w:numPr>
        <w:pStyle w:val="Compact"/>
      </w:pPr>
      <w:r>
        <w:t xml:space="preserve">organizing a study plan;</w:t>
      </w:r>
    </w:p>
    <w:p>
      <w:pPr>
        <w:numPr>
          <w:ilvl w:val="0"/>
          <w:numId w:val="1014"/>
        </w:numPr>
        <w:pStyle w:val="Compact"/>
      </w:pPr>
      <w:r>
        <w:t xml:space="preserve">drafting a fictional training checklist;</w:t>
      </w:r>
    </w:p>
    <w:p>
      <w:pPr>
        <w:numPr>
          <w:ilvl w:val="0"/>
          <w:numId w:val="1014"/>
        </w:numPr>
        <w:pStyle w:val="Compact"/>
      </w:pPr>
      <w:r>
        <w:t xml:space="preserve">improving the readability of non-patient educational text;</w:t>
      </w:r>
    </w:p>
    <w:p>
      <w:pPr>
        <w:numPr>
          <w:ilvl w:val="0"/>
          <w:numId w:val="1014"/>
        </w:numPr>
        <w:pStyle w:val="Compact"/>
      </w:pPr>
      <w:r>
        <w:t xml:space="preserve">brainstorming interview questions;</w:t>
      </w:r>
    </w:p>
    <w:p>
      <w:pPr>
        <w:numPr>
          <w:ilvl w:val="0"/>
          <w:numId w:val="1014"/>
        </w:numPr>
        <w:pStyle w:val="Compact"/>
      </w:pPr>
      <w:r>
        <w:t xml:space="preserve">summarizing public guidance for later verification against the original source.</w:t>
      </w:r>
    </w:p>
    <w:bookmarkEnd w:id="57"/>
    <w:bookmarkStart w:id="58" w:name="do-not-use-an-unapproved-ai-system-to"/>
    <w:p>
      <w:pPr>
        <w:pStyle w:val="Heading3"/>
      </w:pPr>
      <w:r>
        <w:t xml:space="preserve">Do not use an unapproved AI system to</w:t>
      </w:r>
    </w:p>
    <w:p>
      <w:pPr>
        <w:numPr>
          <w:ilvl w:val="0"/>
          <w:numId w:val="1015"/>
        </w:numPr>
        <w:pStyle w:val="Compact"/>
      </w:pPr>
      <w:r>
        <w:t xml:space="preserve">interpret a patient’s result;</w:t>
      </w:r>
    </w:p>
    <w:p>
      <w:pPr>
        <w:numPr>
          <w:ilvl w:val="0"/>
          <w:numId w:val="1015"/>
        </w:numPr>
        <w:pStyle w:val="Compact"/>
      </w:pPr>
      <w:r>
        <w:t xml:space="preserve">diagnose disease;</w:t>
      </w:r>
    </w:p>
    <w:p>
      <w:pPr>
        <w:numPr>
          <w:ilvl w:val="0"/>
          <w:numId w:val="1015"/>
        </w:numPr>
        <w:pStyle w:val="Compact"/>
      </w:pPr>
      <w:r>
        <w:t xml:space="preserve">decide whether a critical value is real;</w:t>
      </w:r>
    </w:p>
    <w:p>
      <w:pPr>
        <w:numPr>
          <w:ilvl w:val="0"/>
          <w:numId w:val="1015"/>
        </w:numPr>
        <w:pStyle w:val="Compact"/>
      </w:pPr>
      <w:r>
        <w:t xml:space="preserve">accept or reject QC;</w:t>
      </w:r>
    </w:p>
    <w:p>
      <w:pPr>
        <w:numPr>
          <w:ilvl w:val="0"/>
          <w:numId w:val="1015"/>
        </w:numPr>
        <w:pStyle w:val="Compact"/>
      </w:pPr>
      <w:r>
        <w:t xml:space="preserve">determine whether proficiency testing should pass;</w:t>
      </w:r>
    </w:p>
    <w:p>
      <w:pPr>
        <w:numPr>
          <w:ilvl w:val="0"/>
          <w:numId w:val="1015"/>
        </w:numPr>
        <w:pStyle w:val="Compact"/>
      </w:pPr>
      <w:r>
        <w:t xml:space="preserve">select a transfusion product;</w:t>
      </w:r>
    </w:p>
    <w:p>
      <w:pPr>
        <w:numPr>
          <w:ilvl w:val="0"/>
          <w:numId w:val="1015"/>
        </w:numPr>
        <w:pStyle w:val="Compact"/>
      </w:pPr>
      <w:r>
        <w:t xml:space="preserve">identify a microorganism as the final clinical authority;</w:t>
      </w:r>
    </w:p>
    <w:p>
      <w:pPr>
        <w:numPr>
          <w:ilvl w:val="0"/>
          <w:numId w:val="1015"/>
        </w:numPr>
        <w:pStyle w:val="Compact"/>
      </w:pPr>
      <w:r>
        <w:t xml:space="preserve">override an analyzer or validated method;</w:t>
      </w:r>
    </w:p>
    <w:p>
      <w:pPr>
        <w:numPr>
          <w:ilvl w:val="0"/>
          <w:numId w:val="1015"/>
        </w:numPr>
        <w:pStyle w:val="Compact"/>
      </w:pPr>
      <w:r>
        <w:t xml:space="preserve">create unverified calibration or reagent instructions;</w:t>
      </w:r>
    </w:p>
    <w:p>
      <w:pPr>
        <w:numPr>
          <w:ilvl w:val="0"/>
          <w:numId w:val="1015"/>
        </w:numPr>
        <w:pStyle w:val="Compact"/>
      </w:pPr>
      <w:r>
        <w:t xml:space="preserve">make a method-validation conclusion;</w:t>
      </w:r>
    </w:p>
    <w:p>
      <w:pPr>
        <w:numPr>
          <w:ilvl w:val="0"/>
          <w:numId w:val="1015"/>
        </w:numPr>
        <w:pStyle w:val="Compact"/>
      </w:pPr>
      <w:r>
        <w:t xml:space="preserve">release a patient result;</w:t>
      </w:r>
    </w:p>
    <w:p>
      <w:pPr>
        <w:numPr>
          <w:ilvl w:val="0"/>
          <w:numId w:val="1015"/>
        </w:numPr>
        <w:pStyle w:val="Compact"/>
      </w:pPr>
      <w:r>
        <w:t xml:space="preserve">replace required qualified review;</w:t>
      </w:r>
    </w:p>
    <w:p>
      <w:pPr>
        <w:numPr>
          <w:ilvl w:val="0"/>
          <w:numId w:val="1015"/>
        </w:numPr>
        <w:pStyle w:val="Compact"/>
      </w:pPr>
      <w:r>
        <w:t xml:space="preserve">enter patient identifiers, medical records, laboratory results, images, credentials, proprietary methods or security-sensitive information.</w:t>
      </w:r>
    </w:p>
    <w:p>
      <w:pPr>
        <w:pStyle w:val="FirstParagraph"/>
      </w:pPr>
      <w:r>
        <w:t xml:space="preserve">NIST’s AI Risk Management Framework provides a general framework for managing AI risks and trustworthiness. Laboratory policies, regulators, health-system governance and validated medical-device rules may impose additional controls.</w:t>
      </w:r>
    </w:p>
    <w:p>
      <w:pPr>
        <w:pStyle w:val="BodyText"/>
      </w:pPr>
      <w:r>
        <w:rPr>
          <w:bCs/>
          <w:b/>
        </w:rPr>
        <w:t xml:space="preserve">Practical rule:</w:t>
      </w:r>
      <w:r>
        <w:t xml:space="preserve"> </w:t>
      </w:r>
      <w:r>
        <w:t xml:space="preserve">AI may help a learner organize information; authorized people and validated systems must own consequential clinical decisions.</w:t>
      </w:r>
    </w:p>
    <w:bookmarkEnd w:id="58"/>
    <w:bookmarkEnd w:id="59"/>
    <w:bookmarkStart w:id="64" w:name="skills-employers-value"/>
    <w:p>
      <w:pPr>
        <w:pStyle w:val="Heading2"/>
      </w:pPr>
      <w:r>
        <w:t xml:space="preserve">Skills employers value</w:t>
      </w:r>
    </w:p>
    <w:bookmarkStart w:id="60" w:name="laboratory-science"/>
    <w:p>
      <w:pPr>
        <w:pStyle w:val="Heading3"/>
      </w:pPr>
      <w:r>
        <w:t xml:space="preserve">Laboratory science</w:t>
      </w:r>
    </w:p>
    <w:p>
      <w:pPr>
        <w:numPr>
          <w:ilvl w:val="0"/>
          <w:numId w:val="1016"/>
        </w:numPr>
        <w:pStyle w:val="Compact"/>
      </w:pPr>
      <w:r>
        <w:t xml:space="preserve">biology and microbiology fundamentals;</w:t>
      </w:r>
    </w:p>
    <w:p>
      <w:pPr>
        <w:numPr>
          <w:ilvl w:val="0"/>
          <w:numId w:val="1016"/>
        </w:numPr>
        <w:pStyle w:val="Compact"/>
      </w:pPr>
      <w:r>
        <w:t xml:space="preserve">chemistry fundamentals;</w:t>
      </w:r>
    </w:p>
    <w:p>
      <w:pPr>
        <w:numPr>
          <w:ilvl w:val="0"/>
          <w:numId w:val="1016"/>
        </w:numPr>
        <w:pStyle w:val="Compact"/>
      </w:pPr>
      <w:r>
        <w:t xml:space="preserve">units and conversions;</w:t>
      </w:r>
    </w:p>
    <w:p>
      <w:pPr>
        <w:numPr>
          <w:ilvl w:val="0"/>
          <w:numId w:val="1016"/>
        </w:numPr>
        <w:pStyle w:val="Compact"/>
      </w:pPr>
      <w:r>
        <w:t xml:space="preserve">dilution calculations;</w:t>
      </w:r>
    </w:p>
    <w:p>
      <w:pPr>
        <w:numPr>
          <w:ilvl w:val="0"/>
          <w:numId w:val="1016"/>
        </w:numPr>
        <w:pStyle w:val="Compact"/>
      </w:pPr>
      <w:r>
        <w:t xml:space="preserve">pipetting and measurement;</w:t>
      </w:r>
    </w:p>
    <w:p>
      <w:pPr>
        <w:numPr>
          <w:ilvl w:val="0"/>
          <w:numId w:val="1016"/>
        </w:numPr>
        <w:pStyle w:val="Compact"/>
      </w:pPr>
      <w:r>
        <w:t xml:space="preserve">specimen preparation;</w:t>
      </w:r>
    </w:p>
    <w:p>
      <w:pPr>
        <w:numPr>
          <w:ilvl w:val="0"/>
          <w:numId w:val="1016"/>
        </w:numPr>
        <w:pStyle w:val="Compact"/>
      </w:pPr>
      <w:r>
        <w:t xml:space="preserve">microscopy;</w:t>
      </w:r>
    </w:p>
    <w:p>
      <w:pPr>
        <w:numPr>
          <w:ilvl w:val="0"/>
          <w:numId w:val="1016"/>
        </w:numPr>
        <w:pStyle w:val="Compact"/>
      </w:pPr>
      <w:r>
        <w:t xml:space="preserve">hematology concepts;</w:t>
      </w:r>
    </w:p>
    <w:p>
      <w:pPr>
        <w:numPr>
          <w:ilvl w:val="0"/>
          <w:numId w:val="1016"/>
        </w:numPr>
        <w:pStyle w:val="Compact"/>
      </w:pPr>
      <w:r>
        <w:t xml:space="preserve">urinalysis concepts;</w:t>
      </w:r>
    </w:p>
    <w:p>
      <w:pPr>
        <w:numPr>
          <w:ilvl w:val="0"/>
          <w:numId w:val="1016"/>
        </w:numPr>
        <w:pStyle w:val="Compact"/>
      </w:pPr>
      <w:r>
        <w:t xml:space="preserve">immunology concepts;</w:t>
      </w:r>
    </w:p>
    <w:p>
      <w:pPr>
        <w:numPr>
          <w:ilvl w:val="0"/>
          <w:numId w:val="1016"/>
        </w:numPr>
        <w:pStyle w:val="Compact"/>
      </w:pPr>
      <w:r>
        <w:t xml:space="preserve">quality-control concepts;</w:t>
      </w:r>
    </w:p>
    <w:p>
      <w:pPr>
        <w:numPr>
          <w:ilvl w:val="0"/>
          <w:numId w:val="1016"/>
        </w:numPr>
        <w:pStyle w:val="Compact"/>
      </w:pPr>
      <w:r>
        <w:t xml:space="preserve">contamination prevention.</w:t>
      </w:r>
    </w:p>
    <w:bookmarkEnd w:id="60"/>
    <w:bookmarkStart w:id="61" w:name="quality-and-documentation"/>
    <w:p>
      <w:pPr>
        <w:pStyle w:val="Heading3"/>
      </w:pPr>
      <w:r>
        <w:t xml:space="preserve">Quality and documentation</w:t>
      </w:r>
    </w:p>
    <w:p>
      <w:pPr>
        <w:numPr>
          <w:ilvl w:val="0"/>
          <w:numId w:val="1017"/>
        </w:numPr>
        <w:pStyle w:val="Compact"/>
      </w:pPr>
      <w:r>
        <w:t xml:space="preserve">SOP discipline;</w:t>
      </w:r>
    </w:p>
    <w:p>
      <w:pPr>
        <w:numPr>
          <w:ilvl w:val="0"/>
          <w:numId w:val="1017"/>
        </w:numPr>
        <w:pStyle w:val="Compact"/>
      </w:pPr>
      <w:r>
        <w:t xml:space="preserve">specimen traceability;</w:t>
      </w:r>
    </w:p>
    <w:p>
      <w:pPr>
        <w:numPr>
          <w:ilvl w:val="0"/>
          <w:numId w:val="1017"/>
        </w:numPr>
        <w:pStyle w:val="Compact"/>
      </w:pPr>
      <w:r>
        <w:t xml:space="preserve">QC documentation;</w:t>
      </w:r>
    </w:p>
    <w:p>
      <w:pPr>
        <w:numPr>
          <w:ilvl w:val="0"/>
          <w:numId w:val="1017"/>
        </w:numPr>
        <w:pStyle w:val="Compact"/>
      </w:pPr>
      <w:r>
        <w:t xml:space="preserve">calibration awareness;</w:t>
      </w:r>
    </w:p>
    <w:p>
      <w:pPr>
        <w:numPr>
          <w:ilvl w:val="0"/>
          <w:numId w:val="1017"/>
        </w:numPr>
        <w:pStyle w:val="Compact"/>
      </w:pPr>
      <w:r>
        <w:t xml:space="preserve">lot and expiration control;</w:t>
      </w:r>
    </w:p>
    <w:p>
      <w:pPr>
        <w:numPr>
          <w:ilvl w:val="0"/>
          <w:numId w:val="1017"/>
        </w:numPr>
        <w:pStyle w:val="Compact"/>
      </w:pPr>
      <w:r>
        <w:t xml:space="preserve">corrective-action awareness;</w:t>
      </w:r>
    </w:p>
    <w:p>
      <w:pPr>
        <w:numPr>
          <w:ilvl w:val="0"/>
          <w:numId w:val="1017"/>
        </w:numPr>
        <w:pStyle w:val="Compact"/>
      </w:pPr>
      <w:r>
        <w:t xml:space="preserve">proficiency-testing integrity;</w:t>
      </w:r>
    </w:p>
    <w:p>
      <w:pPr>
        <w:numPr>
          <w:ilvl w:val="0"/>
          <w:numId w:val="1017"/>
        </w:numPr>
        <w:pStyle w:val="Compact"/>
      </w:pPr>
      <w:r>
        <w:t xml:space="preserve">competency documentation;</w:t>
      </w:r>
    </w:p>
    <w:p>
      <w:pPr>
        <w:numPr>
          <w:ilvl w:val="0"/>
          <w:numId w:val="1017"/>
        </w:numPr>
        <w:pStyle w:val="Compact"/>
      </w:pPr>
      <w:r>
        <w:t xml:space="preserve">audit trails;</w:t>
      </w:r>
    </w:p>
    <w:p>
      <w:pPr>
        <w:numPr>
          <w:ilvl w:val="0"/>
          <w:numId w:val="1017"/>
        </w:numPr>
        <w:pStyle w:val="Compact"/>
      </w:pPr>
      <w:r>
        <w:t xml:space="preserve">incident reporting;</w:t>
      </w:r>
    </w:p>
    <w:p>
      <w:pPr>
        <w:numPr>
          <w:ilvl w:val="0"/>
          <w:numId w:val="1017"/>
        </w:numPr>
        <w:pStyle w:val="Compact"/>
      </w:pPr>
      <w:r>
        <w:t xml:space="preserve">attention to decimal points, units and identifiers.</w:t>
      </w:r>
    </w:p>
    <w:bookmarkEnd w:id="61"/>
    <w:bookmarkStart w:id="62" w:name="digital-skills"/>
    <w:p>
      <w:pPr>
        <w:pStyle w:val="Heading3"/>
      </w:pPr>
      <w:r>
        <w:t xml:space="preserve">Digital skills</w:t>
      </w:r>
    </w:p>
    <w:p>
      <w:pPr>
        <w:numPr>
          <w:ilvl w:val="0"/>
          <w:numId w:val="1018"/>
        </w:numPr>
        <w:pStyle w:val="Compact"/>
      </w:pPr>
      <w:r>
        <w:t xml:space="preserve">LIS and EHR navigation within authorization;</w:t>
      </w:r>
    </w:p>
    <w:p>
      <w:pPr>
        <w:numPr>
          <w:ilvl w:val="0"/>
          <w:numId w:val="1018"/>
        </w:numPr>
        <w:pStyle w:val="Compact"/>
      </w:pPr>
      <w:r>
        <w:t xml:space="preserve">barcode workflows;</w:t>
      </w:r>
    </w:p>
    <w:p>
      <w:pPr>
        <w:numPr>
          <w:ilvl w:val="0"/>
          <w:numId w:val="1018"/>
        </w:numPr>
        <w:pStyle w:val="Compact"/>
      </w:pPr>
      <w:r>
        <w:t xml:space="preserve">spreadsheets;</w:t>
      </w:r>
    </w:p>
    <w:p>
      <w:pPr>
        <w:numPr>
          <w:ilvl w:val="0"/>
          <w:numId w:val="1018"/>
        </w:numPr>
        <w:pStyle w:val="Compact"/>
      </w:pPr>
      <w:r>
        <w:t xml:space="preserve">word processing;</w:t>
      </w:r>
    </w:p>
    <w:p>
      <w:pPr>
        <w:numPr>
          <w:ilvl w:val="0"/>
          <w:numId w:val="1018"/>
        </w:numPr>
        <w:pStyle w:val="Compact"/>
      </w:pPr>
      <w:r>
        <w:t xml:space="preserve">secure email;</w:t>
      </w:r>
    </w:p>
    <w:p>
      <w:pPr>
        <w:numPr>
          <w:ilvl w:val="0"/>
          <w:numId w:val="1018"/>
        </w:numPr>
        <w:pStyle w:val="Compact"/>
      </w:pPr>
      <w:r>
        <w:t xml:space="preserve">instrument middleware;</w:t>
      </w:r>
    </w:p>
    <w:p>
      <w:pPr>
        <w:numPr>
          <w:ilvl w:val="0"/>
          <w:numId w:val="1018"/>
        </w:numPr>
        <w:pStyle w:val="Compact"/>
      </w:pPr>
      <w:r>
        <w:t xml:space="preserve">approved cloud systems;</w:t>
      </w:r>
    </w:p>
    <w:p>
      <w:pPr>
        <w:numPr>
          <w:ilvl w:val="0"/>
          <w:numId w:val="1018"/>
        </w:numPr>
        <w:pStyle w:val="Compact"/>
      </w:pPr>
      <w:r>
        <w:t xml:space="preserve">basic troubleshooting;</w:t>
      </w:r>
    </w:p>
    <w:p>
      <w:pPr>
        <w:numPr>
          <w:ilvl w:val="0"/>
          <w:numId w:val="1018"/>
        </w:numPr>
        <w:pStyle w:val="Compact"/>
      </w:pPr>
      <w:r>
        <w:t xml:space="preserve">cybersecurity awareness.</w:t>
      </w:r>
    </w:p>
    <w:bookmarkEnd w:id="62"/>
    <w:bookmarkStart w:id="63" w:name="human-skills"/>
    <w:p>
      <w:pPr>
        <w:pStyle w:val="Heading3"/>
      </w:pPr>
      <w:r>
        <w:t xml:space="preserve">Human skills</w:t>
      </w:r>
    </w:p>
    <w:p>
      <w:pPr>
        <w:numPr>
          <w:ilvl w:val="0"/>
          <w:numId w:val="1019"/>
        </w:numPr>
        <w:pStyle w:val="Compact"/>
      </w:pPr>
      <w:r>
        <w:t xml:space="preserve">precision;</w:t>
      </w:r>
    </w:p>
    <w:p>
      <w:pPr>
        <w:numPr>
          <w:ilvl w:val="0"/>
          <w:numId w:val="1019"/>
        </w:numPr>
        <w:pStyle w:val="Compact"/>
      </w:pPr>
      <w:r>
        <w:t xml:space="preserve">reliability;</w:t>
      </w:r>
    </w:p>
    <w:p>
      <w:pPr>
        <w:numPr>
          <w:ilvl w:val="0"/>
          <w:numId w:val="1019"/>
        </w:numPr>
        <w:pStyle w:val="Compact"/>
      </w:pPr>
      <w:r>
        <w:t xml:space="preserve">calm escalation;</w:t>
      </w:r>
    </w:p>
    <w:p>
      <w:pPr>
        <w:numPr>
          <w:ilvl w:val="0"/>
          <w:numId w:val="1019"/>
        </w:numPr>
        <w:pStyle w:val="Compact"/>
      </w:pPr>
      <w:r>
        <w:t xml:space="preserve">willingness to admit uncertainty;</w:t>
      </w:r>
    </w:p>
    <w:p>
      <w:pPr>
        <w:numPr>
          <w:ilvl w:val="0"/>
          <w:numId w:val="1019"/>
        </w:numPr>
        <w:pStyle w:val="Compact"/>
      </w:pPr>
      <w:r>
        <w:t xml:space="preserve">teamwork;</w:t>
      </w:r>
    </w:p>
    <w:p>
      <w:pPr>
        <w:numPr>
          <w:ilvl w:val="0"/>
          <w:numId w:val="1019"/>
        </w:numPr>
        <w:pStyle w:val="Compact"/>
      </w:pPr>
      <w:r>
        <w:t xml:space="preserve">communication with nurses, physicians, laboratory professionals and couriers;</w:t>
      </w:r>
    </w:p>
    <w:p>
      <w:pPr>
        <w:numPr>
          <w:ilvl w:val="0"/>
          <w:numId w:val="1019"/>
        </w:numPr>
        <w:pStyle w:val="Compact"/>
      </w:pPr>
      <w:r>
        <w:t xml:space="preserve">respect for privacy;</w:t>
      </w:r>
    </w:p>
    <w:p>
      <w:pPr>
        <w:numPr>
          <w:ilvl w:val="0"/>
          <w:numId w:val="1019"/>
        </w:numPr>
        <w:pStyle w:val="Compact"/>
      </w:pPr>
      <w:r>
        <w:t xml:space="preserve">ability to work under time pressure without bypassing controls;</w:t>
      </w:r>
    </w:p>
    <w:p>
      <w:pPr>
        <w:numPr>
          <w:ilvl w:val="0"/>
          <w:numId w:val="1019"/>
        </w:numPr>
        <w:pStyle w:val="Compact"/>
      </w:pPr>
      <w:r>
        <w:t xml:space="preserve">continuous learning.</w:t>
      </w:r>
    </w:p>
    <w:bookmarkEnd w:id="63"/>
    <w:bookmarkEnd w:id="64"/>
    <w:bookmarkStart w:id="65" w:name="us-labour-market-snapshot"/>
    <w:p>
      <w:pPr>
        <w:pStyle w:val="Heading2"/>
      </w:pPr>
      <w:r>
        <w:t xml:space="preserve">U.S. labour-market snapshot</w:t>
      </w:r>
    </w:p>
    <w:p>
      <w:pPr>
        <w:pStyle w:val="FirstParagraph"/>
      </w:pPr>
      <w:r>
        <w:t xml:space="preserve">Primary occupational benchmark:</w:t>
      </w:r>
      <w:r>
        <w:t xml:space="preserve"> </w:t>
      </w:r>
      <w:r>
        <w:rPr>
          <w:bCs/>
          <w:b/>
        </w:rPr>
        <w:t xml:space="preserve">O*NET-SOC 29-2012.00 — Medical and Clinical Laboratory Technicians</w:t>
      </w:r>
      <w:r>
        <w:t xml:space="preserve">.</w:t>
      </w:r>
    </w:p>
    <w:p>
      <w:pPr>
        <w:pStyle w:val="BodyText"/>
      </w:pPr>
      <w:r>
        <w:t xml:space="preserve">O*NET’s current 2026 page reports BLS-linked data for the combined Clinical Laboratory Technologists and Technicians wage/employment series:</w:t>
      </w:r>
    </w:p>
    <w:p>
      <w:pPr>
        <w:numPr>
          <w:ilvl w:val="0"/>
          <w:numId w:val="1020"/>
        </w:numPr>
        <w:pStyle w:val="Compact"/>
      </w:pPr>
      <w:r>
        <w:rPr>
          <w:bCs/>
          <w:b/>
        </w:rPr>
        <w:t xml:space="preserve">2025 median hourly wage:</w:t>
      </w:r>
      <w:r>
        <w:t xml:space="preserve"> </w:t>
      </w:r>
      <w:r>
        <w:t xml:space="preserve">US$30.26;</w:t>
      </w:r>
    </w:p>
    <w:p>
      <w:pPr>
        <w:numPr>
          <w:ilvl w:val="0"/>
          <w:numId w:val="1020"/>
        </w:numPr>
        <w:pStyle w:val="Compact"/>
      </w:pPr>
      <w:r>
        <w:rPr>
          <w:bCs/>
          <w:b/>
        </w:rPr>
        <w:t xml:space="preserve">2025 median annual wage:</w:t>
      </w:r>
      <w:r>
        <w:t xml:space="preserve"> </w:t>
      </w:r>
      <w:r>
        <w:t xml:space="preserve">US$62,930;</w:t>
      </w:r>
    </w:p>
    <w:p>
      <w:pPr>
        <w:numPr>
          <w:ilvl w:val="0"/>
          <w:numId w:val="1020"/>
        </w:numPr>
        <w:pStyle w:val="Compact"/>
      </w:pPr>
      <w:r>
        <w:rPr>
          <w:bCs/>
          <w:b/>
        </w:rPr>
        <w:t xml:space="preserve">2024 employment:</w:t>
      </w:r>
      <w:r>
        <w:t xml:space="preserve"> </w:t>
      </w:r>
      <w:r>
        <w:t xml:space="preserve">approximately 351,200;</w:t>
      </w:r>
    </w:p>
    <w:p>
      <w:pPr>
        <w:numPr>
          <w:ilvl w:val="0"/>
          <w:numId w:val="1020"/>
        </w:numPr>
        <w:pStyle w:val="Compact"/>
      </w:pPr>
      <w:r>
        <w:rPr>
          <w:bCs/>
          <w:b/>
        </w:rPr>
        <w:t xml:space="preserve">projected growth 2024–2034:</w:t>
      </w:r>
      <w:r>
        <w:t xml:space="preserve"> </w:t>
      </w:r>
      <w:r>
        <w:t xml:space="preserve">approximately 1%–2%, slower than average;</w:t>
      </w:r>
    </w:p>
    <w:p>
      <w:pPr>
        <w:numPr>
          <w:ilvl w:val="0"/>
          <w:numId w:val="1020"/>
        </w:numPr>
        <w:pStyle w:val="Compact"/>
      </w:pPr>
      <w:r>
        <w:rPr>
          <w:bCs/>
          <w:b/>
        </w:rPr>
        <w:t xml:space="preserve">projected annual openings:</w:t>
      </w:r>
      <w:r>
        <w:t xml:space="preserve"> </w:t>
      </w:r>
      <w:r>
        <w:t xml:space="preserve">approximately 22,600;</w:t>
      </w:r>
    </w:p>
    <w:p>
      <w:pPr>
        <w:numPr>
          <w:ilvl w:val="0"/>
          <w:numId w:val="1020"/>
        </w:numPr>
        <w:pStyle w:val="Compact"/>
      </w:pPr>
      <w:r>
        <w:rPr>
          <w:bCs/>
          <w:b/>
        </w:rPr>
        <w:t xml:space="preserve">health care and social assistance:</w:t>
      </w:r>
      <w:r>
        <w:t xml:space="preserve"> </w:t>
      </w:r>
      <w:r>
        <w:t xml:space="preserve">about 83% of employment.</w:t>
      </w:r>
    </w:p>
    <w:p>
      <w:pPr>
        <w:pStyle w:val="FirstParagraph"/>
      </w:pPr>
      <w:r>
        <w:t xml:space="preserve">BLS’s Occupational Outlook Handbook separately reports a</w:t>
      </w:r>
      <w:r>
        <w:t xml:space="preserve"> </w:t>
      </w:r>
      <w:r>
        <w:rPr>
          <w:bCs/>
          <w:b/>
        </w:rPr>
        <w:t xml:space="preserve">May 2024 median annual wage of US$61,890</w:t>
      </w:r>
      <w:r>
        <w:t xml:space="preserve"> </w:t>
      </w:r>
      <w:r>
        <w:t xml:space="preserve">for the combined technologist/technician occupation and a 2% projected growth rate from 2024 to 2034.</w:t>
      </w:r>
    </w:p>
    <w:p>
      <w:pPr>
        <w:pStyle w:val="BodyText"/>
      </w:pPr>
      <w:r>
        <w:t xml:space="preserve">These are combined-series figures. Do not present them as a technician-only guaranteed wage. Pay varies by state, shift, facility, certification, union status, specialty, experience and responsibility.</w:t>
      </w:r>
    </w:p>
    <w:bookmarkEnd w:id="65"/>
    <w:bookmarkStart w:id="66" w:name="Xa59bbe340cf9f03709ed42b72255e6ffa64c8ad"/>
    <w:p>
      <w:pPr>
        <w:pStyle w:val="Heading2"/>
      </w:pPr>
      <w:r>
        <w:t xml:space="preserve">Current private-market estimates — United States</w:t>
      </w:r>
    </w:p>
    <w:p>
      <w:pPr>
        <w:pStyle w:val="FirstParagraph"/>
      </w:pPr>
      <w:r>
        <w:t xml:space="preserve">Private salary sites use different title matching and data methods. Their numbers are not government statistics.</w:t>
      </w:r>
    </w:p>
    <w:p>
      <w:pPr>
        <w:pStyle w:val="BodyText"/>
      </w:pPr>
      <w:r>
        <w:t xml:space="preserve">ZipRecruiter reported about</w:t>
      </w:r>
      <w:r>
        <w:t xml:space="preserve"> </w:t>
      </w:r>
      <w:r>
        <w:rPr>
          <w:bCs/>
          <w:b/>
        </w:rPr>
        <w:t xml:space="preserve">US$74,374/year (US$35.76/hour)</w:t>
      </w:r>
      <w:r>
        <w:t xml:space="preserve"> </w:t>
      </w:r>
      <w:r>
        <w:t xml:space="preserve">for the market title “Clinical Laboratory Technician” as of August 2, 2026.</w:t>
      </w:r>
    </w:p>
    <w:p>
      <w:pPr>
        <w:pStyle w:val="BodyText"/>
      </w:pPr>
      <w:r>
        <w:t xml:space="preserve">The same site reported about</w:t>
      </w:r>
      <w:r>
        <w:t xml:space="preserve"> </w:t>
      </w:r>
      <w:r>
        <w:rPr>
          <w:bCs/>
          <w:b/>
        </w:rPr>
        <w:t xml:space="preserve">US$46,864/year (US$22.53/hour)</w:t>
      </w:r>
      <w:r>
        <w:t xml:space="preserve"> </w:t>
      </w:r>
      <w:r>
        <w:t xml:space="preserve">for “MLT Lab Technician” as of August 8, 2026.</w:t>
      </w:r>
    </w:p>
    <w:p>
      <w:pPr>
        <w:pStyle w:val="BodyText"/>
      </w:pPr>
      <w:r>
        <w:t xml:space="preserve">Glassdoor displayed a roughly</w:t>
      </w:r>
      <w:r>
        <w:t xml:space="preserve"> </w:t>
      </w:r>
      <w:r>
        <w:rPr>
          <w:bCs/>
          <w:b/>
        </w:rPr>
        <w:t xml:space="preserve">US$60,000 median total-pay estimate</w:t>
      </w:r>
      <w:r>
        <w:t xml:space="preserve"> </w:t>
      </w:r>
      <w:r>
        <w:t xml:space="preserve">for “Clinical Laboratory Technician,” using its own user/model data.</w:t>
      </w:r>
    </w:p>
    <w:p>
      <w:pPr>
        <w:pStyle w:val="BodyText"/>
      </w:pPr>
      <w:r>
        <w:t xml:space="preserve">The wide spread is itself useful information: job titles are inconsistent. Use BLS/O*NET as the primary national benchmark and private sites only as current market context for the exact title and location.</w:t>
      </w:r>
    </w:p>
    <w:bookmarkEnd w:id="66"/>
    <w:bookmarkStart w:id="67" w:name="education-and-entry--united-states"/>
    <w:p>
      <w:pPr>
        <w:pStyle w:val="Heading2"/>
      </w:pPr>
      <w:r>
        <w:t xml:space="preserve">Education and entry — United States</w:t>
      </w:r>
    </w:p>
    <w:p>
      <w:pPr>
        <w:pStyle w:val="FirstParagraph"/>
      </w:pPr>
      <w:r>
        <w:t xml:space="preserve">BLS states that clinical laboratory technicians sometimes qualify with an associate degree, while technologists more often require a bachelor’s degree. Some states require licensure, and employers may prefer certification.</w:t>
      </w:r>
    </w:p>
    <w:p>
      <w:pPr>
        <w:pStyle w:val="BodyText"/>
      </w:pPr>
      <w:r>
        <w:t xml:space="preserve">NAACLS identifies an associate-degree route for Medical Laboratory Technician education and accredits MLT programs. A good program should provide structured laboratory science, quality, safety and supervised clinical learning rather than only online theory.</w:t>
      </w:r>
    </w:p>
    <w:p>
      <w:pPr>
        <w:pStyle w:val="BodyText"/>
      </w:pPr>
      <w:r>
        <w:t xml:space="preserve">Before enrolling, verify:</w:t>
      </w:r>
    </w:p>
    <w:p>
      <w:pPr>
        <w:numPr>
          <w:ilvl w:val="0"/>
          <w:numId w:val="1021"/>
        </w:numPr>
        <w:pStyle w:val="Compact"/>
      </w:pPr>
      <w:r>
        <w:t xml:space="preserve">program accreditation or recognized approval;</w:t>
      </w:r>
    </w:p>
    <w:p>
      <w:pPr>
        <w:numPr>
          <w:ilvl w:val="0"/>
          <w:numId w:val="1021"/>
        </w:numPr>
        <w:pStyle w:val="Compact"/>
      </w:pPr>
      <w:r>
        <w:t xml:space="preserve">whether clinical placement is included;</w:t>
      </w:r>
    </w:p>
    <w:p>
      <w:pPr>
        <w:numPr>
          <w:ilvl w:val="0"/>
          <w:numId w:val="1021"/>
        </w:numPr>
        <w:pStyle w:val="Compact"/>
      </w:pPr>
      <w:r>
        <w:t xml:space="preserve">eligibility for any certification exam you intend to take;</w:t>
      </w:r>
    </w:p>
    <w:p>
      <w:pPr>
        <w:numPr>
          <w:ilvl w:val="0"/>
          <w:numId w:val="1021"/>
        </w:numPr>
        <w:pStyle w:val="Compact"/>
      </w:pPr>
      <w:r>
        <w:t xml:space="preserve">state licensing requirements where you plan to work;</w:t>
      </w:r>
    </w:p>
    <w:p>
      <w:pPr>
        <w:numPr>
          <w:ilvl w:val="0"/>
          <w:numId w:val="1021"/>
        </w:numPr>
        <w:pStyle w:val="Compact"/>
      </w:pPr>
      <w:r>
        <w:t xml:space="preserve">total tuition and fees;</w:t>
      </w:r>
    </w:p>
    <w:p>
      <w:pPr>
        <w:numPr>
          <w:ilvl w:val="0"/>
          <w:numId w:val="1021"/>
        </w:numPr>
        <w:pStyle w:val="Compact"/>
      </w:pPr>
      <w:r>
        <w:t xml:space="preserve">background-check, immunization, drug-screen or clinical-site requirements;</w:t>
      </w:r>
    </w:p>
    <w:p>
      <w:pPr>
        <w:numPr>
          <w:ilvl w:val="0"/>
          <w:numId w:val="1021"/>
        </w:numPr>
        <w:pStyle w:val="Compact"/>
      </w:pPr>
      <w:r>
        <w:t xml:space="preserve">schedule and commute;</w:t>
      </w:r>
    </w:p>
    <w:p>
      <w:pPr>
        <w:numPr>
          <w:ilvl w:val="0"/>
          <w:numId w:val="1021"/>
        </w:numPr>
        <w:pStyle w:val="Compact"/>
      </w:pPr>
      <w:r>
        <w:t xml:space="preserve">graduation and certification outcomes where available;</w:t>
      </w:r>
    </w:p>
    <w:p>
      <w:pPr>
        <w:numPr>
          <w:ilvl w:val="0"/>
          <w:numId w:val="1021"/>
        </w:numPr>
        <w:pStyle w:val="Compact"/>
      </w:pPr>
      <w:r>
        <w:t xml:space="preserve">whether credits transfer if you later pursue MLS or another degree.</w:t>
      </w:r>
    </w:p>
    <w:bookmarkEnd w:id="67"/>
    <w:bookmarkStart w:id="68" w:name="certification--united-states"/>
    <w:p>
      <w:pPr>
        <w:pStyle w:val="Heading2"/>
      </w:pPr>
      <w:r>
        <w:t xml:space="preserve">Certification — United States</w:t>
      </w:r>
    </w:p>
    <w:p>
      <w:pPr>
        <w:pStyle w:val="FirstParagraph"/>
      </w:pPr>
      <w:r>
        <w:t xml:space="preserve">ASCP Board of Certification is one major credentialing organization. Its current</w:t>
      </w:r>
      <w:r>
        <w:t xml:space="preserve"> </w:t>
      </w:r>
      <w:r>
        <w:rPr>
          <w:bCs/>
          <w:b/>
        </w:rPr>
        <w:t xml:space="preserve">MLT(ASCP)</w:t>
      </w:r>
      <w:r>
        <w:t xml:space="preserve"> </w:t>
      </w:r>
      <w:r>
        <w:t xml:space="preserve">routes include, among other options, an associate degree/60 semester hours plus recent completion of a NAACLS- or ABHES-accredited MLT program. Other routes exist for qualifying military training or clinical experience.</w:t>
      </w:r>
    </w:p>
    <w:p>
      <w:pPr>
        <w:pStyle w:val="BodyText"/>
      </w:pPr>
      <w:r>
        <w:t xml:space="preserve">Certification requirements and legal licensure are not the same thing. A credential may be preferred by an employer even where state licensure is not required; a state may also impose requirements beyond a national certification.</w:t>
      </w:r>
    </w:p>
    <w:p>
      <w:pPr>
        <w:pStyle w:val="BodyText"/>
      </w:pPr>
      <w:r>
        <w:t xml:space="preserve">Verify the exact current requirements before paying examination or education fees.</w:t>
      </w:r>
    </w:p>
    <w:bookmarkEnd w:id="68"/>
    <w:bookmarkStart w:id="70" w:name="X83c805ada0fd5fa3c76e0e000589fa51d205325"/>
    <w:p>
      <w:pPr>
        <w:pStyle w:val="Heading2"/>
      </w:pPr>
      <w:r>
        <w:t xml:space="preserve">WIOA, community colleges and lower-cost U.S. pathways</w:t>
      </w:r>
    </w:p>
    <w:p>
      <w:pPr>
        <w:pStyle w:val="FirstParagraph"/>
      </w:pPr>
      <w:r>
        <w:t xml:space="preserve">CareerOneStop provides a state-by-state WIOA-Eligible Training Program Finder:</w:t>
      </w:r>
    </w:p>
    <w:p>
      <w:pPr>
        <w:pStyle w:val="BodyText"/>
      </w:pPr>
      <w:hyperlink r:id="rId69">
        <w:hyperlink r:id="rId69">
          <w:r>
            <w:rPr>
              <w:rStyle w:val="Hyperlink"/>
            </w:rPr>
            <w:t xml:space="preserve">Source link</w:t>
          </w:r>
        </w:hyperlink>
      </w:hyperlink>
    </w:p>
    <w:p>
      <w:pPr>
        <w:pStyle w:val="BodyText"/>
      </w:pPr>
      <w:r>
        <w:t xml:space="preserve">WIOA funding is not automatic. Eligibility and covered programs vary by person and state. Ask an American Job Center whether a local accredited MLT program appears on the eligible training provider list and whether supportive services are available.</w:t>
      </w:r>
    </w:p>
    <w:p>
      <w:pPr>
        <w:pStyle w:val="BodyText"/>
      </w:pPr>
      <w:r>
        <w:t xml:space="preserve">Also compare:</w:t>
      </w:r>
    </w:p>
    <w:p>
      <w:pPr>
        <w:numPr>
          <w:ilvl w:val="0"/>
          <w:numId w:val="1022"/>
        </w:numPr>
        <w:pStyle w:val="Compact"/>
      </w:pPr>
      <w:r>
        <w:t xml:space="preserve">public community colleges;</w:t>
      </w:r>
    </w:p>
    <w:p>
      <w:pPr>
        <w:numPr>
          <w:ilvl w:val="0"/>
          <w:numId w:val="1022"/>
        </w:numPr>
        <w:pStyle w:val="Compact"/>
      </w:pPr>
      <w:r>
        <w:t xml:space="preserve">federal/state student aid where eligible;</w:t>
      </w:r>
    </w:p>
    <w:p>
      <w:pPr>
        <w:numPr>
          <w:ilvl w:val="0"/>
          <w:numId w:val="1022"/>
        </w:numPr>
        <w:pStyle w:val="Compact"/>
      </w:pPr>
      <w:r>
        <w:t xml:space="preserve">scholarships from hospitals, foundations or professional associations;</w:t>
      </w:r>
    </w:p>
    <w:p>
      <w:pPr>
        <w:numPr>
          <w:ilvl w:val="0"/>
          <w:numId w:val="1022"/>
        </w:numPr>
        <w:pStyle w:val="Compact"/>
      </w:pPr>
      <w:r>
        <w:t xml:space="preserve">employer tuition assistance;</w:t>
      </w:r>
    </w:p>
    <w:p>
      <w:pPr>
        <w:numPr>
          <w:ilvl w:val="0"/>
          <w:numId w:val="1022"/>
        </w:numPr>
        <w:pStyle w:val="Compact"/>
      </w:pPr>
      <w:r>
        <w:t xml:space="preserve">hospital education partnerships;</w:t>
      </w:r>
    </w:p>
    <w:p>
      <w:pPr>
        <w:numPr>
          <w:ilvl w:val="0"/>
          <w:numId w:val="1022"/>
        </w:numPr>
        <w:pStyle w:val="Compact"/>
      </w:pPr>
      <w:r>
        <w:t xml:space="preserve">military medical laboratory pathways;</w:t>
      </w:r>
    </w:p>
    <w:p>
      <w:pPr>
        <w:numPr>
          <w:ilvl w:val="0"/>
          <w:numId w:val="1022"/>
        </w:numPr>
        <w:pStyle w:val="Compact"/>
      </w:pPr>
      <w:r>
        <w:t xml:space="preserve">paid clinical placements where available;</w:t>
      </w:r>
    </w:p>
    <w:p>
      <w:pPr>
        <w:numPr>
          <w:ilvl w:val="0"/>
          <w:numId w:val="1022"/>
        </w:numPr>
        <w:pStyle w:val="Compact"/>
      </w:pPr>
      <w:r>
        <w:t xml:space="preserve">employer-sponsored advancement from specimen processing, phlebotomy or laboratory assistant roles.</w:t>
      </w:r>
    </w:p>
    <w:bookmarkEnd w:id="70"/>
    <w:bookmarkStart w:id="72" w:name="X3a55dc86c870da89799d1b2fcc5bd01cfc5e828"/>
    <w:p>
      <w:pPr>
        <w:pStyle w:val="Heading2"/>
      </w:pPr>
      <w:r>
        <w:t xml:space="preserve">Registered apprenticeship and work-based learning — United States</w:t>
      </w:r>
    </w:p>
    <w:p>
      <w:pPr>
        <w:pStyle w:val="FirstParagraph"/>
      </w:pPr>
      <w:r>
        <w:t xml:space="preserve">O*NET currently lists apprenticeable titles related to Medical and Clinical Laboratory Technicians, including Medical &amp; Clinical Lab Technician and Medical-Laboratory Technician.</w:t>
      </w:r>
    </w:p>
    <w:p>
      <w:pPr>
        <w:pStyle w:val="BodyText"/>
      </w:pPr>
      <w:r>
        <w:t xml:space="preserve">Search current opportunities at:</w:t>
      </w:r>
    </w:p>
    <w:p>
      <w:pPr>
        <w:pStyle w:val="BodyText"/>
      </w:pPr>
      <w:hyperlink r:id="rId71">
        <w:r>
          <w:rPr>
            <w:rStyle w:val="Hyperlink"/>
          </w:rPr>
          <w:t xml:space="preserve">https://www.apprenticeship.gov/</w:t>
        </w:r>
      </w:hyperlink>
    </w:p>
    <w:p>
      <w:pPr>
        <w:pStyle w:val="BodyText"/>
      </w:pPr>
      <w:r>
        <w:t xml:space="preserve">A title being apprenticeable does not mean a Registered Apprenticeship opening exists in every state or employer. Verify the sponsor, occupation, paid-work structure, education component and eligibility before relying on this route.</w:t>
      </w:r>
    </w:p>
    <w:bookmarkEnd w:id="72"/>
    <w:bookmarkStart w:id="75" w:name="canada--two-comparison-paths"/>
    <w:p>
      <w:pPr>
        <w:pStyle w:val="Heading2"/>
      </w:pPr>
      <w:r>
        <w:t xml:space="preserve">Canada — two comparison paths</w:t>
      </w:r>
    </w:p>
    <w:p>
      <w:pPr>
        <w:pStyle w:val="FirstParagraph"/>
      </w:pPr>
      <w:r>
        <w:t xml:space="preserve">The U.S. “clinical laboratory technician” title should not be translated into one Canadian occupation without checking duties.</w:t>
      </w:r>
    </w:p>
    <w:bookmarkStart w:id="73" w:name="X02ebf67d38c4fae52abf1793fd0ded551d40a55"/>
    <w:p>
      <w:pPr>
        <w:pStyle w:val="Heading3"/>
      </w:pPr>
      <w:r>
        <w:t xml:space="preserve">NOC 32120 — Medical laboratory technologists</w:t>
      </w:r>
    </w:p>
    <w:p>
      <w:pPr>
        <w:pStyle w:val="FirstParagraph"/>
      </w:pPr>
      <w:r>
        <w:t xml:space="preserve">Job Bank describes medical laboratory technologists as conducting medical laboratory tests, experiments and analyses that support diagnosis, treatment, monitoring and prevention of disease.</w:t>
      </w:r>
    </w:p>
    <w:p>
      <w:pPr>
        <w:pStyle w:val="BodyText"/>
      </w:pPr>
      <w:r>
        <w:t xml:space="preserve">Current national Job Bank wages, updated November 19, 2025:</w:t>
      </w:r>
    </w:p>
    <w:p>
      <w:pPr>
        <w:numPr>
          <w:ilvl w:val="0"/>
          <w:numId w:val="1023"/>
        </w:numPr>
        <w:pStyle w:val="Compact"/>
      </w:pPr>
      <w:r>
        <w:rPr>
          <w:bCs/>
          <w:b/>
        </w:rPr>
        <w:t xml:space="preserve">low:</w:t>
      </w:r>
      <w:r>
        <w:t xml:space="preserve"> </w:t>
      </w:r>
      <w:r>
        <w:t xml:space="preserve">C$25.13/hour;</w:t>
      </w:r>
    </w:p>
    <w:p>
      <w:pPr>
        <w:numPr>
          <w:ilvl w:val="0"/>
          <w:numId w:val="1023"/>
        </w:numPr>
        <w:pStyle w:val="Compact"/>
      </w:pPr>
      <w:r>
        <w:rPr>
          <w:bCs/>
          <w:b/>
        </w:rPr>
        <w:t xml:space="preserve">median:</w:t>
      </w:r>
      <w:r>
        <w:t xml:space="preserve"> </w:t>
      </w:r>
      <w:r>
        <w:t xml:space="preserve">C$39.00/hour;</w:t>
      </w:r>
    </w:p>
    <w:p>
      <w:pPr>
        <w:numPr>
          <w:ilvl w:val="0"/>
          <w:numId w:val="1023"/>
        </w:numPr>
        <w:pStyle w:val="Compact"/>
      </w:pPr>
      <w:r>
        <w:rPr>
          <w:bCs/>
          <w:b/>
        </w:rPr>
        <w:t xml:space="preserve">high:</w:t>
      </w:r>
      <w:r>
        <w:t xml:space="preserve"> </w:t>
      </w:r>
      <w:r>
        <w:t xml:space="preserve">C$49.00/hour.</w:t>
      </w:r>
    </w:p>
    <w:p>
      <w:pPr>
        <w:pStyle w:val="FirstParagraph"/>
      </w:pPr>
      <w:r>
        <w:t xml:space="preserve">Job Bank states that a two- or three-year college program in medical laboratory technology is typically required and supervised practical training may be required. Registration is required in specified regulated provinces, and CSMLS certification is usually required by employers.</w:t>
      </w:r>
    </w:p>
    <w:p>
      <w:pPr>
        <w:pStyle w:val="BodyText"/>
      </w:pPr>
      <w:r>
        <w:t xml:space="preserve">CSMLS describes Canadian MLT programs as typically three to four years in an EQual-accredited program and administers national certification. Because provincial regulation changes, verify directly with the current provincial regulator and current Job Bank/CSMLS sources.</w:t>
      </w:r>
    </w:p>
    <w:bookmarkEnd w:id="73"/>
    <w:bookmarkStart w:id="74" w:name="Xce3e521203ff0c72f74b528b340c3092fa29df1"/>
    <w:p>
      <w:pPr>
        <w:pStyle w:val="Heading3"/>
      </w:pPr>
      <w:r>
        <w:t xml:space="preserve">NOC 33101 — Medical laboratory assistants and related technical occupations</w:t>
      </w:r>
    </w:p>
    <w:p>
      <w:pPr>
        <w:pStyle w:val="FirstParagraph"/>
      </w:pPr>
      <w:r>
        <w:t xml:space="preserve">This can be a closer comparison for pre-analytical or narrower technical roles. Job Bank describes work such as collecting blood or other specimens, processing samples, preparing reagents, conducting routine laboratory tests and maintaining equipment.</w:t>
      </w:r>
    </w:p>
    <w:p>
      <w:pPr>
        <w:pStyle w:val="BodyText"/>
      </w:pPr>
      <w:r>
        <w:t xml:space="preserve">Current national Job Bank wages, updated November 19, 2025:</w:t>
      </w:r>
    </w:p>
    <w:p>
      <w:pPr>
        <w:numPr>
          <w:ilvl w:val="0"/>
          <w:numId w:val="1024"/>
        </w:numPr>
        <w:pStyle w:val="Compact"/>
      </w:pPr>
      <w:r>
        <w:rPr>
          <w:bCs/>
          <w:b/>
        </w:rPr>
        <w:t xml:space="preserve">low:</w:t>
      </w:r>
      <w:r>
        <w:t xml:space="preserve"> </w:t>
      </w:r>
      <w:r>
        <w:t xml:space="preserve">C$19.18/hour;</w:t>
      </w:r>
    </w:p>
    <w:p>
      <w:pPr>
        <w:numPr>
          <w:ilvl w:val="0"/>
          <w:numId w:val="1024"/>
        </w:numPr>
        <w:pStyle w:val="Compact"/>
      </w:pPr>
      <w:r>
        <w:rPr>
          <w:bCs/>
          <w:b/>
        </w:rPr>
        <w:t xml:space="preserve">median:</w:t>
      </w:r>
      <w:r>
        <w:t xml:space="preserve"> </w:t>
      </w:r>
      <w:r>
        <w:t xml:space="preserve">C$27.00/hour;</w:t>
      </w:r>
    </w:p>
    <w:p>
      <w:pPr>
        <w:numPr>
          <w:ilvl w:val="0"/>
          <w:numId w:val="1024"/>
        </w:numPr>
        <w:pStyle w:val="Compact"/>
      </w:pPr>
      <w:r>
        <w:rPr>
          <w:bCs/>
          <w:b/>
        </w:rPr>
        <w:t xml:space="preserve">high:</w:t>
      </w:r>
      <w:r>
        <w:t xml:space="preserve"> </w:t>
      </w:r>
      <w:r>
        <w:t xml:space="preserve">C$36.11/hour.</w:t>
      </w:r>
    </w:p>
    <w:p>
      <w:pPr>
        <w:pStyle w:val="FirstParagraph"/>
      </w:pPr>
      <w:r>
        <w:t xml:space="preserve">Job Bank describes typical preparation as postsecondary education/apprenticeship of less than two years or more than six months of on-the-job training, depending on the role. CSMLS describes MLA programs as commonly about 9–12 months and offers MLA certification.</w:t>
      </w:r>
    </w:p>
    <w:p>
      <w:pPr>
        <w:pStyle w:val="BodyText"/>
      </w:pPr>
      <w:r>
        <w:t xml:space="preserve">Do not claim that the MLA route is equivalent to an MLT credential.</w:t>
      </w:r>
    </w:p>
    <w:bookmarkEnd w:id="74"/>
    <w:bookmarkEnd w:id="75"/>
    <w:bookmarkStart w:id="77" w:name="X77797c99fafdb96357b4dcb750b10f915ed5f27"/>
    <w:p>
      <w:pPr>
        <w:pStyle w:val="Heading2"/>
      </w:pPr>
      <w:r>
        <w:t xml:space="preserve">Canada training and financial-support gateway</w:t>
      </w:r>
    </w:p>
    <w:p>
      <w:pPr>
        <w:pStyle w:val="FirstParagraph"/>
      </w:pPr>
      <w:r>
        <w:t xml:space="preserve">Government of Canada provides a current training gateway with links to recognized training, student loans/grants, employment supports, skills programs and foreign credential recognition:</w:t>
      </w:r>
    </w:p>
    <w:p>
      <w:pPr>
        <w:pStyle w:val="BodyText"/>
      </w:pPr>
      <w:hyperlink r:id="rId76">
        <w:hyperlink r:id="rId76">
          <w:r>
            <w:rPr>
              <w:rStyle w:val="Hyperlink"/>
            </w:rPr>
            <w:t xml:space="preserve">Source link</w:t>
          </w:r>
        </w:hyperlink>
      </w:hyperlink>
    </w:p>
    <w:p>
      <w:pPr>
        <w:pStyle w:val="BodyText"/>
      </w:pPr>
      <w:r>
        <w:t xml:space="preserve">Eligibility varies. For a regulated health occupation, financial aid does not replace credential recognition or provincial registration.</w:t>
      </w:r>
    </w:p>
    <w:bookmarkEnd w:id="77"/>
    <w:bookmarkStart w:id="79" w:name="colombia--cuoc-32120"/>
    <w:p>
      <w:pPr>
        <w:pStyle w:val="Heading2"/>
      </w:pPr>
      <w:r>
        <w:t xml:space="preserve">Colombia — CUOC 32120</w:t>
      </w:r>
    </w:p>
    <w:p>
      <w:pPr>
        <w:pStyle w:val="FirstParagraph"/>
      </w:pPr>
      <w:r>
        <w:t xml:space="preserve">OCUPACOL identifies</w:t>
      </w:r>
      <w:r>
        <w:t xml:space="preserve"> </w:t>
      </w:r>
      <w:r>
        <w:rPr>
          <w:bCs/>
          <w:b/>
        </w:rPr>
        <w:t xml:space="preserve">CUOC 32120 — Técnicos de laboratorios médicos</w:t>
      </w:r>
      <w:r>
        <w:t xml:space="preserve">, competence level 3.</w:t>
      </w:r>
    </w:p>
    <w:p>
      <w:pPr>
        <w:pStyle w:val="BodyText"/>
      </w:pPr>
      <w:r>
        <w:t xml:space="preserve">Occupational titles include:</w:t>
      </w:r>
    </w:p>
    <w:p>
      <w:pPr>
        <w:numPr>
          <w:ilvl w:val="0"/>
          <w:numId w:val="1025"/>
        </w:numPr>
        <w:pStyle w:val="Compact"/>
      </w:pPr>
      <w:r>
        <w:t xml:space="preserve">Técnico de laboratorio clínico;</w:t>
      </w:r>
    </w:p>
    <w:p>
      <w:pPr>
        <w:numPr>
          <w:ilvl w:val="0"/>
          <w:numId w:val="1025"/>
        </w:numPr>
        <w:pStyle w:val="Compact"/>
      </w:pPr>
      <w:r>
        <w:t xml:space="preserve">Técnico de laboratorio médico;</w:t>
      </w:r>
    </w:p>
    <w:p>
      <w:pPr>
        <w:numPr>
          <w:ilvl w:val="0"/>
          <w:numId w:val="1025"/>
        </w:numPr>
        <w:pStyle w:val="Compact"/>
      </w:pPr>
      <w:r>
        <w:t xml:space="preserve">Técnico de hematología;</w:t>
      </w:r>
    </w:p>
    <w:p>
      <w:pPr>
        <w:numPr>
          <w:ilvl w:val="0"/>
          <w:numId w:val="1025"/>
        </w:numPr>
        <w:pStyle w:val="Compact"/>
      </w:pPr>
      <w:r>
        <w:t xml:space="preserve">Técnico de histología;</w:t>
      </w:r>
    </w:p>
    <w:p>
      <w:pPr>
        <w:numPr>
          <w:ilvl w:val="0"/>
          <w:numId w:val="1025"/>
        </w:numPr>
        <w:pStyle w:val="Compact"/>
      </w:pPr>
      <w:r>
        <w:t xml:space="preserve">Técnico de banco de sangre;</w:t>
      </w:r>
    </w:p>
    <w:p>
      <w:pPr>
        <w:numPr>
          <w:ilvl w:val="0"/>
          <w:numId w:val="1025"/>
        </w:numPr>
        <w:pStyle w:val="Compact"/>
      </w:pPr>
      <w:r>
        <w:t xml:space="preserve">Técnico de citología;</w:t>
      </w:r>
    </w:p>
    <w:p>
      <w:pPr>
        <w:numPr>
          <w:ilvl w:val="0"/>
          <w:numId w:val="1025"/>
        </w:numPr>
        <w:pStyle w:val="Compact"/>
      </w:pPr>
      <w:r>
        <w:t xml:space="preserve">other related technical titles.</w:t>
      </w:r>
    </w:p>
    <w:p>
      <w:pPr>
        <w:pStyle w:val="FirstParagraph"/>
      </w:pPr>
      <w:r>
        <w:t xml:space="preserve">OCUPACOL describes duties such as specimen collection and preparation, assisting chemical analysis of body fluids, laboratory data/sample analysis, slide staining and supporting pathology-related procedures under applicable protocols and supervision.</w:t>
      </w:r>
    </w:p>
    <w:p>
      <w:pPr>
        <w:pStyle w:val="BodyText"/>
      </w:pPr>
      <w:r>
        <w:t xml:space="preserve">Source:</w:t>
      </w:r>
    </w:p>
    <w:p>
      <w:pPr>
        <w:pStyle w:val="BodyText"/>
      </w:pPr>
      <w:hyperlink r:id="rId78">
        <w:hyperlink r:id="rId78">
          <w:r>
            <w:rPr>
              <w:rStyle w:val="Hyperlink"/>
            </w:rPr>
            <w:t xml:space="preserve">Source link</w:t>
          </w:r>
        </w:hyperlink>
      </w:hyperlink>
    </w:p>
    <w:p>
      <w:pPr>
        <w:pStyle w:val="BodyText"/>
      </w:pPr>
      <w:r>
        <w:t xml:space="preserve">This is an occupational classification, not a personal license or authorization to perform every listed task.</w:t>
      </w:r>
    </w:p>
    <w:bookmarkEnd w:id="79"/>
    <w:bookmarkStart w:id="81" w:name="colombia--cuoc-53294"/>
    <w:p>
      <w:pPr>
        <w:pStyle w:val="Heading2"/>
      </w:pPr>
      <w:r>
        <w:t xml:space="preserve">Colombia — CUOC 53294</w:t>
      </w:r>
    </w:p>
    <w:p>
      <w:pPr>
        <w:pStyle w:val="FirstParagraph"/>
      </w:pPr>
      <w:r>
        <w:t xml:space="preserve">OCUPACOL separately identifies</w:t>
      </w:r>
      <w:r>
        <w:t xml:space="preserve"> </w:t>
      </w:r>
      <w:r>
        <w:rPr>
          <w:bCs/>
          <w:b/>
        </w:rPr>
        <w:t xml:space="preserve">CUOC 53294 — Auxiliares de laboratorio clínico</w:t>
      </w:r>
      <w:r>
        <w:t xml:space="preserve">, competence level 2.</w:t>
      </w:r>
    </w:p>
    <w:p>
      <w:pPr>
        <w:pStyle w:val="BodyText"/>
      </w:pPr>
      <w:r>
        <w:t xml:space="preserve">Functions include receiving/taking samples, preparing laboratory materials, instructing users on sample collection, preparing samples for culture, maintaining records, verifying labeling/transport and caring for equipment.</w:t>
      </w:r>
    </w:p>
    <w:p>
      <w:pPr>
        <w:pStyle w:val="BodyText"/>
      </w:pPr>
      <w:r>
        <w:t xml:space="preserve">Source:</w:t>
      </w:r>
    </w:p>
    <w:p>
      <w:pPr>
        <w:pStyle w:val="BodyText"/>
      </w:pPr>
      <w:hyperlink r:id="rId80">
        <w:hyperlink r:id="rId80">
          <w:r>
            <w:rPr>
              <w:rStyle w:val="Hyperlink"/>
            </w:rPr>
            <w:t xml:space="preserve">Source link</w:t>
          </w:r>
        </w:hyperlink>
      </w:hyperlink>
    </w:p>
    <w:p>
      <w:pPr>
        <w:pStyle w:val="BodyText"/>
      </w:pPr>
      <w:r>
        <w:t xml:space="preserve">Keep the auxiliary and technical routes distinct. Neither classification should be used to claim the professional authority of a bacteriologist, pathologist, physician, laboratory director or another separately regulated health professional.</w:t>
      </w:r>
    </w:p>
    <w:bookmarkEnd w:id="81"/>
    <w:bookmarkStart w:id="83" w:name="Xb5704c7d8bb895a8d80652329f936e3f1108091"/>
    <w:p>
      <w:pPr>
        <w:pStyle w:val="Heading2"/>
      </w:pPr>
      <w:r>
        <w:t xml:space="preserve">Colombia — current SENA complementary learning</w:t>
      </w:r>
    </w:p>
    <w:p>
      <w:pPr>
        <w:pStyle w:val="FirstParagraph"/>
      </w:pPr>
      <w:r>
        <w:t xml:space="preserve">SENA Betowa currently lists</w:t>
      </w:r>
      <w:r>
        <w:t xml:space="preserve"> </w:t>
      </w:r>
      <w:r>
        <w:rPr>
          <w:bCs/>
          <w:b/>
        </w:rPr>
        <w:t xml:space="preserve">Toma de muestras para procesamiento en el laboratorio clínico</w:t>
      </w:r>
      <w:r>
        <w:t xml:space="preserve">, a</w:t>
      </w:r>
      <w:r>
        <w:t xml:space="preserve"> </w:t>
      </w:r>
      <w:r>
        <w:rPr>
          <w:bCs/>
          <w:b/>
        </w:rPr>
        <w:t xml:space="preserve">48-hour complementary special course</w:t>
      </w:r>
      <w:r>
        <w:t xml:space="preserve">. The August 2026 Bogotá offering requires the applicant to be a technician or auxiliary in nursing, provide an institutional presentation letter and complete the center’s selection process.</w:t>
      </w:r>
    </w:p>
    <w:p>
      <w:pPr>
        <w:pStyle w:val="BodyText"/>
      </w:pPr>
      <w:r>
        <w:t xml:space="preserve">Source:</w:t>
      </w:r>
    </w:p>
    <w:p>
      <w:pPr>
        <w:pStyle w:val="BodyText"/>
      </w:pPr>
      <w:hyperlink r:id="rId82">
        <w:hyperlink r:id="rId82">
          <w:r>
            <w:rPr>
              <w:rStyle w:val="Hyperlink"/>
            </w:rPr>
            <w:t xml:space="preserve">Source link</w:t>
          </w:r>
        </w:hyperlink>
      </w:hyperlink>
    </w:p>
    <w:p>
      <w:pPr>
        <w:pStyle w:val="BodyText"/>
      </w:pPr>
      <w:r>
        <w:t xml:space="preserve">This course can strengthen a specific delegated skill. It is not a complete clinical laboratory technician qualification. SENA offerings, prerequisites, locations and dates change, so verify the live Betowa listing.</w:t>
      </w:r>
    </w:p>
    <w:bookmarkEnd w:id="83"/>
    <w:bookmarkStart w:id="85" w:name="latin-america-and-caribbean-pathway"/>
    <w:p>
      <w:pPr>
        <w:pStyle w:val="Heading2"/>
      </w:pPr>
      <w:r>
        <w:t xml:space="preserve">Latin America and Caribbean pathway</w:t>
      </w:r>
    </w:p>
    <w:p>
      <w:pPr>
        <w:pStyle w:val="FirstParagraph"/>
      </w:pPr>
      <w:r>
        <w:t xml:space="preserve">OIT/Cinterfor provides a country/institution observatory for vocational-training and competency-certification organizations across Latin America and the Caribbean:</w:t>
      </w:r>
    </w:p>
    <w:p>
      <w:pPr>
        <w:pStyle w:val="BodyText"/>
      </w:pPr>
      <w:hyperlink r:id="rId84">
        <w:r>
          <w:rPr>
            <w:rStyle w:val="Hyperlink"/>
          </w:rPr>
          <w:t xml:space="preserve">https://www.oitcinterfor.org/statsfp/paises</w:t>
        </w:r>
      </w:hyperlink>
    </w:p>
    <w:p>
      <w:pPr>
        <w:pStyle w:val="BodyText"/>
      </w:pPr>
      <w:r>
        <w:t xml:space="preserve">Use it to locate national training institutions. Then verify the health-program level, clinical practice requirements, government recognition, legal scope, licensing/registration and employer acceptance in the specific country.</w:t>
      </w:r>
    </w:p>
    <w:bookmarkEnd w:id="85"/>
    <w:bookmarkStart w:id="86" w:name="a-lower-cost-learning-sequence"/>
    <w:p>
      <w:pPr>
        <w:pStyle w:val="Heading2"/>
      </w:pPr>
      <w:r>
        <w:t xml:space="preserve">A lower-cost learning sequence</w:t>
      </w:r>
    </w:p>
    <w:p>
      <w:pPr>
        <w:pStyle w:val="FirstParagraph"/>
      </w:pPr>
      <w:r>
        <w:t xml:space="preserve">Do not collect random certificates. Build capability in an order that supports safe entry.</w:t>
      </w:r>
    </w:p>
    <w:p>
      <w:pPr>
        <w:numPr>
          <w:ilvl w:val="0"/>
          <w:numId w:val="1026"/>
        </w:numPr>
        <w:pStyle w:val="Compact"/>
      </w:pPr>
      <w:r>
        <w:rPr>
          <w:bCs/>
          <w:b/>
        </w:rPr>
        <w:t xml:space="preserve">Science foundation:</w:t>
      </w:r>
      <w:r>
        <w:t xml:space="preserve"> </w:t>
      </w:r>
      <w:r>
        <w:t xml:space="preserve">biology, chemistry, math, units, ratios, percentages, dilutions and basic statistics.</w:t>
      </w:r>
    </w:p>
    <w:p>
      <w:pPr>
        <w:numPr>
          <w:ilvl w:val="0"/>
          <w:numId w:val="1026"/>
        </w:numPr>
        <w:pStyle w:val="Compact"/>
      </w:pPr>
      <w:r>
        <w:rPr>
          <w:bCs/>
          <w:b/>
        </w:rPr>
        <w:t xml:space="preserve">Specimen foundation:</w:t>
      </w:r>
      <w:r>
        <w:t xml:space="preserve"> </w:t>
      </w:r>
      <w:r>
        <w:t xml:space="preserve">patient/specimen identification, collection basics, containers, transport, pre-analytical errors and chain of custody where applicable.</w:t>
      </w:r>
    </w:p>
    <w:p>
      <w:pPr>
        <w:numPr>
          <w:ilvl w:val="0"/>
          <w:numId w:val="1026"/>
        </w:numPr>
        <w:pStyle w:val="Compact"/>
      </w:pPr>
      <w:r>
        <w:rPr>
          <w:bCs/>
          <w:b/>
        </w:rPr>
        <w:t xml:space="preserve">Laboratory safety:</w:t>
      </w:r>
      <w:r>
        <w:t xml:space="preserve"> </w:t>
      </w:r>
      <w:r>
        <w:t xml:space="preserve">bloodborne pathogens, sharps, PPE, chemical labels/SDS, spill response, waste and exposure reporting.</w:t>
      </w:r>
    </w:p>
    <w:p>
      <w:pPr>
        <w:numPr>
          <w:ilvl w:val="0"/>
          <w:numId w:val="1026"/>
        </w:numPr>
        <w:pStyle w:val="Compact"/>
      </w:pPr>
      <w:r>
        <w:rPr>
          <w:bCs/>
          <w:b/>
        </w:rPr>
        <w:t xml:space="preserve">Quality foundation:</w:t>
      </w:r>
      <w:r>
        <w:t xml:space="preserve"> </w:t>
      </w:r>
      <w:r>
        <w:t xml:space="preserve">QC, calibration, reference/reportable ranges, documentation, deviations, proficiency testing, corrective action and data integrity.</w:t>
      </w:r>
    </w:p>
    <w:p>
      <w:pPr>
        <w:numPr>
          <w:ilvl w:val="0"/>
          <w:numId w:val="1026"/>
        </w:numPr>
        <w:pStyle w:val="Compact"/>
      </w:pPr>
      <w:r>
        <w:rPr>
          <w:bCs/>
          <w:b/>
        </w:rPr>
        <w:t xml:space="preserve">Digital foundation:</w:t>
      </w:r>
      <w:r>
        <w:t xml:space="preserve"> </w:t>
      </w:r>
      <w:r>
        <w:t xml:space="preserve">LIS concepts, spreadsheets, secure records, barcode workflows, privacy and cybersecurity.</w:t>
      </w:r>
    </w:p>
    <w:p>
      <w:pPr>
        <w:numPr>
          <w:ilvl w:val="0"/>
          <w:numId w:val="1026"/>
        </w:numPr>
        <w:pStyle w:val="Compact"/>
      </w:pPr>
      <w:r>
        <w:rPr>
          <w:bCs/>
          <w:b/>
        </w:rPr>
        <w:t xml:space="preserve">Recognized occupational program:</w:t>
      </w:r>
      <w:r>
        <w:t xml:space="preserve"> </w:t>
      </w:r>
      <w:r>
        <w:t xml:space="preserve">choose an accredited/recognized MLT, MLA or jurisdiction-specific technical program that matches the role you actually want.</w:t>
      </w:r>
    </w:p>
    <w:p>
      <w:pPr>
        <w:pStyle w:val="FirstParagraph"/>
      </w:pPr>
      <w:r>
        <w:t xml:space="preserve">Short courses are supplements, not substitutes for required clinical education or regulated credentials.</w:t>
      </w:r>
    </w:p>
    <w:bookmarkEnd w:id="86"/>
    <w:bookmarkStart w:id="87" w:name="accessibility-and-disability-inclusion"/>
    <w:p>
      <w:pPr>
        <w:pStyle w:val="Heading2"/>
      </w:pPr>
      <w:r>
        <w:t xml:space="preserve">Accessibility and disability inclusion</w:t>
      </w:r>
    </w:p>
    <w:p>
      <w:pPr>
        <w:pStyle w:val="FirstParagraph"/>
      </w:pPr>
      <w:r>
        <w:t xml:space="preserve">Clinical laboratories vary in physical and sensory demands. Some roles require prolonged standing, close vision, color discrimination, fine motor control, repeated pipetting, specimen handling, lifting, hearing alarms, shift schedules or work with infectious materials.</w:t>
      </w:r>
    </w:p>
    <w:p>
      <w:pPr>
        <w:pStyle w:val="BodyText"/>
      </w:pPr>
      <w:r>
        <w:t xml:space="preserve">Do not assume a disability automatically prevents safe laboratory work. Essential functions and reasonable accommodations depend on the role, jurisdiction and individual.</w:t>
      </w:r>
    </w:p>
    <w:p>
      <w:pPr>
        <w:pStyle w:val="BodyText"/>
      </w:pPr>
      <w:r>
        <w:t xml:space="preserve">Possible supports may include:</w:t>
      </w:r>
    </w:p>
    <w:p>
      <w:pPr>
        <w:numPr>
          <w:ilvl w:val="0"/>
          <w:numId w:val="1027"/>
        </w:numPr>
        <w:pStyle w:val="Compact"/>
      </w:pPr>
      <w:r>
        <w:t xml:space="preserve">adjustable work surfaces;</w:t>
      </w:r>
    </w:p>
    <w:p>
      <w:pPr>
        <w:numPr>
          <w:ilvl w:val="0"/>
          <w:numId w:val="1027"/>
        </w:numPr>
        <w:pStyle w:val="Compact"/>
      </w:pPr>
      <w:r>
        <w:t xml:space="preserve">ergonomic chairs or sit/stand options where compatible with the procedure;</w:t>
      </w:r>
    </w:p>
    <w:p>
      <w:pPr>
        <w:numPr>
          <w:ilvl w:val="0"/>
          <w:numId w:val="1027"/>
        </w:numPr>
        <w:pStyle w:val="Compact"/>
      </w:pPr>
      <w:r>
        <w:t xml:space="preserve">anti-fatigue mats;</w:t>
      </w:r>
    </w:p>
    <w:p>
      <w:pPr>
        <w:numPr>
          <w:ilvl w:val="0"/>
          <w:numId w:val="1027"/>
        </w:numPr>
        <w:pStyle w:val="Compact"/>
      </w:pPr>
      <w:r>
        <w:t xml:space="preserve">magnification or accessible displays;</w:t>
      </w:r>
    </w:p>
    <w:p>
      <w:pPr>
        <w:numPr>
          <w:ilvl w:val="0"/>
          <w:numId w:val="1027"/>
        </w:numPr>
        <w:pStyle w:val="Compact"/>
      </w:pPr>
      <w:r>
        <w:t xml:space="preserve">high-contrast or enlarged labels;</w:t>
      </w:r>
    </w:p>
    <w:p>
      <w:pPr>
        <w:numPr>
          <w:ilvl w:val="0"/>
          <w:numId w:val="1027"/>
        </w:numPr>
        <w:pStyle w:val="Compact"/>
      </w:pPr>
      <w:r>
        <w:t xml:space="preserve">non-color-only identifiers where systems allow;</w:t>
      </w:r>
    </w:p>
    <w:p>
      <w:pPr>
        <w:numPr>
          <w:ilvl w:val="0"/>
          <w:numId w:val="1027"/>
        </w:numPr>
        <w:pStyle w:val="Compact"/>
      </w:pPr>
      <w:r>
        <w:t xml:space="preserve">written step sequences;</w:t>
      </w:r>
    </w:p>
    <w:p>
      <w:pPr>
        <w:numPr>
          <w:ilvl w:val="0"/>
          <w:numId w:val="1027"/>
        </w:numPr>
        <w:pStyle w:val="Compact"/>
      </w:pPr>
      <w:r>
        <w:t xml:space="preserve">accessible scheduling tools;</w:t>
      </w:r>
    </w:p>
    <w:p>
      <w:pPr>
        <w:numPr>
          <w:ilvl w:val="0"/>
          <w:numId w:val="1027"/>
        </w:numPr>
        <w:pStyle w:val="Compact"/>
      </w:pPr>
      <w:r>
        <w:t xml:space="preserve">speech-to-text for non-regulated drafting;</w:t>
      </w:r>
    </w:p>
    <w:p>
      <w:pPr>
        <w:numPr>
          <w:ilvl w:val="0"/>
          <w:numId w:val="1027"/>
        </w:numPr>
        <w:pStyle w:val="Compact"/>
      </w:pPr>
      <w:r>
        <w:t xml:space="preserve">alternative keyboard/input devices;</w:t>
      </w:r>
    </w:p>
    <w:p>
      <w:pPr>
        <w:numPr>
          <w:ilvl w:val="0"/>
          <w:numId w:val="1027"/>
        </w:numPr>
        <w:pStyle w:val="Compact"/>
      </w:pPr>
      <w:r>
        <w:t xml:space="preserve">ergonomic pipettes;</w:t>
      </w:r>
    </w:p>
    <w:p>
      <w:pPr>
        <w:numPr>
          <w:ilvl w:val="0"/>
          <w:numId w:val="1027"/>
        </w:numPr>
        <w:pStyle w:val="Compact"/>
      </w:pPr>
      <w:r>
        <w:t xml:space="preserve">structured breaks where compatible with specimen timing and coverage;</w:t>
      </w:r>
    </w:p>
    <w:p>
      <w:pPr>
        <w:numPr>
          <w:ilvl w:val="0"/>
          <w:numId w:val="1027"/>
        </w:numPr>
        <w:pStyle w:val="Compact"/>
      </w:pPr>
      <w:r>
        <w:t xml:space="preserve">hearing/visual alert supports where safe and approved.</w:t>
      </w:r>
    </w:p>
    <w:p>
      <w:pPr>
        <w:pStyle w:val="FirstParagraph"/>
      </w:pPr>
      <w:r>
        <w:t xml:space="preserve">An accommodation must not destroy specimen traceability, infection control, required competency, QC integrity or patient safety.</w:t>
      </w:r>
    </w:p>
    <w:bookmarkEnd w:id="87"/>
    <w:bookmarkStart w:id="88" w:name="dysgraphia-friendly-strategies"/>
    <w:p>
      <w:pPr>
        <w:pStyle w:val="Heading2"/>
      </w:pPr>
      <w:r>
        <w:t xml:space="preserve">Dysgraphia-friendly strategies</w:t>
      </w:r>
    </w:p>
    <w:p>
      <w:pPr>
        <w:pStyle w:val="FirstParagraph"/>
      </w:pPr>
      <w:r>
        <w:t xml:space="preserve">Where policy permits:</w:t>
      </w:r>
    </w:p>
    <w:p>
      <w:pPr>
        <w:numPr>
          <w:ilvl w:val="0"/>
          <w:numId w:val="1028"/>
        </w:numPr>
        <w:pStyle w:val="Compact"/>
      </w:pPr>
      <w:r>
        <w:t xml:space="preserve">use barcode scanning instead of repeatedly handwriting identifiers;</w:t>
      </w:r>
    </w:p>
    <w:p>
      <w:pPr>
        <w:numPr>
          <w:ilvl w:val="0"/>
          <w:numId w:val="1028"/>
        </w:numPr>
        <w:pStyle w:val="Compact"/>
      </w:pPr>
      <w:r>
        <w:t xml:space="preserve">use approved electronic worksheets;</w:t>
      </w:r>
    </w:p>
    <w:p>
      <w:pPr>
        <w:numPr>
          <w:ilvl w:val="0"/>
          <w:numId w:val="1028"/>
        </w:numPr>
        <w:pStyle w:val="Compact"/>
      </w:pPr>
      <w:r>
        <w:t xml:space="preserve">separate specimen ID, test, result and unit fields visually;</w:t>
      </w:r>
    </w:p>
    <w:p>
      <w:pPr>
        <w:numPr>
          <w:ilvl w:val="0"/>
          <w:numId w:val="1028"/>
        </w:numPr>
        <w:pStyle w:val="Compact"/>
      </w:pPr>
      <w:r>
        <w:t xml:space="preserve">use checklists for multi-step setup;</w:t>
      </w:r>
    </w:p>
    <w:p>
      <w:pPr>
        <w:numPr>
          <w:ilvl w:val="0"/>
          <w:numId w:val="1028"/>
        </w:numPr>
        <w:pStyle w:val="Compact"/>
      </w:pPr>
      <w:r>
        <w:t xml:space="preserve">read critical identifiers and decimal values twice before final entry;</w:t>
      </w:r>
    </w:p>
    <w:p>
      <w:pPr>
        <w:numPr>
          <w:ilvl w:val="0"/>
          <w:numId w:val="1028"/>
        </w:numPr>
        <w:pStyle w:val="Compact"/>
      </w:pPr>
      <w:r>
        <w:t xml:space="preserve">use templates for routine non-clinical notes;</w:t>
      </w:r>
    </w:p>
    <w:p>
      <w:pPr>
        <w:numPr>
          <w:ilvl w:val="0"/>
          <w:numId w:val="1028"/>
        </w:numPr>
        <w:pStyle w:val="Compact"/>
      </w:pPr>
      <w:r>
        <w:t xml:space="preserve">use speech-to-text only for permitted drafting and then verify every identifier and number manually;</w:t>
      </w:r>
    </w:p>
    <w:p>
      <w:pPr>
        <w:numPr>
          <w:ilvl w:val="0"/>
          <w:numId w:val="1028"/>
        </w:numPr>
        <w:pStyle w:val="Compact"/>
      </w:pPr>
      <w:r>
        <w:t xml:space="preserve">keep personal study notes separate from regulated laboratory records;</w:t>
      </w:r>
    </w:p>
    <w:p>
      <w:pPr>
        <w:numPr>
          <w:ilvl w:val="0"/>
          <w:numId w:val="1028"/>
        </w:numPr>
        <w:pStyle w:val="Compact"/>
      </w:pPr>
      <w:r>
        <w:t xml:space="preserve">use alarms/timers with clear labels for timed steps;</w:t>
      </w:r>
    </w:p>
    <w:p>
      <w:pPr>
        <w:numPr>
          <w:ilvl w:val="0"/>
          <w:numId w:val="1028"/>
        </w:numPr>
        <w:pStyle w:val="Compact"/>
      </w:pPr>
      <w:r>
        <w:t xml:space="preserve">avoid relying on memory for correction procedures.</w:t>
      </w:r>
    </w:p>
    <w:p>
      <w:pPr>
        <w:pStyle w:val="FirstParagraph"/>
      </w:pPr>
      <w:r>
        <w:t xml:space="preserve">Accessibility tools must never be used to bypass audit trails, authentication, required signatures or safety controls.</w:t>
      </w:r>
    </w:p>
    <w:bookmarkEnd w:id="88"/>
    <w:bookmarkStart w:id="89" w:name="safe-starter-portfolio"/>
    <w:p>
      <w:pPr>
        <w:pStyle w:val="Heading2"/>
      </w:pPr>
      <w:r>
        <w:t xml:space="preserve">Safe starter portfolio</w:t>
      </w:r>
    </w:p>
    <w:p>
      <w:pPr>
        <w:pStyle w:val="FirstParagraph"/>
      </w:pPr>
      <w:r>
        <w:t xml:space="preserve">A clinical laboratory portfolio must not contain real patient information, confidential employer procedures or fabricated claims of clinical competence.</w:t>
      </w:r>
    </w:p>
    <w:p>
      <w:pPr>
        <w:pStyle w:val="BodyText"/>
      </w:pPr>
      <w:r>
        <w:t xml:space="preserve">Safe examples can include:</w:t>
      </w:r>
    </w:p>
    <w:p>
      <w:pPr>
        <w:numPr>
          <w:ilvl w:val="0"/>
          <w:numId w:val="1029"/>
        </w:numPr>
        <w:pStyle w:val="Compact"/>
      </w:pPr>
      <w:r>
        <w:t xml:space="preserve">a fictional specimen-receipt checklist;</w:t>
      </w:r>
    </w:p>
    <w:p>
      <w:pPr>
        <w:numPr>
          <w:ilvl w:val="0"/>
          <w:numId w:val="1029"/>
        </w:numPr>
        <w:pStyle w:val="Compact"/>
      </w:pPr>
      <w:r>
        <w:t xml:space="preserve">a mock accessioning workflow using invented identifiers;</w:t>
      </w:r>
    </w:p>
    <w:p>
      <w:pPr>
        <w:numPr>
          <w:ilvl w:val="0"/>
          <w:numId w:val="1029"/>
        </w:numPr>
        <w:pStyle w:val="Compact"/>
      </w:pPr>
      <w:r>
        <w:t xml:space="preserve">a spreadsheet showing fictional QC values and a basic control chart;</w:t>
      </w:r>
    </w:p>
    <w:p>
      <w:pPr>
        <w:numPr>
          <w:ilvl w:val="0"/>
          <w:numId w:val="1029"/>
        </w:numPr>
        <w:pStyle w:val="Compact"/>
      </w:pPr>
      <w:r>
        <w:t xml:space="preserve">a simulated temperature log;</w:t>
      </w:r>
    </w:p>
    <w:p>
      <w:pPr>
        <w:numPr>
          <w:ilvl w:val="0"/>
          <w:numId w:val="1029"/>
        </w:numPr>
        <w:pStyle w:val="Compact"/>
      </w:pPr>
      <w:r>
        <w:t xml:space="preserve">a fictional corrective-action report for a failed refrigerator temperature check;</w:t>
      </w:r>
    </w:p>
    <w:p>
      <w:pPr>
        <w:numPr>
          <w:ilvl w:val="0"/>
          <w:numId w:val="1029"/>
        </w:numPr>
        <w:pStyle w:val="Compact"/>
      </w:pPr>
      <w:r>
        <w:t xml:space="preserve">a mock reagent inventory with lot and expiration fields;</w:t>
      </w:r>
    </w:p>
    <w:p>
      <w:pPr>
        <w:numPr>
          <w:ilvl w:val="0"/>
          <w:numId w:val="1029"/>
        </w:numPr>
        <w:pStyle w:val="Compact"/>
      </w:pPr>
      <w:r>
        <w:t xml:space="preserve">a written explanation of pre-analytical, analytical and post-analytical errors;</w:t>
      </w:r>
    </w:p>
    <w:p>
      <w:pPr>
        <w:numPr>
          <w:ilvl w:val="0"/>
          <w:numId w:val="1029"/>
        </w:numPr>
        <w:pStyle w:val="Compact"/>
      </w:pPr>
      <w:r>
        <w:t xml:space="preserve">a simulated downtime/reconciliation checklist;</w:t>
      </w:r>
    </w:p>
    <w:p>
      <w:pPr>
        <w:numPr>
          <w:ilvl w:val="0"/>
          <w:numId w:val="1029"/>
        </w:numPr>
        <w:pStyle w:val="Compact"/>
      </w:pPr>
      <w:r>
        <w:t xml:space="preserve">a study poster on bloodborne-pathogen controls;</w:t>
      </w:r>
    </w:p>
    <w:p>
      <w:pPr>
        <w:numPr>
          <w:ilvl w:val="0"/>
          <w:numId w:val="1029"/>
        </w:numPr>
        <w:pStyle w:val="Compact"/>
      </w:pPr>
      <w:r>
        <w:t xml:space="preserve">a fictional data-integrity case study.</w:t>
      </w:r>
    </w:p>
    <w:p>
      <w:pPr>
        <w:pStyle w:val="FirstParagraph"/>
      </w:pPr>
      <w:r>
        <w:t xml:space="preserve">Label every simulation clearly. Never imply that a classroom exercise was patient testing.</w:t>
      </w:r>
    </w:p>
    <w:bookmarkEnd w:id="89"/>
    <w:bookmarkStart w:id="90" w:name="résumé-language"/>
    <w:p>
      <w:pPr>
        <w:pStyle w:val="Heading2"/>
      </w:pPr>
      <w:r>
        <w:t xml:space="preserve">Résumé language</w:t>
      </w:r>
    </w:p>
    <w:p>
      <w:pPr>
        <w:pStyle w:val="FirstParagraph"/>
      </w:pPr>
      <w:r>
        <w:t xml:space="preserve">Use precise statements that are true.</w:t>
      </w:r>
    </w:p>
    <w:p>
      <w:pPr>
        <w:pStyle w:val="BodyText"/>
      </w:pPr>
      <w:r>
        <w:t xml:space="preserve">Examples if supported by your real experience:</w:t>
      </w:r>
    </w:p>
    <w:p>
      <w:pPr>
        <w:numPr>
          <w:ilvl w:val="0"/>
          <w:numId w:val="1030"/>
        </w:numPr>
        <w:pStyle w:val="Compact"/>
      </w:pPr>
      <w:r>
        <w:t xml:space="preserve">Followed documented laboratory procedures and maintained accurate records.</w:t>
      </w:r>
    </w:p>
    <w:p>
      <w:pPr>
        <w:numPr>
          <w:ilvl w:val="0"/>
          <w:numId w:val="1030"/>
        </w:numPr>
        <w:pStyle w:val="Compact"/>
      </w:pPr>
      <w:r>
        <w:t xml:space="preserve">Supported specimen receipt, labeling, processing and traceability.</w:t>
      </w:r>
    </w:p>
    <w:p>
      <w:pPr>
        <w:numPr>
          <w:ilvl w:val="0"/>
          <w:numId w:val="1030"/>
        </w:numPr>
        <w:pStyle w:val="Compact"/>
      </w:pPr>
      <w:r>
        <w:t xml:space="preserve">Performed routine laboratory testing within assigned competency and supervision.</w:t>
      </w:r>
    </w:p>
    <w:p>
      <w:pPr>
        <w:numPr>
          <w:ilvl w:val="0"/>
          <w:numId w:val="1030"/>
        </w:numPr>
        <w:pStyle w:val="Compact"/>
      </w:pPr>
      <w:r>
        <w:t xml:space="preserve">Documented quality-control and equipment information according to procedure.</w:t>
      </w:r>
    </w:p>
    <w:p>
      <w:pPr>
        <w:numPr>
          <w:ilvl w:val="0"/>
          <w:numId w:val="1030"/>
        </w:numPr>
        <w:pStyle w:val="Compact"/>
      </w:pPr>
      <w:r>
        <w:t xml:space="preserve">Used laboratory information systems and barcode workflows while protecting confidential information.</w:t>
      </w:r>
    </w:p>
    <w:p>
      <w:pPr>
        <w:numPr>
          <w:ilvl w:val="0"/>
          <w:numId w:val="1030"/>
        </w:numPr>
        <w:pStyle w:val="Compact"/>
      </w:pPr>
      <w:r>
        <w:t xml:space="preserve">Identified specimen, instrument or QC issues and escalated them through the approved process.</w:t>
      </w:r>
    </w:p>
    <w:p>
      <w:pPr>
        <w:numPr>
          <w:ilvl w:val="0"/>
          <w:numId w:val="1030"/>
        </w:numPr>
        <w:pStyle w:val="Compact"/>
      </w:pPr>
      <w:r>
        <w:t xml:space="preserve">Followed PPE, sharps, bloodborne-pathogen and chemical-safety requirements.</w:t>
      </w:r>
    </w:p>
    <w:p>
      <w:pPr>
        <w:pStyle w:val="FirstParagraph"/>
      </w:pPr>
      <w:r>
        <w:t xml:space="preserve">Do not claim certification, state licensure, bacteriology authority, blood-bank competency, microbiology expertise, phlebotomy counts, instrument expertise or independent result-release authority that you do not actually possess.</w:t>
      </w:r>
    </w:p>
    <w:bookmarkEnd w:id="90"/>
    <w:bookmarkStart w:id="91" w:name="interview-preparation"/>
    <w:p>
      <w:pPr>
        <w:pStyle w:val="Heading2"/>
      </w:pPr>
      <w:r>
        <w:t xml:space="preserve">Interview preparation</w:t>
      </w:r>
    </w:p>
    <w:p>
      <w:pPr>
        <w:pStyle w:val="FirstParagraph"/>
      </w:pPr>
      <w:r>
        <w:t xml:space="preserve">Be ready to explain:</w:t>
      </w:r>
    </w:p>
    <w:p>
      <w:pPr>
        <w:numPr>
          <w:ilvl w:val="0"/>
          <w:numId w:val="1031"/>
        </w:numPr>
        <w:pStyle w:val="Compact"/>
      </w:pPr>
      <w:r>
        <w:t xml:space="preserve">how you prevent specimen identification errors;</w:t>
      </w:r>
    </w:p>
    <w:p>
      <w:pPr>
        <w:numPr>
          <w:ilvl w:val="0"/>
          <w:numId w:val="1031"/>
        </w:numPr>
        <w:pStyle w:val="Compact"/>
      </w:pPr>
      <w:r>
        <w:t xml:space="preserve">what you would do when QC fails;</w:t>
      </w:r>
    </w:p>
    <w:p>
      <w:pPr>
        <w:numPr>
          <w:ilvl w:val="0"/>
          <w:numId w:val="1031"/>
        </w:numPr>
        <w:pStyle w:val="Compact"/>
      </w:pPr>
      <w:r>
        <w:t xml:space="preserve">why pre-analytical errors matter;</w:t>
      </w:r>
    </w:p>
    <w:p>
      <w:pPr>
        <w:numPr>
          <w:ilvl w:val="0"/>
          <w:numId w:val="1031"/>
        </w:numPr>
        <w:pStyle w:val="Compact"/>
      </w:pPr>
      <w:r>
        <w:t xml:space="preserve">how you handle a mislabeled or leaking specimen;</w:t>
      </w:r>
    </w:p>
    <w:p>
      <w:pPr>
        <w:numPr>
          <w:ilvl w:val="0"/>
          <w:numId w:val="1031"/>
        </w:numPr>
        <w:pStyle w:val="Compact"/>
      </w:pPr>
      <w:r>
        <w:t xml:space="preserve">how you document a correction;</w:t>
      </w:r>
    </w:p>
    <w:p>
      <w:pPr>
        <w:numPr>
          <w:ilvl w:val="0"/>
          <w:numId w:val="1031"/>
        </w:numPr>
        <w:pStyle w:val="Compact"/>
      </w:pPr>
      <w:r>
        <w:t xml:space="preserve">what you do after a needlestick or splash exposure;</w:t>
      </w:r>
    </w:p>
    <w:p>
      <w:pPr>
        <w:numPr>
          <w:ilvl w:val="0"/>
          <w:numId w:val="1031"/>
        </w:numPr>
        <w:pStyle w:val="Compact"/>
      </w:pPr>
      <w:r>
        <w:t xml:space="preserve">why contaminated sharps require special controls;</w:t>
      </w:r>
    </w:p>
    <w:p>
      <w:pPr>
        <w:numPr>
          <w:ilvl w:val="0"/>
          <w:numId w:val="1031"/>
        </w:numPr>
        <w:pStyle w:val="Compact"/>
      </w:pPr>
      <w:r>
        <w:t xml:space="preserve">what you would do if an analyzer result conflicts with the specimen condition;</w:t>
      </w:r>
    </w:p>
    <w:p>
      <w:pPr>
        <w:numPr>
          <w:ilvl w:val="0"/>
          <w:numId w:val="1031"/>
        </w:numPr>
        <w:pStyle w:val="Compact"/>
      </w:pPr>
      <w:r>
        <w:t xml:space="preserve">why you would not keep repeating a test until the number looks better;</w:t>
      </w:r>
    </w:p>
    <w:p>
      <w:pPr>
        <w:numPr>
          <w:ilvl w:val="0"/>
          <w:numId w:val="1031"/>
        </w:numPr>
        <w:pStyle w:val="Compact"/>
      </w:pPr>
      <w:r>
        <w:t xml:space="preserve">how you protect patient information;</w:t>
      </w:r>
    </w:p>
    <w:p>
      <w:pPr>
        <w:numPr>
          <w:ilvl w:val="0"/>
          <w:numId w:val="1031"/>
        </w:numPr>
        <w:pStyle w:val="Compact"/>
      </w:pPr>
      <w:r>
        <w:t xml:space="preserve">how you respond if someone asks you to use another employee’s login;</w:t>
      </w:r>
    </w:p>
    <w:p>
      <w:pPr>
        <w:numPr>
          <w:ilvl w:val="0"/>
          <w:numId w:val="1031"/>
        </w:numPr>
        <w:pStyle w:val="Compact"/>
      </w:pPr>
      <w:r>
        <w:t xml:space="preserve">what tasks you would escalate rather than perform outside your competency;</w:t>
      </w:r>
    </w:p>
    <w:p>
      <w:pPr>
        <w:numPr>
          <w:ilvl w:val="0"/>
          <w:numId w:val="1031"/>
        </w:numPr>
        <w:pStyle w:val="Compact"/>
      </w:pPr>
      <w:r>
        <w:t xml:space="preserve">how you would use AI safely in a clinical laboratory environment.</w:t>
      </w:r>
    </w:p>
    <w:p>
      <w:pPr>
        <w:pStyle w:val="FirstParagraph"/>
      </w:pPr>
      <w:r>
        <w:t xml:space="preserve">A strong answer usually demonstrates precision, safety, honesty, documentation and escalation—not confidence without limits.</w:t>
      </w:r>
    </w:p>
    <w:bookmarkEnd w:id="91"/>
    <w:bookmarkStart w:id="98" w:name="six-step-action-plan"/>
    <w:p>
      <w:pPr>
        <w:pStyle w:val="Heading2"/>
      </w:pPr>
      <w:r>
        <w:t xml:space="preserve">Six-step action plan</w:t>
      </w:r>
    </w:p>
    <w:p>
      <w:pPr>
        <w:pStyle w:val="FirstParagraph"/>
      </w:pPr>
      <w:r>
        <w:t xml:space="preserve">This section intentionally repairs the legacy Guide 100 QA defect that recorded</w:t>
      </w:r>
      <w:r>
        <w:t xml:space="preserve"> </w:t>
      </w:r>
      <w:r>
        <w:rPr>
          <w:bCs/>
          <w:b/>
        </w:rPr>
        <w:t xml:space="preserve">Action Plan 1 To 6: False</w:t>
      </w:r>
      <w:r>
        <w:t xml:space="preserve">.</w:t>
      </w:r>
    </w:p>
    <w:bookmarkStart w:id="92" w:name="X5fc822d8ab9c2798798bf37972b9827124230a2"/>
    <w:p>
      <w:pPr>
        <w:pStyle w:val="Heading3"/>
      </w:pPr>
      <w:r>
        <w:t xml:space="preserve">Step 1 — Choose the actual role and jurisdiction</w:t>
      </w:r>
    </w:p>
    <w:p>
      <w:pPr>
        <w:pStyle w:val="FirstParagraph"/>
      </w:pPr>
      <w:r>
        <w:t xml:space="preserve">Decide whether you are targeting U.S. MLT/clinical laboratory technician work, Canadian MLT, Canadian MLA, Colombia CUOC 32120 technical work, Colombia CUOC 53294 auxiliary work, or another country-specific pathway. Do not compare programs until you know the legal and employer context.</w:t>
      </w:r>
    </w:p>
    <w:bookmarkEnd w:id="92"/>
    <w:bookmarkStart w:id="93" w:name="step-2--collect-10-real-job-descriptions"/>
    <w:p>
      <w:pPr>
        <w:pStyle w:val="Heading3"/>
      </w:pPr>
      <w:r>
        <w:t xml:space="preserve">Step 2 — Collect 10 real job descriptions</w:t>
      </w:r>
    </w:p>
    <w:p>
      <w:pPr>
        <w:pStyle w:val="FirstParagraph"/>
      </w:pPr>
      <w:r>
        <w:t xml:space="preserve">For each role, record:</w:t>
      </w:r>
    </w:p>
    <w:p>
      <w:pPr>
        <w:numPr>
          <w:ilvl w:val="0"/>
          <w:numId w:val="1032"/>
        </w:numPr>
        <w:pStyle w:val="Compact"/>
      </w:pPr>
      <w:r>
        <w:t xml:space="preserve">education;</w:t>
      </w:r>
    </w:p>
    <w:p>
      <w:pPr>
        <w:numPr>
          <w:ilvl w:val="0"/>
          <w:numId w:val="1032"/>
        </w:numPr>
        <w:pStyle w:val="Compact"/>
      </w:pPr>
      <w:r>
        <w:t xml:space="preserve">accreditation;</w:t>
      </w:r>
    </w:p>
    <w:p>
      <w:pPr>
        <w:numPr>
          <w:ilvl w:val="0"/>
          <w:numId w:val="1032"/>
        </w:numPr>
        <w:pStyle w:val="Compact"/>
      </w:pPr>
      <w:r>
        <w:t xml:space="preserve">certification;</w:t>
      </w:r>
    </w:p>
    <w:p>
      <w:pPr>
        <w:numPr>
          <w:ilvl w:val="0"/>
          <w:numId w:val="1032"/>
        </w:numPr>
        <w:pStyle w:val="Compact"/>
      </w:pPr>
      <w:r>
        <w:t xml:space="preserve">licensure/registration;</w:t>
      </w:r>
    </w:p>
    <w:p>
      <w:pPr>
        <w:numPr>
          <w:ilvl w:val="0"/>
          <w:numId w:val="1032"/>
        </w:numPr>
        <w:pStyle w:val="Compact"/>
      </w:pPr>
      <w:r>
        <w:t xml:space="preserve">clinical experience;</w:t>
      </w:r>
    </w:p>
    <w:p>
      <w:pPr>
        <w:numPr>
          <w:ilvl w:val="0"/>
          <w:numId w:val="1032"/>
        </w:numPr>
        <w:pStyle w:val="Compact"/>
      </w:pPr>
      <w:r>
        <w:t xml:space="preserve">shift;</w:t>
      </w:r>
    </w:p>
    <w:p>
      <w:pPr>
        <w:numPr>
          <w:ilvl w:val="0"/>
          <w:numId w:val="1032"/>
        </w:numPr>
        <w:pStyle w:val="Compact"/>
      </w:pPr>
      <w:r>
        <w:t xml:space="preserve">specimen-collection expectations;</w:t>
      </w:r>
    </w:p>
    <w:p>
      <w:pPr>
        <w:numPr>
          <w:ilvl w:val="0"/>
          <w:numId w:val="1032"/>
        </w:numPr>
        <w:pStyle w:val="Compact"/>
      </w:pPr>
      <w:r>
        <w:t xml:space="preserve">laboratory disciplines;</w:t>
      </w:r>
    </w:p>
    <w:p>
      <w:pPr>
        <w:numPr>
          <w:ilvl w:val="0"/>
          <w:numId w:val="1032"/>
        </w:numPr>
        <w:pStyle w:val="Compact"/>
      </w:pPr>
      <w:r>
        <w:t xml:space="preserve">physical requirements;</w:t>
      </w:r>
    </w:p>
    <w:p>
      <w:pPr>
        <w:numPr>
          <w:ilvl w:val="0"/>
          <w:numId w:val="1032"/>
        </w:numPr>
        <w:pStyle w:val="Compact"/>
      </w:pPr>
      <w:r>
        <w:t xml:space="preserve">salary range when posted;</w:t>
      </w:r>
    </w:p>
    <w:p>
      <w:pPr>
        <w:numPr>
          <w:ilvl w:val="0"/>
          <w:numId w:val="1032"/>
        </w:numPr>
        <w:pStyle w:val="Compact"/>
      </w:pPr>
      <w:r>
        <w:t xml:space="preserve">required software/instruments;</w:t>
      </w:r>
    </w:p>
    <w:p>
      <w:pPr>
        <w:numPr>
          <w:ilvl w:val="0"/>
          <w:numId w:val="1032"/>
        </w:numPr>
        <w:pStyle w:val="Compact"/>
      </w:pPr>
      <w:r>
        <w:t xml:space="preserve">supervision and result-release language.</w:t>
      </w:r>
    </w:p>
    <w:bookmarkEnd w:id="93"/>
    <w:bookmarkStart w:id="94" w:name="X098166bfc29a27a60bcba274c8f7f6a0719b50d"/>
    <w:p>
      <w:pPr>
        <w:pStyle w:val="Heading3"/>
      </w:pPr>
      <w:r>
        <w:t xml:space="preserve">Step 3 — Verify the credential route before paying</w:t>
      </w:r>
    </w:p>
    <w:p>
      <w:pPr>
        <w:pStyle w:val="FirstParagraph"/>
      </w:pPr>
      <w:r>
        <w:t xml:space="preserve">Use the applicable official sources: state regulator, CLIA/CMS information, NAACLS/recognized program directory, certification body, Canadian provincial regulator/Job Bank/CSMLS, Colombia health/education authority, SENA or other competent national authority.</w:t>
      </w:r>
    </w:p>
    <w:p>
      <w:pPr>
        <w:pStyle w:val="BodyText"/>
      </w:pPr>
      <w:r>
        <w:t xml:space="preserve">Write down the exact credential sequence. Do not rely on a school advertisement alone.</w:t>
      </w:r>
    </w:p>
    <w:bookmarkEnd w:id="94"/>
    <w:bookmarkStart w:id="95" w:name="step-4--close-the-three-biggest-gaps"/>
    <w:p>
      <w:pPr>
        <w:pStyle w:val="Heading3"/>
      </w:pPr>
      <w:r>
        <w:t xml:space="preserve">Step 4 — Close the three biggest gaps</w:t>
      </w:r>
    </w:p>
    <w:p>
      <w:pPr>
        <w:pStyle w:val="FirstParagraph"/>
      </w:pPr>
      <w:r>
        <w:t xml:space="preserve">Choose only the highest-priority gaps—for example chemistry, math/dilutions and specimen handling. Use free or low-cost resources, community college prerequisites, public training or employer-supported learning before buying additional certificates.</w:t>
      </w:r>
    </w:p>
    <w:bookmarkEnd w:id="95"/>
    <w:bookmarkStart w:id="96" w:name="step-5--build-supervised-evidence"/>
    <w:p>
      <w:pPr>
        <w:pStyle w:val="Heading3"/>
      </w:pPr>
      <w:r>
        <w:t xml:space="preserve">Step 5 — Build supervised evidence</w:t>
      </w:r>
    </w:p>
    <w:p>
      <w:pPr>
        <w:pStyle w:val="FirstParagraph"/>
      </w:pPr>
      <w:r>
        <w:t xml:space="preserve">Complete the recognized program, laboratory practical, clinical placement, approved apprenticeship, employer training or other supervised experience required for the role. Keep non-confidential evidence such as course completion, competency records you are allowed to retain, certifications and a fictional portfolio.</w:t>
      </w:r>
    </w:p>
    <w:bookmarkEnd w:id="96"/>
    <w:bookmarkStart w:id="97" w:name="step-6--apply-review-and-advance"/>
    <w:p>
      <w:pPr>
        <w:pStyle w:val="Heading3"/>
      </w:pPr>
      <w:r>
        <w:t xml:space="preserve">Step 6 — Apply, review and advance</w:t>
      </w:r>
    </w:p>
    <w:p>
      <w:pPr>
        <w:pStyle w:val="FirstParagraph"/>
      </w:pPr>
      <w:r>
        <w:t xml:space="preserve">Apply to roles that match your verified scope. After every five to ten applications, compare recurring requirements with your evidence. If the same legitimate gap appears repeatedly, address that gap rather than collecting unrelated credentials. Once employed, keep competency, continuing education, safety and credential requirements current.</w:t>
      </w:r>
    </w:p>
    <w:bookmarkEnd w:id="97"/>
    <w:bookmarkEnd w:id="98"/>
    <w:bookmarkStart w:id="99" w:name="before-accepting-a-job"/>
    <w:p>
      <w:pPr>
        <w:pStyle w:val="Heading2"/>
      </w:pPr>
      <w:r>
        <w:t xml:space="preserve">Before accepting a job</w:t>
      </w:r>
    </w:p>
    <w:p>
      <w:pPr>
        <w:pStyle w:val="FirstParagraph"/>
      </w:pPr>
      <w:r>
        <w:t xml:space="preserve">Ask about:</w:t>
      </w:r>
    </w:p>
    <w:p>
      <w:pPr>
        <w:numPr>
          <w:ilvl w:val="0"/>
          <w:numId w:val="1033"/>
        </w:numPr>
        <w:pStyle w:val="Compact"/>
      </w:pPr>
      <w:r>
        <w:t xml:space="preserve">exact title and assigned scope;</w:t>
      </w:r>
    </w:p>
    <w:p>
      <w:pPr>
        <w:numPr>
          <w:ilvl w:val="0"/>
          <w:numId w:val="1033"/>
        </w:numPr>
        <w:pStyle w:val="Compact"/>
      </w:pPr>
      <w:r>
        <w:t xml:space="preserve">department and test menu;</w:t>
      </w:r>
    </w:p>
    <w:p>
      <w:pPr>
        <w:numPr>
          <w:ilvl w:val="0"/>
          <w:numId w:val="1033"/>
        </w:numPr>
        <w:pStyle w:val="Compact"/>
      </w:pPr>
      <w:r>
        <w:t xml:space="preserve">waived/moderate/high-complexity work where relevant;</w:t>
      </w:r>
    </w:p>
    <w:p>
      <w:pPr>
        <w:numPr>
          <w:ilvl w:val="0"/>
          <w:numId w:val="1033"/>
        </w:numPr>
        <w:pStyle w:val="Compact"/>
      </w:pPr>
      <w:r>
        <w:t xml:space="preserve">supervision;</w:t>
      </w:r>
    </w:p>
    <w:p>
      <w:pPr>
        <w:numPr>
          <w:ilvl w:val="0"/>
          <w:numId w:val="1033"/>
        </w:numPr>
        <w:pStyle w:val="Compact"/>
      </w:pPr>
      <w:r>
        <w:t xml:space="preserve">result review/release authority;</w:t>
      </w:r>
    </w:p>
    <w:p>
      <w:pPr>
        <w:numPr>
          <w:ilvl w:val="0"/>
          <w:numId w:val="1033"/>
        </w:numPr>
        <w:pStyle w:val="Compact"/>
      </w:pPr>
      <w:r>
        <w:t xml:space="preserve">phlebotomy expectations;</w:t>
      </w:r>
    </w:p>
    <w:p>
      <w:pPr>
        <w:numPr>
          <w:ilvl w:val="0"/>
          <w:numId w:val="1033"/>
        </w:numPr>
        <w:pStyle w:val="Compact"/>
      </w:pPr>
      <w:r>
        <w:t xml:space="preserve">nights, weekends and holidays;</w:t>
      </w:r>
    </w:p>
    <w:p>
      <w:pPr>
        <w:numPr>
          <w:ilvl w:val="0"/>
          <w:numId w:val="1033"/>
        </w:numPr>
        <w:pStyle w:val="Compact"/>
      </w:pPr>
      <w:r>
        <w:t xml:space="preserve">orientation and competency assessment;</w:t>
      </w:r>
    </w:p>
    <w:p>
      <w:pPr>
        <w:numPr>
          <w:ilvl w:val="0"/>
          <w:numId w:val="1033"/>
        </w:numPr>
        <w:pStyle w:val="Compact"/>
      </w:pPr>
      <w:r>
        <w:t xml:space="preserve">certification or licensure deadlines;</w:t>
      </w:r>
    </w:p>
    <w:p>
      <w:pPr>
        <w:numPr>
          <w:ilvl w:val="0"/>
          <w:numId w:val="1033"/>
        </w:numPr>
        <w:pStyle w:val="Compact"/>
      </w:pPr>
      <w:r>
        <w:t xml:space="preserve">training before independent testing;</w:t>
      </w:r>
    </w:p>
    <w:p>
      <w:pPr>
        <w:numPr>
          <w:ilvl w:val="0"/>
          <w:numId w:val="1033"/>
        </w:numPr>
        <w:pStyle w:val="Compact"/>
      </w:pPr>
      <w:r>
        <w:t xml:space="preserve">exposure-control and sharps programs;</w:t>
      </w:r>
    </w:p>
    <w:p>
      <w:pPr>
        <w:numPr>
          <w:ilvl w:val="0"/>
          <w:numId w:val="1033"/>
        </w:numPr>
        <w:pStyle w:val="Compact"/>
      </w:pPr>
      <w:r>
        <w:t xml:space="preserve">chemical safety;</w:t>
      </w:r>
    </w:p>
    <w:p>
      <w:pPr>
        <w:numPr>
          <w:ilvl w:val="0"/>
          <w:numId w:val="1033"/>
        </w:numPr>
        <w:pStyle w:val="Compact"/>
      </w:pPr>
      <w:r>
        <w:t xml:space="preserve">PPE;</w:t>
      </w:r>
    </w:p>
    <w:p>
      <w:pPr>
        <w:numPr>
          <w:ilvl w:val="0"/>
          <w:numId w:val="1033"/>
        </w:numPr>
        <w:pStyle w:val="Compact"/>
      </w:pPr>
      <w:r>
        <w:t xml:space="preserve">ergonomic demands;</w:t>
      </w:r>
    </w:p>
    <w:p>
      <w:pPr>
        <w:numPr>
          <w:ilvl w:val="0"/>
          <w:numId w:val="1033"/>
        </w:numPr>
        <w:pStyle w:val="Compact"/>
      </w:pPr>
      <w:r>
        <w:t xml:space="preserve">staffing and workload;</w:t>
      </w:r>
    </w:p>
    <w:p>
      <w:pPr>
        <w:numPr>
          <w:ilvl w:val="0"/>
          <w:numId w:val="1033"/>
        </w:numPr>
        <w:pStyle w:val="Compact"/>
      </w:pPr>
      <w:r>
        <w:t xml:space="preserve">LIS and downtime procedures;</w:t>
      </w:r>
    </w:p>
    <w:p>
      <w:pPr>
        <w:numPr>
          <w:ilvl w:val="0"/>
          <w:numId w:val="1033"/>
        </w:numPr>
        <w:pStyle w:val="Compact"/>
      </w:pPr>
      <w:r>
        <w:t xml:space="preserve">tuition assistance;</w:t>
      </w:r>
    </w:p>
    <w:p>
      <w:pPr>
        <w:numPr>
          <w:ilvl w:val="0"/>
          <w:numId w:val="1033"/>
        </w:numPr>
        <w:pStyle w:val="Compact"/>
      </w:pPr>
      <w:r>
        <w:t xml:space="preserve">certification reimbursement;</w:t>
      </w:r>
    </w:p>
    <w:p>
      <w:pPr>
        <w:numPr>
          <w:ilvl w:val="0"/>
          <w:numId w:val="1033"/>
        </w:numPr>
        <w:pStyle w:val="Compact"/>
      </w:pPr>
      <w:r>
        <w:t xml:space="preserve">pathway from technician to technologist/scientist or specialty roles.</w:t>
      </w:r>
    </w:p>
    <w:p>
      <w:pPr>
        <w:pStyle w:val="FirstParagraph"/>
      </w:pPr>
      <w:r>
        <w:t xml:space="preserve">A lower starting salary may be worth considering if the role provides strong supervised clinical training, recognized certification support and a credible advancement path. A higher salary does not justify unsafe staffing, unclear authorization or pressure to bypass quality controls.</w:t>
      </w:r>
    </w:p>
    <w:bookmarkEnd w:id="99"/>
    <w:bookmarkStart w:id="136" w:name="sources-and-verification-links"/>
    <w:p>
      <w:pPr>
        <w:pStyle w:val="Heading2"/>
      </w:pPr>
      <w:r>
        <w:t xml:space="preserve">Sources and verification links</w:t>
      </w:r>
    </w:p>
    <w:bookmarkStart w:id="103" w:name="X8ab636697a8030fcde16d92e79eede316636205"/>
    <w:p>
      <w:pPr>
        <w:pStyle w:val="Heading3"/>
      </w:pPr>
      <w:r>
        <w:t xml:space="preserve">United States — occupation and labour market</w:t>
      </w:r>
    </w:p>
    <w:p>
      <w:pPr>
        <w:numPr>
          <w:ilvl w:val="0"/>
          <w:numId w:val="1034"/>
        </w:numPr>
        <w:pStyle w:val="Compact"/>
      </w:pPr>
      <w:r>
        <w:t xml:space="preserve">O*NET Medical and Clinical Laboratory Technicians:</w:t>
      </w:r>
      <w:r>
        <w:t xml:space="preserve"> </w:t>
      </w:r>
      <w:hyperlink r:id="rId100">
        <w:hyperlink r:id="rId100">
          <w:r>
            <w:rPr>
              <w:rStyle w:val="Hyperlink"/>
            </w:rPr>
            <w:t xml:space="preserve">Source link</w:t>
          </w:r>
        </w:hyperlink>
      </w:hyperlink>
    </w:p>
    <w:p>
      <w:pPr>
        <w:numPr>
          <w:ilvl w:val="0"/>
          <w:numId w:val="1034"/>
        </w:numPr>
        <w:pStyle w:val="Compact"/>
      </w:pPr>
      <w:r>
        <w:t xml:space="preserve">BLS Clinical Laboratory Technologists and Technicians:</w:t>
      </w:r>
      <w:r>
        <w:t xml:space="preserve"> </w:t>
      </w:r>
      <w:hyperlink r:id="rId101">
        <w:hyperlink r:id="rId101">
          <w:r>
            <w:rPr>
              <w:rStyle w:val="Hyperlink"/>
            </w:rPr>
            <w:t xml:space="preserve">Source link</w:t>
          </w:r>
        </w:hyperlink>
      </w:hyperlink>
    </w:p>
    <w:p>
      <w:pPr>
        <w:numPr>
          <w:ilvl w:val="0"/>
          <w:numId w:val="1034"/>
        </w:numPr>
        <w:pStyle w:val="Compact"/>
      </w:pPr>
      <w:r>
        <w:t xml:space="preserve">BLS 2025 OEWS national table:</w:t>
      </w:r>
      <w:r>
        <w:t xml:space="preserve"> </w:t>
      </w:r>
      <w:hyperlink r:id="rId102">
        <w:hyperlink r:id="rId102">
          <w:r>
            <w:rPr>
              <w:rStyle w:val="Hyperlink"/>
            </w:rPr>
            <w:t xml:space="preserve">Source link</w:t>
          </w:r>
        </w:hyperlink>
      </w:hyperlink>
    </w:p>
    <w:bookmarkEnd w:id="103"/>
    <w:bookmarkStart w:id="111" w:name="X355f0a47c4a0c3ef14589506efeee9f78af8c0a"/>
    <w:p>
      <w:pPr>
        <w:pStyle w:val="Heading3"/>
      </w:pPr>
      <w:r>
        <w:t xml:space="preserve">United States — laboratory regulation and quality</w:t>
      </w:r>
    </w:p>
    <w:p>
      <w:pPr>
        <w:numPr>
          <w:ilvl w:val="0"/>
          <w:numId w:val="1035"/>
        </w:numPr>
        <w:pStyle w:val="Compact"/>
      </w:pPr>
      <w:r>
        <w:t xml:space="preserve">CDC CLIA:</w:t>
      </w:r>
      <w:r>
        <w:t xml:space="preserve"> </w:t>
      </w:r>
      <w:hyperlink r:id="rId104">
        <w:r>
          <w:rPr>
            <w:rStyle w:val="Hyperlink"/>
          </w:rPr>
          <w:t xml:space="preserve">https://www.cdc.gov/clia/</w:t>
        </w:r>
      </w:hyperlink>
    </w:p>
    <w:p>
      <w:pPr>
        <w:numPr>
          <w:ilvl w:val="0"/>
          <w:numId w:val="1035"/>
        </w:numPr>
        <w:pStyle w:val="Compact"/>
      </w:pPr>
      <w:r>
        <w:t xml:space="preserve">CDC Test Complexities:</w:t>
      </w:r>
      <w:r>
        <w:t xml:space="preserve"> </w:t>
      </w:r>
      <w:hyperlink r:id="rId105">
        <w:hyperlink r:id="rId105">
          <w:r>
            <w:rPr>
              <w:rStyle w:val="Hyperlink"/>
            </w:rPr>
            <w:t xml:space="preserve">Source link</w:t>
          </w:r>
        </w:hyperlink>
      </w:hyperlink>
    </w:p>
    <w:p>
      <w:pPr>
        <w:numPr>
          <w:ilvl w:val="0"/>
          <w:numId w:val="1035"/>
        </w:numPr>
        <w:pStyle w:val="Compact"/>
      </w:pPr>
      <w:r>
        <w:t xml:space="preserve">CDC Laboratory Quality:</w:t>
      </w:r>
      <w:r>
        <w:t xml:space="preserve"> </w:t>
      </w:r>
      <w:hyperlink r:id="rId106">
        <w:hyperlink r:id="rId106">
          <w:r>
            <w:rPr>
              <w:rStyle w:val="Hyperlink"/>
            </w:rPr>
            <w:t xml:space="preserve">Source link</w:t>
          </w:r>
        </w:hyperlink>
      </w:hyperlink>
    </w:p>
    <w:p>
      <w:pPr>
        <w:numPr>
          <w:ilvl w:val="0"/>
          <w:numId w:val="1035"/>
        </w:numPr>
        <w:pStyle w:val="Compact"/>
      </w:pPr>
      <w:r>
        <w:t xml:space="preserve">CDC IQCP:</w:t>
      </w:r>
      <w:r>
        <w:t xml:space="preserve"> </w:t>
      </w:r>
      <w:hyperlink r:id="rId107">
        <w:hyperlink r:id="rId107">
          <w:r>
            <w:rPr>
              <w:rStyle w:val="Hyperlink"/>
            </w:rPr>
            <w:t xml:space="preserve">Source link</w:t>
          </w:r>
        </w:hyperlink>
      </w:hyperlink>
    </w:p>
    <w:p>
      <w:pPr>
        <w:numPr>
          <w:ilvl w:val="0"/>
          <w:numId w:val="1035"/>
        </w:numPr>
        <w:pStyle w:val="Compact"/>
      </w:pPr>
      <w:r>
        <w:t xml:space="preserve">CDC Introduction to CLIA training:</w:t>
      </w:r>
      <w:r>
        <w:t xml:space="preserve"> </w:t>
      </w:r>
      <w:hyperlink r:id="rId108">
        <w:hyperlink r:id="rId108">
          <w:r>
            <w:rPr>
              <w:rStyle w:val="Hyperlink"/>
            </w:rPr>
            <w:t xml:space="preserve">Source link</w:t>
          </w:r>
        </w:hyperlink>
      </w:hyperlink>
    </w:p>
    <w:p>
      <w:pPr>
        <w:numPr>
          <w:ilvl w:val="0"/>
          <w:numId w:val="1035"/>
        </w:numPr>
        <w:pStyle w:val="Compact"/>
      </w:pPr>
      <w:r>
        <w:t xml:space="preserve">eCFR 42 CFR Part 493:</w:t>
      </w:r>
      <w:r>
        <w:t xml:space="preserve"> </w:t>
      </w:r>
      <w:hyperlink r:id="rId109">
        <w:hyperlink r:id="rId109">
          <w:r>
            <w:rPr>
              <w:rStyle w:val="Hyperlink"/>
            </w:rPr>
            <w:t xml:space="preserve">Source link</w:t>
          </w:r>
        </w:hyperlink>
      </w:hyperlink>
    </w:p>
    <w:p>
      <w:pPr>
        <w:numPr>
          <w:ilvl w:val="0"/>
          <w:numId w:val="1035"/>
        </w:numPr>
        <w:pStyle w:val="Compact"/>
      </w:pPr>
      <w:r>
        <w:t xml:space="preserve">eCFR CLIA Personnel Subpart M:</w:t>
      </w:r>
      <w:r>
        <w:t xml:space="preserve"> </w:t>
      </w:r>
      <w:hyperlink r:id="rId110">
        <w:hyperlink r:id="rId110">
          <w:r>
            <w:rPr>
              <w:rStyle w:val="Hyperlink"/>
            </w:rPr>
            <w:t xml:space="preserve">Source link</w:t>
          </w:r>
        </w:hyperlink>
      </w:hyperlink>
    </w:p>
    <w:bookmarkEnd w:id="111"/>
    <w:bookmarkStart w:id="114" w:name="united-states--safety"/>
    <w:p>
      <w:pPr>
        <w:pStyle w:val="Heading3"/>
      </w:pPr>
      <w:r>
        <w:t xml:space="preserve">United States — safety</w:t>
      </w:r>
    </w:p>
    <w:p>
      <w:pPr>
        <w:numPr>
          <w:ilvl w:val="0"/>
          <w:numId w:val="1036"/>
        </w:numPr>
        <w:pStyle w:val="Compact"/>
      </w:pPr>
      <w:r>
        <w:t xml:space="preserve">OSHA Bloodborne Pathogens, 29 CFR 1910.1030:</w:t>
      </w:r>
      <w:r>
        <w:t xml:space="preserve"> </w:t>
      </w:r>
      <w:hyperlink r:id="rId112">
        <w:hyperlink r:id="rId112">
          <w:r>
            <w:rPr>
              <w:rStyle w:val="Hyperlink"/>
            </w:rPr>
            <w:t xml:space="preserve">Source link</w:t>
          </w:r>
        </w:hyperlink>
      </w:hyperlink>
    </w:p>
    <w:p>
      <w:pPr>
        <w:numPr>
          <w:ilvl w:val="0"/>
          <w:numId w:val="1036"/>
        </w:numPr>
        <w:pStyle w:val="Compact"/>
      </w:pPr>
      <w:r>
        <w:t xml:space="preserve">OSHA Laboratory Chemical Standard, 29 CFR 1910.1450:</w:t>
      </w:r>
      <w:r>
        <w:t xml:space="preserve"> </w:t>
      </w:r>
      <w:hyperlink r:id="rId113">
        <w:hyperlink r:id="rId113">
          <w:r>
            <w:rPr>
              <w:rStyle w:val="Hyperlink"/>
            </w:rPr>
            <w:t xml:space="preserve">Source link</w:t>
          </w:r>
        </w:hyperlink>
      </w:hyperlink>
    </w:p>
    <w:bookmarkEnd w:id="114"/>
    <w:bookmarkStart w:id="118" w:name="X5262ecb417f5ce7ba17abb6476b255345edb5ea"/>
    <w:p>
      <w:pPr>
        <w:pStyle w:val="Heading3"/>
      </w:pPr>
      <w:r>
        <w:t xml:space="preserve">United States — education, certification and funding</w:t>
      </w:r>
    </w:p>
    <w:p>
      <w:pPr>
        <w:numPr>
          <w:ilvl w:val="0"/>
          <w:numId w:val="1037"/>
        </w:numPr>
        <w:pStyle w:val="Compact"/>
      </w:pPr>
      <w:r>
        <w:t xml:space="preserve">NAACLS student information:</w:t>
      </w:r>
      <w:r>
        <w:t xml:space="preserve"> </w:t>
      </w:r>
      <w:hyperlink r:id="rId115">
        <w:r>
          <w:rPr>
            <w:rStyle w:val="Hyperlink"/>
          </w:rPr>
          <w:t xml:space="preserve">https://naacls.org/students/</w:t>
        </w:r>
      </w:hyperlink>
    </w:p>
    <w:p>
      <w:pPr>
        <w:numPr>
          <w:ilvl w:val="0"/>
          <w:numId w:val="1037"/>
        </w:numPr>
        <w:pStyle w:val="Compact"/>
      </w:pPr>
      <w:r>
        <w:t xml:space="preserve">NAACLS:</w:t>
      </w:r>
      <w:r>
        <w:t xml:space="preserve"> </w:t>
      </w:r>
      <w:hyperlink r:id="rId116">
        <w:r>
          <w:rPr>
            <w:rStyle w:val="Hyperlink"/>
          </w:rPr>
          <w:t xml:space="preserve">https://naacls.org/about/</w:t>
        </w:r>
      </w:hyperlink>
    </w:p>
    <w:p>
      <w:pPr>
        <w:numPr>
          <w:ilvl w:val="0"/>
          <w:numId w:val="1037"/>
        </w:numPr>
        <w:pStyle w:val="Compact"/>
      </w:pPr>
      <w:r>
        <w:t xml:space="preserve">ASCP BOC MLT:</w:t>
      </w:r>
      <w:r>
        <w:t xml:space="preserve"> </w:t>
      </w:r>
      <w:hyperlink r:id="rId117">
        <w:hyperlink r:id="rId117">
          <w:r>
            <w:rPr>
              <w:rStyle w:val="Hyperlink"/>
            </w:rPr>
            <w:t xml:space="preserve">Source link</w:t>
          </w:r>
        </w:hyperlink>
      </w:hyperlink>
    </w:p>
    <w:p>
      <w:pPr>
        <w:numPr>
          <w:ilvl w:val="0"/>
          <w:numId w:val="1037"/>
        </w:numPr>
        <w:pStyle w:val="Compact"/>
      </w:pPr>
      <w:r>
        <w:t xml:space="preserve">CareerOneStop WIOA finder:</w:t>
      </w:r>
      <w:r>
        <w:t xml:space="preserve"> </w:t>
      </w:r>
      <w:hyperlink r:id="rId69">
        <w:hyperlink r:id="rId69">
          <w:r>
            <w:rPr>
              <w:rStyle w:val="Hyperlink"/>
            </w:rPr>
            <w:t xml:space="preserve">Source link</w:t>
          </w:r>
        </w:hyperlink>
      </w:hyperlink>
    </w:p>
    <w:p>
      <w:pPr>
        <w:numPr>
          <w:ilvl w:val="0"/>
          <w:numId w:val="1037"/>
        </w:numPr>
        <w:pStyle w:val="Compact"/>
      </w:pPr>
      <w:r>
        <w:t xml:space="preserve">Apprenticeship.gov:</w:t>
      </w:r>
      <w:r>
        <w:t xml:space="preserve"> </w:t>
      </w:r>
      <w:hyperlink r:id="rId71">
        <w:r>
          <w:rPr>
            <w:rStyle w:val="Hyperlink"/>
          </w:rPr>
          <w:t xml:space="preserve">https://www.apprenticeship.gov/</w:t>
        </w:r>
      </w:hyperlink>
    </w:p>
    <w:bookmarkEnd w:id="118"/>
    <w:bookmarkStart w:id="127" w:name="canada"/>
    <w:p>
      <w:pPr>
        <w:pStyle w:val="Heading3"/>
      </w:pPr>
      <w:r>
        <w:t xml:space="preserve">Canada</w:t>
      </w:r>
    </w:p>
    <w:p>
      <w:pPr>
        <w:numPr>
          <w:ilvl w:val="0"/>
          <w:numId w:val="1038"/>
        </w:numPr>
        <w:pStyle w:val="Compact"/>
      </w:pPr>
      <w:r>
        <w:t xml:space="preserve">Job Bank NOC 32120 summary:</w:t>
      </w:r>
      <w:r>
        <w:t xml:space="preserve"> </w:t>
      </w:r>
      <w:hyperlink r:id="rId119">
        <w:hyperlink r:id="rId119">
          <w:r>
            <w:rPr>
              <w:rStyle w:val="Hyperlink"/>
            </w:rPr>
            <w:t xml:space="preserve">Source link</w:t>
          </w:r>
        </w:hyperlink>
      </w:hyperlink>
    </w:p>
    <w:p>
      <w:pPr>
        <w:numPr>
          <w:ilvl w:val="0"/>
          <w:numId w:val="1038"/>
        </w:numPr>
        <w:pStyle w:val="Compact"/>
      </w:pPr>
      <w:r>
        <w:t xml:space="preserve">Job Bank NOC 32120 wages:</w:t>
      </w:r>
      <w:r>
        <w:t xml:space="preserve"> </w:t>
      </w:r>
      <w:hyperlink r:id="rId120">
        <w:hyperlink r:id="rId120">
          <w:r>
            <w:rPr>
              <w:rStyle w:val="Hyperlink"/>
            </w:rPr>
            <w:t xml:space="preserve">Source link</w:t>
          </w:r>
        </w:hyperlink>
      </w:hyperlink>
    </w:p>
    <w:p>
      <w:pPr>
        <w:numPr>
          <w:ilvl w:val="0"/>
          <w:numId w:val="1038"/>
        </w:numPr>
        <w:pStyle w:val="Compact"/>
      </w:pPr>
      <w:r>
        <w:t xml:space="preserve">Job Bank NOC 32120 requirements:</w:t>
      </w:r>
      <w:r>
        <w:t xml:space="preserve"> </w:t>
      </w:r>
      <w:hyperlink r:id="rId121">
        <w:hyperlink r:id="rId121">
          <w:r>
            <w:rPr>
              <w:rStyle w:val="Hyperlink"/>
            </w:rPr>
            <w:t xml:space="preserve">Source link</w:t>
          </w:r>
        </w:hyperlink>
      </w:hyperlink>
    </w:p>
    <w:p>
      <w:pPr>
        <w:numPr>
          <w:ilvl w:val="0"/>
          <w:numId w:val="1038"/>
        </w:numPr>
        <w:pStyle w:val="Compact"/>
      </w:pPr>
      <w:r>
        <w:t xml:space="preserve">Job Bank NOC 32120 outlook:</w:t>
      </w:r>
      <w:r>
        <w:t xml:space="preserve"> </w:t>
      </w:r>
      <w:hyperlink r:id="rId122">
        <w:hyperlink r:id="rId122">
          <w:r>
            <w:rPr>
              <w:rStyle w:val="Hyperlink"/>
            </w:rPr>
            <w:t xml:space="preserve">Source link</w:t>
          </w:r>
        </w:hyperlink>
      </w:hyperlink>
    </w:p>
    <w:p>
      <w:pPr>
        <w:numPr>
          <w:ilvl w:val="0"/>
          <w:numId w:val="1038"/>
        </w:numPr>
        <w:pStyle w:val="Compact"/>
      </w:pPr>
      <w:r>
        <w:t xml:space="preserve">Job Bank NOC 33101 summary:</w:t>
      </w:r>
      <w:r>
        <w:t xml:space="preserve"> </w:t>
      </w:r>
      <w:hyperlink r:id="rId123">
        <w:hyperlink r:id="rId123">
          <w:r>
            <w:rPr>
              <w:rStyle w:val="Hyperlink"/>
            </w:rPr>
            <w:t xml:space="preserve">Source link</w:t>
          </w:r>
        </w:hyperlink>
      </w:hyperlink>
    </w:p>
    <w:p>
      <w:pPr>
        <w:numPr>
          <w:ilvl w:val="0"/>
          <w:numId w:val="1038"/>
        </w:numPr>
        <w:pStyle w:val="Compact"/>
      </w:pPr>
      <w:r>
        <w:t xml:space="preserve">Job Bank NOC 33101 wages:</w:t>
      </w:r>
      <w:r>
        <w:t xml:space="preserve"> </w:t>
      </w:r>
      <w:hyperlink r:id="rId124">
        <w:hyperlink r:id="rId124">
          <w:r>
            <w:rPr>
              <w:rStyle w:val="Hyperlink"/>
            </w:rPr>
            <w:t xml:space="preserve">Source link</w:t>
          </w:r>
        </w:hyperlink>
      </w:hyperlink>
    </w:p>
    <w:p>
      <w:pPr>
        <w:numPr>
          <w:ilvl w:val="0"/>
          <w:numId w:val="1038"/>
        </w:numPr>
        <w:pStyle w:val="Compact"/>
      </w:pPr>
      <w:r>
        <w:t xml:space="preserve">CSMLS education pathways:</w:t>
      </w:r>
      <w:r>
        <w:t xml:space="preserve"> </w:t>
      </w:r>
      <w:hyperlink r:id="rId125">
        <w:hyperlink r:id="rId125">
          <w:r>
            <w:rPr>
              <w:rStyle w:val="Hyperlink"/>
            </w:rPr>
            <w:t xml:space="preserve">Source link</w:t>
          </w:r>
        </w:hyperlink>
      </w:hyperlink>
    </w:p>
    <w:p>
      <w:pPr>
        <w:numPr>
          <w:ilvl w:val="0"/>
          <w:numId w:val="1038"/>
        </w:numPr>
        <w:pStyle w:val="Compact"/>
      </w:pPr>
      <w:r>
        <w:t xml:space="preserve">CSMLS certification:</w:t>
      </w:r>
      <w:r>
        <w:t xml:space="preserve"> </w:t>
      </w:r>
      <w:hyperlink r:id="rId126">
        <w:r>
          <w:rPr>
            <w:rStyle w:val="Hyperlink"/>
          </w:rPr>
          <w:t xml:space="preserve">https://csmls.org/certification/</w:t>
        </w:r>
      </w:hyperlink>
    </w:p>
    <w:p>
      <w:pPr>
        <w:numPr>
          <w:ilvl w:val="0"/>
          <w:numId w:val="1038"/>
        </w:numPr>
        <w:pStyle w:val="Compact"/>
      </w:pPr>
      <w:r>
        <w:t xml:space="preserve">Government of Canada training:</w:t>
      </w:r>
      <w:r>
        <w:t xml:space="preserve"> </w:t>
      </w:r>
      <w:hyperlink r:id="rId76">
        <w:hyperlink r:id="rId76">
          <w:r>
            <w:rPr>
              <w:rStyle w:val="Hyperlink"/>
            </w:rPr>
            <w:t xml:space="preserve">Source link</w:t>
          </w:r>
        </w:hyperlink>
      </w:hyperlink>
    </w:p>
    <w:bookmarkEnd w:id="127"/>
    <w:bookmarkStart w:id="129" w:name="colombia-and-latin-america"/>
    <w:p>
      <w:pPr>
        <w:pStyle w:val="Heading3"/>
      </w:pPr>
      <w:r>
        <w:t xml:space="preserve">Colombia and Latin America</w:t>
      </w:r>
    </w:p>
    <w:p>
      <w:pPr>
        <w:numPr>
          <w:ilvl w:val="0"/>
          <w:numId w:val="1039"/>
        </w:numPr>
        <w:pStyle w:val="Compact"/>
      </w:pPr>
      <w:r>
        <w:t xml:space="preserve">OCUPACOL CUOC 32120:</w:t>
      </w:r>
      <w:r>
        <w:t xml:space="preserve"> </w:t>
      </w:r>
      <w:hyperlink r:id="rId78">
        <w:hyperlink r:id="rId78">
          <w:r>
            <w:rPr>
              <w:rStyle w:val="Hyperlink"/>
            </w:rPr>
            <w:t xml:space="preserve">Source link</w:t>
          </w:r>
        </w:hyperlink>
      </w:hyperlink>
    </w:p>
    <w:p>
      <w:pPr>
        <w:numPr>
          <w:ilvl w:val="0"/>
          <w:numId w:val="1039"/>
        </w:numPr>
        <w:pStyle w:val="Compact"/>
      </w:pPr>
      <w:r>
        <w:t xml:space="preserve">OCUPACOL CUOC 53294:</w:t>
      </w:r>
      <w:r>
        <w:t xml:space="preserve"> </w:t>
      </w:r>
      <w:hyperlink r:id="rId80">
        <w:hyperlink r:id="rId80">
          <w:r>
            <w:rPr>
              <w:rStyle w:val="Hyperlink"/>
            </w:rPr>
            <w:t xml:space="preserve">Source link</w:t>
          </w:r>
        </w:hyperlink>
      </w:hyperlink>
    </w:p>
    <w:p>
      <w:pPr>
        <w:numPr>
          <w:ilvl w:val="0"/>
          <w:numId w:val="1039"/>
        </w:numPr>
        <w:pStyle w:val="Compact"/>
      </w:pPr>
      <w:r>
        <w:t xml:space="preserve">SENA Betowa — Toma de muestras para procesamiento en el laboratorio clínico:</w:t>
      </w:r>
      <w:r>
        <w:t xml:space="preserve"> </w:t>
      </w:r>
      <w:hyperlink r:id="rId82">
        <w:hyperlink r:id="rId82">
          <w:r>
            <w:rPr>
              <w:rStyle w:val="Hyperlink"/>
            </w:rPr>
            <w:t xml:space="preserve">Source link</w:t>
          </w:r>
        </w:hyperlink>
      </w:hyperlink>
    </w:p>
    <w:p>
      <w:pPr>
        <w:numPr>
          <w:ilvl w:val="0"/>
          <w:numId w:val="1039"/>
        </w:numPr>
        <w:pStyle w:val="Compact"/>
      </w:pPr>
      <w:r>
        <w:t xml:space="preserve">SENA Public Employment Agency:</w:t>
      </w:r>
      <w:r>
        <w:t xml:space="preserve"> </w:t>
      </w:r>
      <w:hyperlink r:id="rId128">
        <w:r>
          <w:rPr>
            <w:rStyle w:val="Hyperlink"/>
          </w:rPr>
          <w:t xml:space="preserve">https://agenciapublicadeempleo.sena.edu.co/</w:t>
        </w:r>
      </w:hyperlink>
    </w:p>
    <w:p>
      <w:pPr>
        <w:numPr>
          <w:ilvl w:val="0"/>
          <w:numId w:val="1039"/>
        </w:numPr>
        <w:pStyle w:val="Compact"/>
      </w:pPr>
      <w:r>
        <w:t xml:space="preserve">OIT/Cinterfor training-institution observatory:</w:t>
      </w:r>
      <w:r>
        <w:t xml:space="preserve"> </w:t>
      </w:r>
      <w:hyperlink r:id="rId84">
        <w:r>
          <w:rPr>
            <w:rStyle w:val="Hyperlink"/>
          </w:rPr>
          <w:t xml:space="preserve">https://www.oitcinterfor.org/statsfp/paises</w:t>
        </w:r>
      </w:hyperlink>
    </w:p>
    <w:bookmarkEnd w:id="129"/>
    <w:bookmarkStart w:id="131" w:name="responsible-ai-1"/>
    <w:p>
      <w:pPr>
        <w:pStyle w:val="Heading3"/>
      </w:pPr>
      <w:r>
        <w:t xml:space="preserve">Responsible AI</w:t>
      </w:r>
    </w:p>
    <w:p>
      <w:pPr>
        <w:numPr>
          <w:ilvl w:val="0"/>
          <w:numId w:val="1040"/>
        </w:numPr>
        <w:pStyle w:val="Compact"/>
      </w:pPr>
      <w:r>
        <w:t xml:space="preserve">NIST AI Risk Management Framework:</w:t>
      </w:r>
      <w:r>
        <w:t xml:space="preserve"> </w:t>
      </w:r>
      <w:hyperlink r:id="rId130">
        <w:hyperlink r:id="rId130">
          <w:r>
            <w:rPr>
              <w:rStyle w:val="Hyperlink"/>
            </w:rPr>
            <w:t xml:space="preserve">Source link</w:t>
          </w:r>
        </w:hyperlink>
      </w:hyperlink>
    </w:p>
    <w:bookmarkEnd w:id="131"/>
    <w:bookmarkStart w:id="135" w:name="current-private-us-market-context"/>
    <w:p>
      <w:pPr>
        <w:pStyle w:val="Heading3"/>
      </w:pPr>
      <w:r>
        <w:t xml:space="preserve">Current private U.S. market context</w:t>
      </w:r>
    </w:p>
    <w:p>
      <w:pPr>
        <w:numPr>
          <w:ilvl w:val="0"/>
          <w:numId w:val="1041"/>
        </w:numPr>
        <w:pStyle w:val="Compact"/>
      </w:pPr>
      <w:r>
        <w:t xml:space="preserve">ZipRecruiter Clinical Laboratory Technician:</w:t>
      </w:r>
      <w:r>
        <w:t xml:space="preserve"> </w:t>
      </w:r>
      <w:hyperlink r:id="rId132">
        <w:hyperlink r:id="rId132">
          <w:r>
            <w:rPr>
              <w:rStyle w:val="Hyperlink"/>
            </w:rPr>
            <w:t xml:space="preserve">Source link</w:t>
          </w:r>
        </w:hyperlink>
      </w:hyperlink>
    </w:p>
    <w:p>
      <w:pPr>
        <w:numPr>
          <w:ilvl w:val="0"/>
          <w:numId w:val="1041"/>
        </w:numPr>
        <w:pStyle w:val="Compact"/>
      </w:pPr>
      <w:r>
        <w:t xml:space="preserve">ZipRecruiter MLT Lab Technician:</w:t>
      </w:r>
      <w:r>
        <w:t xml:space="preserve"> </w:t>
      </w:r>
      <w:hyperlink r:id="rId133">
        <w:hyperlink r:id="rId133">
          <w:r>
            <w:rPr>
              <w:rStyle w:val="Hyperlink"/>
            </w:rPr>
            <w:t xml:space="preserve">Source link</w:t>
          </w:r>
        </w:hyperlink>
      </w:hyperlink>
    </w:p>
    <w:p>
      <w:pPr>
        <w:numPr>
          <w:ilvl w:val="0"/>
          <w:numId w:val="1041"/>
        </w:numPr>
        <w:pStyle w:val="Compact"/>
      </w:pPr>
      <w:r>
        <w:t xml:space="preserve">Glassdoor Clinical Laboratory Technician:</w:t>
      </w:r>
      <w:r>
        <w:t xml:space="preserve"> </w:t>
      </w:r>
      <w:hyperlink r:id="rId134">
        <w:hyperlink r:id="rId134">
          <w:r>
            <w:rPr>
              <w:rStyle w:val="Hyperlink"/>
            </w:rPr>
            <w:t xml:space="preserve">Source link</w:t>
          </w:r>
        </w:hyperlink>
      </w:hyperlink>
    </w:p>
    <w:bookmarkEnd w:id="135"/>
    <w:bookmarkEnd w:id="136"/>
    <w:bookmarkStart w:id="137" w:name="important-notice"/>
    <w:p>
      <w:pPr>
        <w:pStyle w:val="Heading2"/>
      </w:pPr>
      <w:r>
        <w:t xml:space="preserve">Important notice</w:t>
      </w:r>
    </w:p>
    <w:p>
      <w:pPr>
        <w:pStyle w:val="FirstParagraph"/>
      </w:pPr>
      <w:r>
        <w:t xml:space="preserve">This guide is educational career-planning material. It does not certify clinical competence, authorize patient testing, provide medical advice, provide legal or regulatory advice, establish CLIA personnel eligibility, grant licensure or registration, guarantee admission, guarantee certification, guarantee funding, guarantee employment, guarantee income, or replace an employer’s validated procedures and competency program.</w:t>
      </w:r>
    </w:p>
    <w:p>
      <w:pPr>
        <w:pStyle w:val="BodyText"/>
      </w:pPr>
      <w:r>
        <w:t xml:space="preserve">Requirements change by test complexity, laboratory, employer, accreditor, state/province/country and date. Verify consequential decisions with current official sources, the applicable regulator, recognized education/certification organizations and the laboratory’s authorized leadership.</w:t>
      </w:r>
    </w:p>
    <w:p>
      <w:pPr>
        <w:pStyle w:val="BodyText"/>
      </w:pPr>
      <w:r>
        <w:t xml:space="preserve">No independent human certification, certified translation, accreditation review, professional licensure review, legal review, medical review, laboratory accreditation, safety certification or accessibility certification is claimed.</w:t>
      </w:r>
    </w:p>
    <w:bookmarkEnd w:id="137"/>
    <w:bookmarkStart w:id="138"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38"/>
    <w:bookmarkStart w:id="139"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s://agenciapublicadeempleo.sena.edu.co/" TargetMode="External" /><Relationship Type="http://schemas.openxmlformats.org/officeDocument/2006/relationships/hyperlink" Id="rId82" Target="https://betowa.sena.edu.co/oferta/toma-de-muestras-para-procesamiento-en-el-laboratorio-clinico?location=57011001&amp;modality=P&amp;programId=84606" TargetMode="External" /><Relationship Type="http://schemas.openxmlformats.org/officeDocument/2006/relationships/hyperlink" Id="rId126" Target="https://csmls.org/certification/" TargetMode="External" /><Relationship Type="http://schemas.openxmlformats.org/officeDocument/2006/relationships/hyperlink" Id="rId125" Target="https://csmls.org/certification/medical-laboratory-professionals/how-to-become-a-medical-lab-professional/" TargetMode="External" /><Relationship Type="http://schemas.openxmlformats.org/officeDocument/2006/relationships/hyperlink" Id="rId116" Target="https://naacls.org/about/" TargetMode="External" /><Relationship Type="http://schemas.openxmlformats.org/officeDocument/2006/relationships/hyperlink" Id="rId115" Target="https://naacls.org/students/" TargetMode="External" /><Relationship Type="http://schemas.openxmlformats.org/officeDocument/2006/relationships/hyperlink" Id="rId78" Target="https://ocupacol.mintrabajo.gov.co/Profile/OccupationalProfile/32120" TargetMode="External" /><Relationship Type="http://schemas.openxmlformats.org/officeDocument/2006/relationships/hyperlink" Id="rId80" Target="https://ocupacol.mintrabajo.gov.co/Profile/OccupationalProfile/53294" TargetMode="External" /><Relationship Type="http://schemas.openxmlformats.org/officeDocument/2006/relationships/hyperlink" Id="rId71" Target="https://www.apprenticeship.gov/" TargetMode="External" /><Relationship Type="http://schemas.openxmlformats.org/officeDocument/2006/relationships/hyperlink" Id="rId117" Target="https://www.ascp.org/boc/explore-credentials/view-all-credentials/MLT" TargetMode="External" /><Relationship Type="http://schemas.openxmlformats.org/officeDocument/2006/relationships/hyperlink" Id="rId102" Target="https://www.bls.gov/news.release/ocwage.t01.htm" TargetMode="External" /><Relationship Type="http://schemas.openxmlformats.org/officeDocument/2006/relationships/hyperlink" Id="rId101" Target="https://www.bls.gov/ooh/healthcare/clinical-laboratory-technologists-and-technicians.htm" TargetMode="External" /><Relationship Type="http://schemas.openxmlformats.org/officeDocument/2006/relationships/hyperlink" Id="rId76"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104" Target="https://www.cdc.gov/clia/" TargetMode="External" /><Relationship Type="http://schemas.openxmlformats.org/officeDocument/2006/relationships/hyperlink" Id="rId105" Target="https://www.cdc.gov/clia/php/test-complexities/index.html" TargetMode="External" /><Relationship Type="http://schemas.openxmlformats.org/officeDocument/2006/relationships/hyperlink" Id="rId106" Target="https://www.cdc.gov/lab-quality/php/about/index.html" TargetMode="External" /><Relationship Type="http://schemas.openxmlformats.org/officeDocument/2006/relationships/hyperlink" Id="rId107" Target="https://www.cdc.gov/lab-quality/php/iqcp/index.html" TargetMode="External" /><Relationship Type="http://schemas.openxmlformats.org/officeDocument/2006/relationships/hyperlink" Id="rId108" Target="https://www.cdc.gov/lab-training/php/courses/introduction-clinical-laboratory-improvement-amendments-of-1988-clia.html" TargetMode="External" /><Relationship Type="http://schemas.openxmlformats.org/officeDocument/2006/relationships/hyperlink" Id="rId109" Target="https://www.ecfr.gov/current/title-42/chapter-IV/subchapter-G/part-493" TargetMode="External" /><Relationship Type="http://schemas.openxmlformats.org/officeDocument/2006/relationships/hyperlink" Id="rId110" Target="https://www.ecfr.gov/current/title-42/chapter-IV/subchapter-G/part-493/subpart-M" TargetMode="External" /><Relationship Type="http://schemas.openxmlformats.org/officeDocument/2006/relationships/hyperlink" Id="rId134" Target="https://www.glassdoor.com/Salaries/clinical-laboratory-technician-salary-SRCH_KO0,30.htm" TargetMode="External" /><Relationship Type="http://schemas.openxmlformats.org/officeDocument/2006/relationships/hyperlink" Id="rId122" Target="https://www.jobbank.gc.ca/marketreport/outlook-occupation/4187/ca" TargetMode="External" /><Relationship Type="http://schemas.openxmlformats.org/officeDocument/2006/relationships/hyperlink" Id="rId121" Target="https://www.jobbank.gc.ca/marketreport/requirements/4189/ca" TargetMode="External" /><Relationship Type="http://schemas.openxmlformats.org/officeDocument/2006/relationships/hyperlink" Id="rId119" Target="https://www.jobbank.gc.ca/marketreport/summary-occupation/4187/ca" TargetMode="External" /><Relationship Type="http://schemas.openxmlformats.org/officeDocument/2006/relationships/hyperlink" Id="rId123" Target="https://www.jobbank.gc.ca/marketreport/summary-occupation/4207/ca" TargetMode="External" /><Relationship Type="http://schemas.openxmlformats.org/officeDocument/2006/relationships/hyperlink" Id="rId120" Target="https://www.jobbank.gc.ca/marketreport/wages-occupation/4187/ca" TargetMode="External" /><Relationship Type="http://schemas.openxmlformats.org/officeDocument/2006/relationships/hyperlink" Id="rId124" Target="https://www.jobbank.gc.ca/marketreport/wages-occupation/4207/ca" TargetMode="External" /><Relationship Type="http://schemas.openxmlformats.org/officeDocument/2006/relationships/hyperlink" Id="rId130" Target="https://www.nist.gov/itl/ai-risk-management-framework" TargetMode="External" /><Relationship Type="http://schemas.openxmlformats.org/officeDocument/2006/relationships/hyperlink" Id="rId84" Target="https://www.oitcinterfor.org/statsfp/paises" TargetMode="External" /><Relationship Type="http://schemas.openxmlformats.org/officeDocument/2006/relationships/hyperlink" Id="rId100" Target="https://www.onetonline.org/link/details/29-2012.00" TargetMode="External" /><Relationship Type="http://schemas.openxmlformats.org/officeDocument/2006/relationships/hyperlink" Id="rId112" Target="https://www.osha.gov/laws-regs/regulations/standardnumber/1910/1910.1030" TargetMode="External" /><Relationship Type="http://schemas.openxmlformats.org/officeDocument/2006/relationships/hyperlink" Id="rId113" Target="https://www.osha.gov/laws-regs/regulations/standardnumber/1910/1910.1450" TargetMode="External" /><Relationship Type="http://schemas.openxmlformats.org/officeDocument/2006/relationships/hyperlink" Id="rId132" Target="https://www.ziprecruiter.com/Salaries/Clinical-Laboratory-Technician-Salary" TargetMode="External" /><Relationship Type="http://schemas.openxmlformats.org/officeDocument/2006/relationships/hyperlink" Id="rId133" Target="https://www.ziprecruiter.com/Salaries/Mlt-Lab-Technician-Salary" TargetMode="External" /></Relationships>
</file>

<file path=word/_rels/footnotes.xml.rels><?xml version="1.0" encoding="UTF-8"?><Relationships xmlns="http://schemas.openxmlformats.org/package/2006/relationships"><Relationship Type="http://schemas.openxmlformats.org/officeDocument/2006/relationships/hyperlink" Id="rId128" Target="https://agenciapublicadeempleo.sena.edu.co/" TargetMode="External" /><Relationship Type="http://schemas.openxmlformats.org/officeDocument/2006/relationships/hyperlink" Id="rId82" Target="https://betowa.sena.edu.co/oferta/toma-de-muestras-para-procesamiento-en-el-laboratorio-clinico?location=57011001&amp;modality=P&amp;programId=84606" TargetMode="External" /><Relationship Type="http://schemas.openxmlformats.org/officeDocument/2006/relationships/hyperlink" Id="rId126" Target="https://csmls.org/certification/" TargetMode="External" /><Relationship Type="http://schemas.openxmlformats.org/officeDocument/2006/relationships/hyperlink" Id="rId125" Target="https://csmls.org/certification/medical-laboratory-professionals/how-to-become-a-medical-lab-professional/" TargetMode="External" /><Relationship Type="http://schemas.openxmlformats.org/officeDocument/2006/relationships/hyperlink" Id="rId116" Target="https://naacls.org/about/" TargetMode="External" /><Relationship Type="http://schemas.openxmlformats.org/officeDocument/2006/relationships/hyperlink" Id="rId115" Target="https://naacls.org/students/" TargetMode="External" /><Relationship Type="http://schemas.openxmlformats.org/officeDocument/2006/relationships/hyperlink" Id="rId78" Target="https://ocupacol.mintrabajo.gov.co/Profile/OccupationalProfile/32120" TargetMode="External" /><Relationship Type="http://schemas.openxmlformats.org/officeDocument/2006/relationships/hyperlink" Id="rId80" Target="https://ocupacol.mintrabajo.gov.co/Profile/OccupationalProfile/53294" TargetMode="External" /><Relationship Type="http://schemas.openxmlformats.org/officeDocument/2006/relationships/hyperlink" Id="rId71" Target="https://www.apprenticeship.gov/" TargetMode="External" /><Relationship Type="http://schemas.openxmlformats.org/officeDocument/2006/relationships/hyperlink" Id="rId117" Target="https://www.ascp.org/boc/explore-credentials/view-all-credentials/MLT" TargetMode="External" /><Relationship Type="http://schemas.openxmlformats.org/officeDocument/2006/relationships/hyperlink" Id="rId102" Target="https://www.bls.gov/news.release/ocwage.t01.htm" TargetMode="External" /><Relationship Type="http://schemas.openxmlformats.org/officeDocument/2006/relationships/hyperlink" Id="rId101" Target="https://www.bls.gov/ooh/healthcare/clinical-laboratory-technologists-and-technicians.htm" TargetMode="External" /><Relationship Type="http://schemas.openxmlformats.org/officeDocument/2006/relationships/hyperlink" Id="rId76"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104" Target="https://www.cdc.gov/clia/" TargetMode="External" /><Relationship Type="http://schemas.openxmlformats.org/officeDocument/2006/relationships/hyperlink" Id="rId105" Target="https://www.cdc.gov/clia/php/test-complexities/index.html" TargetMode="External" /><Relationship Type="http://schemas.openxmlformats.org/officeDocument/2006/relationships/hyperlink" Id="rId106" Target="https://www.cdc.gov/lab-quality/php/about/index.html" TargetMode="External" /><Relationship Type="http://schemas.openxmlformats.org/officeDocument/2006/relationships/hyperlink" Id="rId107" Target="https://www.cdc.gov/lab-quality/php/iqcp/index.html" TargetMode="External" /><Relationship Type="http://schemas.openxmlformats.org/officeDocument/2006/relationships/hyperlink" Id="rId108" Target="https://www.cdc.gov/lab-training/php/courses/introduction-clinical-laboratory-improvement-amendments-of-1988-clia.html" TargetMode="External" /><Relationship Type="http://schemas.openxmlformats.org/officeDocument/2006/relationships/hyperlink" Id="rId109" Target="https://www.ecfr.gov/current/title-42/chapter-IV/subchapter-G/part-493" TargetMode="External" /><Relationship Type="http://schemas.openxmlformats.org/officeDocument/2006/relationships/hyperlink" Id="rId110" Target="https://www.ecfr.gov/current/title-42/chapter-IV/subchapter-G/part-493/subpart-M" TargetMode="External" /><Relationship Type="http://schemas.openxmlformats.org/officeDocument/2006/relationships/hyperlink" Id="rId134" Target="https://www.glassdoor.com/Salaries/clinical-laboratory-technician-salary-SRCH_KO0,30.htm" TargetMode="External" /><Relationship Type="http://schemas.openxmlformats.org/officeDocument/2006/relationships/hyperlink" Id="rId122" Target="https://www.jobbank.gc.ca/marketreport/outlook-occupation/4187/ca" TargetMode="External" /><Relationship Type="http://schemas.openxmlformats.org/officeDocument/2006/relationships/hyperlink" Id="rId121" Target="https://www.jobbank.gc.ca/marketreport/requirements/4189/ca" TargetMode="External" /><Relationship Type="http://schemas.openxmlformats.org/officeDocument/2006/relationships/hyperlink" Id="rId119" Target="https://www.jobbank.gc.ca/marketreport/summary-occupation/4187/ca" TargetMode="External" /><Relationship Type="http://schemas.openxmlformats.org/officeDocument/2006/relationships/hyperlink" Id="rId123" Target="https://www.jobbank.gc.ca/marketreport/summary-occupation/4207/ca" TargetMode="External" /><Relationship Type="http://schemas.openxmlformats.org/officeDocument/2006/relationships/hyperlink" Id="rId120" Target="https://www.jobbank.gc.ca/marketreport/wages-occupation/4187/ca" TargetMode="External" /><Relationship Type="http://schemas.openxmlformats.org/officeDocument/2006/relationships/hyperlink" Id="rId124" Target="https://www.jobbank.gc.ca/marketreport/wages-occupation/4207/ca" TargetMode="External" /><Relationship Type="http://schemas.openxmlformats.org/officeDocument/2006/relationships/hyperlink" Id="rId130" Target="https://www.nist.gov/itl/ai-risk-management-framework" TargetMode="External" /><Relationship Type="http://schemas.openxmlformats.org/officeDocument/2006/relationships/hyperlink" Id="rId84" Target="https://www.oitcinterfor.org/statsfp/paises" TargetMode="External" /><Relationship Type="http://schemas.openxmlformats.org/officeDocument/2006/relationships/hyperlink" Id="rId100" Target="https://www.onetonline.org/link/details/29-2012.00" TargetMode="External" /><Relationship Type="http://schemas.openxmlformats.org/officeDocument/2006/relationships/hyperlink" Id="rId112" Target="https://www.osha.gov/laws-regs/regulations/standardnumber/1910/1910.1030" TargetMode="External" /><Relationship Type="http://schemas.openxmlformats.org/officeDocument/2006/relationships/hyperlink" Id="rId113" Target="https://www.osha.gov/laws-regs/regulations/standardnumber/1910/1910.1450" TargetMode="External" /><Relationship Type="http://schemas.openxmlformats.org/officeDocument/2006/relationships/hyperlink" Id="rId132" Target="https://www.ziprecruiter.com/Salaries/Clinical-Laboratory-Technician-Salary" TargetMode="External" /><Relationship Type="http://schemas.openxmlformats.org/officeDocument/2006/relationships/hyperlink" Id="rId133" Target="https://www.ziprecruiter.com/Salaries/Mlt-Lab-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2026-08-23T01:42:53Z</dcterms:created>
  <dcterms:modified xsi:type="dcterms:W3CDTF">2026-08-23T01:42:53Z</dcterms:modified>
</cp:coreProperties>
</file>

<file path=docProps/custom.xml><?xml version="1.0" encoding="utf-8"?>
<Properties xmlns="http://schemas.openxmlformats.org/officeDocument/2006/custom-properties" xmlns:vt="http://schemas.openxmlformats.org/officeDocument/2006/docPropsVTypes"/>
</file>