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e9b2728c85e663d5f96408615362002bcb1f31"/>
    <w:p>
      <w:pPr>
        <w:pStyle w:val="Heading1"/>
      </w:pPr>
      <w:r>
        <w:t xml:space="preserve">Lifelong Opportunity Guide 12 — Compliance Coordinator and Compliance Assistant</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compliance work is right for everyone, that a credential will produce employment, that training will be free, or that any wage will apply in every location. Its purpose is to help readers understand support-level compliance work, compare affordable learning routes, recognize professional boundaries, build evidence of capability, use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rPr>
          <w:rStyle w:val="VerbatimChar"/>
        </w:rPr>
        <w:t xml:space="preserve">Compliance Coordinator</w:t>
      </w:r>
      <w:r>
        <w:t xml:space="preserve"> </w:t>
      </w:r>
      <w:r>
        <w:t xml:space="preserve">and</w:t>
      </w:r>
      <w:r>
        <w:t xml:space="preserve"> </w:t>
      </w:r>
      <w:r>
        <w:rPr>
          <w:rStyle w:val="VerbatimChar"/>
        </w:rPr>
        <w:t xml:space="preserve">Compliance Assistant</w:t>
      </w:r>
      <w:r>
        <w:t xml:space="preserve"> </w:t>
      </w:r>
      <w:r>
        <w:t xml:space="preserve">are broad job titles. One employer may mean policy administration, evidence collection, training records, issue tracking, and audit support. Another may mean financial crime, privacy, healthcare, environmental, safety, export-control, quality, licensing, regulatory, or public-sector compliance. The safest career plan starts with the actual domain, duties, authority, and jurisdiction—not the title alone.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translation support, and document preparation. AI assistance is not independent human certification, professional translation certification, accreditation, accessibility certification, legal review, compliance certification,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regulatory, financial, privacy, cybersecurity, healthcare, safety, environmental, tax, immigration, licensing, or professional advice. A coordinator or assistant should not be represented as independently authorized to interpret law, certify compliance, make regulator-facing representations, conduct privileged legal analysis, or close serious investigations unless the role and jurisdiction actually grant that authority.</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current vacancies in your target market.</w:t>
      </w:r>
    </w:p>
    <w:p>
      <w:pPr>
        <w:numPr>
          <w:ilvl w:val="0"/>
          <w:numId w:val="1001"/>
        </w:numPr>
        <w:pStyle w:val="Compact"/>
      </w:pPr>
      <w:r>
        <w:t xml:space="preserve">Search</w:t>
      </w:r>
      <w:r>
        <w:t xml:space="preserve"> </w:t>
      </w:r>
      <w:r>
        <w:rPr>
          <w:rStyle w:val="VerbatimChar"/>
        </w:rPr>
        <w:t xml:space="preserve">Compliance Coordinator</w:t>
      </w:r>
      <w:r>
        <w:t xml:space="preserve">,</w:t>
      </w:r>
      <w:r>
        <w:t xml:space="preserve"> </w:t>
      </w:r>
      <w:r>
        <w:rPr>
          <w:rStyle w:val="VerbatimChar"/>
        </w:rPr>
        <w:t xml:space="preserve">Compliance Assistant</w:t>
      </w:r>
      <w:r>
        <w:t xml:space="preserve">,</w:t>
      </w:r>
      <w:r>
        <w:t xml:space="preserve"> </w:t>
      </w:r>
      <w:r>
        <w:rPr>
          <w:rStyle w:val="VerbatimChar"/>
        </w:rPr>
        <w:t xml:space="preserve">Compliance Administrator</w:t>
      </w:r>
      <w:r>
        <w:t xml:space="preserve">,</w:t>
      </w:r>
      <w:r>
        <w:t xml:space="preserve"> </w:t>
      </w:r>
      <w:r>
        <w:rPr>
          <w:rStyle w:val="VerbatimChar"/>
        </w:rPr>
        <w:t xml:space="preserve">Compliance Specialist</w:t>
      </w:r>
      <w:r>
        <w:t xml:space="preserve">,</w:t>
      </w:r>
      <w:r>
        <w:t xml:space="preserve"> </w:t>
      </w:r>
      <w:r>
        <w:rPr>
          <w:rStyle w:val="VerbatimChar"/>
        </w:rPr>
        <w:t xml:space="preserve">Regulatory Coordinator</w:t>
      </w:r>
      <w:r>
        <w:t xml:space="preserve">,</w:t>
      </w:r>
      <w:r>
        <w:t xml:space="preserve"> </w:t>
      </w:r>
      <w:r>
        <w:rPr>
          <w:rStyle w:val="VerbatimChar"/>
        </w:rPr>
        <w:t xml:space="preserve">Risk and Compliance Coordinator</w:t>
      </w:r>
      <w:r>
        <w:t xml:space="preserve">,</w:t>
      </w:r>
      <w:r>
        <w:t xml:space="preserve"> </w:t>
      </w:r>
      <w:r>
        <w:rPr>
          <w:rStyle w:val="VerbatimChar"/>
        </w:rPr>
        <w:t xml:space="preserve">Ethics and Compliance Coordinator</w:t>
      </w:r>
      <w:r>
        <w:t xml:space="preserve">, and local-language equivalents.</w:t>
      </w:r>
    </w:p>
    <w:p>
      <w:pPr>
        <w:numPr>
          <w:ilvl w:val="0"/>
          <w:numId w:val="1001"/>
        </w:numPr>
        <w:pStyle w:val="Compact"/>
      </w:pPr>
      <w:r>
        <w:t xml:space="preserve">Record the industry and domain before comparing requirements.</w:t>
      </w:r>
    </w:p>
    <w:p>
      <w:pPr>
        <w:numPr>
          <w:ilvl w:val="0"/>
          <w:numId w:val="1001"/>
        </w:numPr>
        <w:pStyle w:val="Compact"/>
      </w:pPr>
      <w:r>
        <w:t xml:space="preserve">Separate administrative support from specialist or licensed work.</w:t>
      </w:r>
    </w:p>
    <w:p>
      <w:pPr>
        <w:numPr>
          <w:ilvl w:val="0"/>
          <w:numId w:val="1001"/>
        </w:numPr>
        <w:pStyle w:val="Compact"/>
      </w:pPr>
      <w:r>
        <w:t xml:space="preserve">Note required education, certifications, systems, languages, investigation experience, regulatory knowledge, reporting, travel, schedule, and authority.</w:t>
      </w:r>
    </w:p>
    <w:p>
      <w:pPr>
        <w:numPr>
          <w:ilvl w:val="0"/>
          <w:numId w:val="1001"/>
        </w:numPr>
        <w:pStyle w:val="Compact"/>
      </w:pPr>
      <w:r>
        <w:t xml:space="preserve">Use public, free, employer-supported, or work-based learning before paying for a private credential when those routes meet the next verified requirement.</w:t>
      </w:r>
    </w:p>
    <w:p>
      <w:pPr>
        <w:numPr>
          <w:ilvl w:val="0"/>
          <w:numId w:val="1001"/>
        </w:numPr>
        <w:pStyle w:val="Compact"/>
      </w:pPr>
      <w:r>
        <w:t xml:space="preserve">Do not accept a training provider’s claim that one certificate qualifies a person for every compliance domain.</w:t>
      </w:r>
    </w:p>
    <w:bookmarkEnd w:id="24"/>
    <w:bookmarkStart w:id="25" w:name="what-the-work-is"/>
    <w:p>
      <w:pPr>
        <w:pStyle w:val="Heading2"/>
      </w:pPr>
      <w:r>
        <w:t xml:space="preserve">2. What the work is</w:t>
      </w:r>
    </w:p>
    <w:p>
      <w:pPr>
        <w:pStyle w:val="FirstParagraph"/>
      </w:pPr>
      <w:r>
        <w:t xml:space="preserve">Compliance coordinators and assistants may help an organization document, monitor, communicate, and improve adherence to policies, standards, contracts, laws, or regulations under established governance.</w:t>
      </w:r>
    </w:p>
    <w:p>
      <w:pPr>
        <w:pStyle w:val="BodyText"/>
      </w:pPr>
      <w:r>
        <w:t xml:space="preserve">Depending on the employer, duties may include:</w:t>
      </w:r>
    </w:p>
    <w:p>
      <w:pPr>
        <w:numPr>
          <w:ilvl w:val="0"/>
          <w:numId w:val="1002"/>
        </w:numPr>
        <w:pStyle w:val="Compact"/>
      </w:pPr>
      <w:r>
        <w:t xml:space="preserve">maintaining policies, procedures, registers, evidence, or control documentation;</w:t>
      </w:r>
    </w:p>
    <w:p>
      <w:pPr>
        <w:numPr>
          <w:ilvl w:val="0"/>
          <w:numId w:val="1002"/>
        </w:numPr>
        <w:pStyle w:val="Compact"/>
      </w:pPr>
      <w:r>
        <w:t xml:space="preserve">coordinating compliance calendars and recurring attestations;</w:t>
      </w:r>
    </w:p>
    <w:p>
      <w:pPr>
        <w:numPr>
          <w:ilvl w:val="0"/>
          <w:numId w:val="1002"/>
        </w:numPr>
        <w:pStyle w:val="Compact"/>
      </w:pPr>
      <w:r>
        <w:t xml:space="preserve">collecting evidence for audits, assessments, reviews, or regulator requests;</w:t>
      </w:r>
    </w:p>
    <w:p>
      <w:pPr>
        <w:numPr>
          <w:ilvl w:val="0"/>
          <w:numId w:val="1002"/>
        </w:numPr>
        <w:pStyle w:val="Compact"/>
      </w:pPr>
      <w:r>
        <w:t xml:space="preserve">tracking findings, exceptions, corrective actions, and due dates;</w:t>
      </w:r>
    </w:p>
    <w:p>
      <w:pPr>
        <w:numPr>
          <w:ilvl w:val="0"/>
          <w:numId w:val="1002"/>
        </w:numPr>
        <w:pStyle w:val="Compact"/>
      </w:pPr>
      <w:r>
        <w:t xml:space="preserve">supporting employee training and completion records;</w:t>
      </w:r>
    </w:p>
    <w:p>
      <w:pPr>
        <w:numPr>
          <w:ilvl w:val="0"/>
          <w:numId w:val="1002"/>
        </w:numPr>
        <w:pStyle w:val="Compact"/>
      </w:pPr>
      <w:r>
        <w:t xml:space="preserve">organizing certifications, licenses, permits, or required filings;</w:t>
      </w:r>
    </w:p>
    <w:p>
      <w:pPr>
        <w:numPr>
          <w:ilvl w:val="0"/>
          <w:numId w:val="1002"/>
        </w:numPr>
        <w:pStyle w:val="Compact"/>
      </w:pPr>
      <w:r>
        <w:t xml:space="preserve">monitoring inboxes, case queues, complaints, hotline records, or escalation channels;</w:t>
      </w:r>
    </w:p>
    <w:p>
      <w:pPr>
        <w:numPr>
          <w:ilvl w:val="0"/>
          <w:numId w:val="1002"/>
        </w:numPr>
        <w:pStyle w:val="Compact"/>
      </w:pPr>
      <w:r>
        <w:t xml:space="preserve">preparing dashboards and status reports;</w:t>
      </w:r>
    </w:p>
    <w:p>
      <w:pPr>
        <w:numPr>
          <w:ilvl w:val="0"/>
          <w:numId w:val="1002"/>
        </w:numPr>
        <w:pStyle w:val="Compact"/>
      </w:pPr>
      <w:r>
        <w:t xml:space="preserve">supporting third-party due diligence or onboarding;</w:t>
      </w:r>
    </w:p>
    <w:p>
      <w:pPr>
        <w:numPr>
          <w:ilvl w:val="0"/>
          <w:numId w:val="1002"/>
        </w:numPr>
        <w:pStyle w:val="Compact"/>
      </w:pPr>
      <w:r>
        <w:t xml:space="preserve">documenting meetings and action items;</w:t>
      </w:r>
    </w:p>
    <w:p>
      <w:pPr>
        <w:numPr>
          <w:ilvl w:val="0"/>
          <w:numId w:val="1002"/>
        </w:numPr>
        <w:pStyle w:val="Compact"/>
      </w:pPr>
      <w:r>
        <w:t xml:space="preserve">maintaining confidential investigation or review files under authorization; and</w:t>
      </w:r>
    </w:p>
    <w:p>
      <w:pPr>
        <w:numPr>
          <w:ilvl w:val="0"/>
          <w:numId w:val="1002"/>
        </w:numPr>
        <w:pStyle w:val="Compact"/>
      </w:pPr>
      <w:r>
        <w:t xml:space="preserve">escalating suspected breaches or unresolved control failures.</w:t>
      </w:r>
    </w:p>
    <w:p>
      <w:pPr>
        <w:pStyle w:val="FirstParagraph"/>
      </w:pPr>
      <w:r>
        <w:t xml:space="preserve">The closest broad U.S. BLS benchmark is</w:t>
      </w:r>
      <w:r>
        <w:t xml:space="preserve"> </w:t>
      </w:r>
      <w:r>
        <w:rPr>
          <w:bCs/>
          <w:b/>
        </w:rPr>
        <w:t xml:space="preserve">Compliance Officers</w:t>
      </w:r>
      <w:r>
        <w:t xml:space="preserve">. It is not a one-to-one mapping for every assistant or coordinator role.</w:t>
      </w:r>
    </w:p>
    <w:bookmarkEnd w:id="25"/>
    <w:bookmarkStart w:id="26" w:name="domains-and-a-realistic-work-cycle"/>
    <w:p>
      <w:pPr>
        <w:pStyle w:val="Heading2"/>
      </w:pPr>
      <w:r>
        <w:t xml:space="preserve">3. Domains and a realistic work cycle</w:t>
      </w:r>
    </w:p>
    <w:p>
      <w:pPr>
        <w:pStyle w:val="FirstParagraph"/>
      </w:pPr>
      <w:r>
        <w:t xml:space="preserve">Common compliance domains include corporate ethics, financial services, AML/KYC, privacy, cybersecurity, healthcare, pharmaceuticals, environmental requirements, workplace safety, quality, export controls, government contracting, records management, licensing, and industry-specific regulation.</w:t>
      </w:r>
    </w:p>
    <w:p>
      <w:pPr>
        <w:pStyle w:val="BodyText"/>
      </w:pPr>
      <w:r>
        <w:t xml:space="preserve">A realistic support cycle may be:</w:t>
      </w:r>
    </w:p>
    <w:p>
      <w:pPr>
        <w:numPr>
          <w:ilvl w:val="0"/>
          <w:numId w:val="1003"/>
        </w:numPr>
        <w:pStyle w:val="Compact"/>
      </w:pPr>
      <w:r>
        <w:t xml:space="preserve">Identify the applicable requirement, policy, control, or evidence request.</w:t>
      </w:r>
    </w:p>
    <w:p>
      <w:pPr>
        <w:numPr>
          <w:ilvl w:val="0"/>
          <w:numId w:val="1003"/>
        </w:numPr>
        <w:pStyle w:val="Compact"/>
      </w:pPr>
      <w:r>
        <w:t xml:space="preserve">Confirm the responsible owner and due date.</w:t>
      </w:r>
    </w:p>
    <w:p>
      <w:pPr>
        <w:numPr>
          <w:ilvl w:val="0"/>
          <w:numId w:val="1003"/>
        </w:numPr>
        <w:pStyle w:val="Compact"/>
      </w:pPr>
      <w:r>
        <w:t xml:space="preserve">Collect approved evidence without altering or backdating it.</w:t>
      </w:r>
    </w:p>
    <w:p>
      <w:pPr>
        <w:numPr>
          <w:ilvl w:val="0"/>
          <w:numId w:val="1003"/>
        </w:numPr>
        <w:pStyle w:val="Compact"/>
      </w:pPr>
      <w:r>
        <w:t xml:space="preserve">Check completeness against the established checklist or control procedure.</w:t>
      </w:r>
    </w:p>
    <w:p>
      <w:pPr>
        <w:numPr>
          <w:ilvl w:val="0"/>
          <w:numId w:val="1003"/>
        </w:numPr>
        <w:pStyle w:val="Compact"/>
      </w:pPr>
      <w:r>
        <w:t xml:space="preserve">Record exceptions, missing evidence, or overdue items accurately.</w:t>
      </w:r>
    </w:p>
    <w:p>
      <w:pPr>
        <w:numPr>
          <w:ilvl w:val="0"/>
          <w:numId w:val="1003"/>
        </w:numPr>
        <w:pStyle w:val="Compact"/>
      </w:pPr>
      <w:r>
        <w:t xml:space="preserve">Escalate interpretation questions to the responsible compliance, legal, privacy, security, safety, finance, clinical, engineering, or regulatory professional.</w:t>
      </w:r>
    </w:p>
    <w:p>
      <w:pPr>
        <w:numPr>
          <w:ilvl w:val="0"/>
          <w:numId w:val="1003"/>
        </w:numPr>
        <w:pStyle w:val="Compact"/>
      </w:pPr>
      <w:r>
        <w:t xml:space="preserve">Track remediation and retain supporting records.</w:t>
      </w:r>
    </w:p>
    <w:p>
      <w:pPr>
        <w:numPr>
          <w:ilvl w:val="0"/>
          <w:numId w:val="1003"/>
        </w:numPr>
        <w:pStyle w:val="Compact"/>
      </w:pPr>
      <w:r>
        <w:t xml:space="preserve">Report status without hiding failures or overstating assurance.</w:t>
      </w:r>
    </w:p>
    <w:p>
      <w:pPr>
        <w:numPr>
          <w:ilvl w:val="0"/>
          <w:numId w:val="1003"/>
        </w:numPr>
        <w:pStyle w:val="Compact"/>
      </w:pPr>
      <w:r>
        <w:t xml:space="preserve">Close the item only when the required evidence and approval exist.</w:t>
      </w:r>
    </w:p>
    <w:bookmarkEnd w:id="26"/>
    <w:bookmarkStart w:id="27" w:name="fit-work-conditions-and-accessibility"/>
    <w:p>
      <w:pPr>
        <w:pStyle w:val="Heading2"/>
      </w:pPr>
      <w:r>
        <w:t xml:space="preserve">4. Fit, work conditions, and accessibility</w:t>
      </w:r>
    </w:p>
    <w:p>
      <w:pPr>
        <w:pStyle w:val="FirstParagraph"/>
      </w:pPr>
      <w:r>
        <w:t xml:space="preserve">Ask yourself:</w:t>
      </w:r>
    </w:p>
    <w:p>
      <w:pPr>
        <w:numPr>
          <w:ilvl w:val="0"/>
          <w:numId w:val="1004"/>
        </w:numPr>
        <w:pStyle w:val="Compact"/>
      </w:pPr>
      <w:r>
        <w:t xml:space="preserve">Can I work carefully with policies, evidence, dates, and records?</w:t>
      </w:r>
    </w:p>
    <w:p>
      <w:pPr>
        <w:numPr>
          <w:ilvl w:val="0"/>
          <w:numId w:val="1004"/>
        </w:numPr>
        <w:pStyle w:val="Compact"/>
      </w:pPr>
      <w:r>
        <w:t xml:space="preserve">Can I report an uncomfortable finding without changing the facts?</w:t>
      </w:r>
    </w:p>
    <w:p>
      <w:pPr>
        <w:numPr>
          <w:ilvl w:val="0"/>
          <w:numId w:val="1004"/>
        </w:numPr>
        <w:pStyle w:val="Compact"/>
      </w:pPr>
      <w:r>
        <w:t xml:space="preserve">Can I distinguish a missing document from proof that a requirement is satisfied?</w:t>
      </w:r>
    </w:p>
    <w:p>
      <w:pPr>
        <w:numPr>
          <w:ilvl w:val="0"/>
          <w:numId w:val="1004"/>
        </w:numPr>
        <w:pStyle w:val="Compact"/>
      </w:pPr>
      <w:r>
        <w:t xml:space="preserve">Can I protect confidential employee, customer, supplier, investigation, and regulatory information?</w:t>
      </w:r>
    </w:p>
    <w:p>
      <w:pPr>
        <w:numPr>
          <w:ilvl w:val="0"/>
          <w:numId w:val="1004"/>
        </w:numPr>
        <w:pStyle w:val="Compact"/>
      </w:pPr>
      <w:r>
        <w:t xml:space="preserve">Can I learn the vocabulary of a specific industry without pretending to be a lawyer or licensed expert?</w:t>
      </w:r>
    </w:p>
    <w:p>
      <w:pPr>
        <w:numPr>
          <w:ilvl w:val="0"/>
          <w:numId w:val="1004"/>
        </w:numPr>
        <w:pStyle w:val="Compact"/>
      </w:pPr>
      <w:r>
        <w:t xml:space="preserve">Can I maintain independence when a manager pressures me to mark something complete?</w:t>
      </w:r>
    </w:p>
    <w:p>
      <w:pPr>
        <w:numPr>
          <w:ilvl w:val="0"/>
          <w:numId w:val="1004"/>
        </w:numPr>
        <w:pStyle w:val="Compact"/>
      </w:pPr>
      <w:r>
        <w:t xml:space="preserve">Can I use spreadsheets, workflow systems, document repositories, and reporting tools accurately?</w:t>
      </w:r>
    </w:p>
    <w:p>
      <w:pPr>
        <w:pStyle w:val="FirstParagraph"/>
      </w:pPr>
      <w:r>
        <w:t xml:space="preserve">Work is often office, hybrid, or remote, but some roles require site visits, audits, interviews, inspections, travel, or work in regulated facilities. Accessibility needs may involve screen time, reading load, meetings, hearing or speech demands, travel, physical access, sensory conditions, or schedule rigidity. Verify essential duties and reasonable accommodation options in the relevant jurisdiction.</w:t>
      </w:r>
    </w:p>
    <w:bookmarkEnd w:id="27"/>
    <w:bookmarkStart w:id="28" w:name="X6d258ce68eb6813d0352c14581b502ca02671ef"/>
    <w:p>
      <w:pPr>
        <w:pStyle w:val="Heading2"/>
      </w:pPr>
      <w:r>
        <w:t xml:space="preserve">5. Ethics, privacy, evidence integrity, and escalation</w:t>
      </w:r>
    </w:p>
    <w:p>
      <w:pPr>
        <w:pStyle w:val="FirstParagraph"/>
      </w:pPr>
      <w:r>
        <w:t xml:space="preserve">Never:</w:t>
      </w:r>
    </w:p>
    <w:p>
      <w:pPr>
        <w:numPr>
          <w:ilvl w:val="0"/>
          <w:numId w:val="1005"/>
        </w:numPr>
        <w:pStyle w:val="Compact"/>
      </w:pPr>
      <w:r>
        <w:t xml:space="preserve">fabricate, alter, backdate, delete, or conceal compliance evidence;</w:t>
      </w:r>
    </w:p>
    <w:p>
      <w:pPr>
        <w:numPr>
          <w:ilvl w:val="0"/>
          <w:numId w:val="1005"/>
        </w:numPr>
        <w:pStyle w:val="Compact"/>
      </w:pPr>
      <w:r>
        <w:t xml:space="preserve">mark a control effective when required evidence is missing;</w:t>
      </w:r>
    </w:p>
    <w:p>
      <w:pPr>
        <w:numPr>
          <w:ilvl w:val="0"/>
          <w:numId w:val="1005"/>
        </w:numPr>
        <w:pStyle w:val="Compact"/>
      </w:pPr>
      <w:r>
        <w:t xml:space="preserve">misstate the scope or result of an audit, test, investigation, or certification;</w:t>
      </w:r>
    </w:p>
    <w:p>
      <w:pPr>
        <w:numPr>
          <w:ilvl w:val="0"/>
          <w:numId w:val="1005"/>
        </w:numPr>
        <w:pStyle w:val="Compact"/>
      </w:pPr>
      <w:r>
        <w:t xml:space="preserve">disclose confidential hotline, investigation, medical, financial, employee, customer, or legal information without authorization;</w:t>
      </w:r>
    </w:p>
    <w:p>
      <w:pPr>
        <w:numPr>
          <w:ilvl w:val="0"/>
          <w:numId w:val="1005"/>
        </w:numPr>
        <w:pStyle w:val="Compact"/>
      </w:pPr>
      <w:r>
        <w:t xml:space="preserve">retaliate against or expose a reporter contrary to policy or law;</w:t>
      </w:r>
    </w:p>
    <w:p>
      <w:pPr>
        <w:numPr>
          <w:ilvl w:val="0"/>
          <w:numId w:val="1005"/>
        </w:numPr>
        <w:pStyle w:val="Compact"/>
      </w:pPr>
      <w:r>
        <w:t xml:space="preserve">provide legal conclusions beyond your authority;</w:t>
      </w:r>
    </w:p>
    <w:p>
      <w:pPr>
        <w:numPr>
          <w:ilvl w:val="0"/>
          <w:numId w:val="1005"/>
        </w:numPr>
        <w:pStyle w:val="Compact"/>
      </w:pPr>
      <w:r>
        <w:t xml:space="preserve">use an unapproved AI service for confidential cases, regulated data, or evidence;</w:t>
      </w:r>
    </w:p>
    <w:p>
      <w:pPr>
        <w:numPr>
          <w:ilvl w:val="0"/>
          <w:numId w:val="1005"/>
        </w:numPr>
        <w:pStyle w:val="Compact"/>
      </w:pPr>
      <w:r>
        <w:t xml:space="preserve">let AI make final disciplinary, legal, regulatory, fraud, sanctions, or safety determinations; or</w:t>
      </w:r>
    </w:p>
    <w:p>
      <w:pPr>
        <w:numPr>
          <w:ilvl w:val="0"/>
          <w:numId w:val="1005"/>
        </w:numPr>
        <w:pStyle w:val="Compact"/>
      </w:pPr>
      <w:r>
        <w:t xml:space="preserve">claim a certification, license, clearance, or approval you do not possess.</w:t>
      </w:r>
    </w:p>
    <w:p>
      <w:pPr>
        <w:pStyle w:val="FirstParagraph"/>
      </w:pPr>
      <w:r>
        <w:t xml:space="preserve">Escalate suspected fraud, bribery, retaliation, safety risk, privacy breach, sanctions issue, criminal conduct, material control failure, evidence tampering, or regulator-sensitive matter through the appropriate authorized channel.</w:t>
      </w:r>
    </w:p>
    <w:bookmarkEnd w:id="28"/>
    <w:bookmarkStart w:id="32" w:name="wages-outlook-and-current-research"/>
    <w:p>
      <w:pPr>
        <w:pStyle w:val="Heading2"/>
      </w:pPr>
      <w:r>
        <w:t xml:space="preserve">6. Wages, outlook, and current research</w:t>
      </w:r>
    </w:p>
    <w:bookmarkStart w:id="29" w:name="united-states-official-bls-benchmark"/>
    <w:p>
      <w:pPr>
        <w:pStyle w:val="Heading3"/>
      </w:pPr>
      <w:r>
        <w:t xml:space="preserve">United States — official BLS benchmark</w:t>
      </w:r>
    </w:p>
    <w:p>
      <w:pPr>
        <w:pStyle w:val="FirstParagraph"/>
      </w:pPr>
      <w:r>
        <w:t xml:space="preserve">The U.S. Bureau of Labor Statistics reports that</w:t>
      </w:r>
      <w:r>
        <w:t xml:space="preserve"> </w:t>
      </w:r>
      <w:r>
        <w:rPr>
          <w:bCs/>
          <w:b/>
        </w:rPr>
        <w:t xml:space="preserve">Compliance Officers</w:t>
      </w:r>
      <w:r>
        <w:t xml:space="preserve"> </w:t>
      </w:r>
      <w:r>
        <w:t xml:space="preserve">had a</w:t>
      </w:r>
      <w:r>
        <w:t xml:space="preserve"> </w:t>
      </w:r>
      <w:r>
        <w:rPr>
          <w:bCs/>
          <w:b/>
        </w:rPr>
        <w:t xml:space="preserve">$78,420 median annual wage in May 2024</w:t>
      </w:r>
      <w:r>
        <w:t xml:space="preserve">. Employment is projected to grow</w:t>
      </w:r>
      <w:r>
        <w:t xml:space="preserve"> </w:t>
      </w:r>
      <w:r>
        <w:rPr>
          <w:bCs/>
          <w:b/>
        </w:rPr>
        <w:t xml:space="preserve">3% from 2024 to 2034</w:t>
      </w:r>
      <w:r>
        <w:t xml:space="preserve">, with about</w:t>
      </w:r>
      <w:r>
        <w:t xml:space="preserve"> </w:t>
      </w:r>
      <w:r>
        <w:rPr>
          <w:bCs/>
          <w:b/>
        </w:rPr>
        <w:t xml:space="preserve">33,300 openings per year</w:t>
      </w:r>
      <w:r>
        <w:t xml:space="preserve"> </w:t>
      </w:r>
      <w:r>
        <w:t xml:space="preserve">on average over the decade.</w:t>
      </w:r>
    </w:p>
    <w:p>
      <w:pPr>
        <w:pStyle w:val="BodyText"/>
      </w:pPr>
      <w:r>
        <w:t xml:space="preserve">These are occupation-level figures. A coordinator or assistant may be more junior and may earn less; specialized compliance roles may require additional expertise and may pay differently.</w:t>
      </w:r>
    </w:p>
    <w:p>
      <w:pPr>
        <w:pStyle w:val="BodyText"/>
      </w:pPr>
      <w:r>
        <w:t xml:space="preserve">Source:</w:t>
      </w:r>
      <w:r>
        <w:br/>
      </w:r>
      <w:r>
        <w:t xml:space="preserve">https://www.bls.gov/ooh/business-and-financial/compliance-officers.htm</w:t>
      </w:r>
    </w:p>
    <w:bookmarkEnd w:id="29"/>
    <w:bookmarkStart w:id="30" w:name="canada-mapping-depends-on-domain"/>
    <w:p>
      <w:pPr>
        <w:pStyle w:val="Heading3"/>
      </w:pPr>
      <w:r>
        <w:t xml:space="preserve">Canada — mapping depends on domain</w:t>
      </w:r>
    </w:p>
    <w:p>
      <w:pPr>
        <w:pStyle w:val="FirstParagraph"/>
      </w:pPr>
      <w:r>
        <w:t xml:space="preserve">Government of Canada Job Bank maps</w:t>
      </w:r>
      <w:r>
        <w:t xml:space="preserve"> </w:t>
      </w:r>
      <w:r>
        <w:rPr>
          <w:rStyle w:val="VerbatimChar"/>
        </w:rPr>
        <w:t xml:space="preserve">Regulatory Compliance Officer</w:t>
      </w:r>
      <w:r>
        <w:t xml:space="preserve"> </w:t>
      </w:r>
      <w:r>
        <w:t xml:space="preserve">to</w:t>
      </w:r>
      <w:r>
        <w:t xml:space="preserve"> </w:t>
      </w:r>
      <w:r>
        <w:rPr>
          <w:bCs/>
          <w:b/>
        </w:rPr>
        <w:t xml:space="preserve">NOC 11201</w:t>
      </w:r>
      <w:r>
        <w:t xml:space="preserve"> </w:t>
      </w:r>
      <w:r>
        <w:t xml:space="preserve">and reports Canada-wide hourly wages, updated November 19, 2025 for the 2023–2024 reference period, of</w:t>
      </w:r>
      <w:r>
        <w:t xml:space="preserve"> </w:t>
      </w:r>
      <w:r>
        <w:rPr>
          <w:bCs/>
          <w:b/>
        </w:rPr>
        <w:t xml:space="preserve">C$27.00 low, C$44.10 median, and C$69.71 high</w:t>
      </w:r>
      <w:r>
        <w:t xml:space="preserve">.</w:t>
      </w:r>
    </w:p>
    <w:p>
      <w:pPr>
        <w:pStyle w:val="BodyText"/>
      </w:pPr>
      <w:r>
        <w:t xml:space="preserve">Job Bank separately maps</w:t>
      </w:r>
      <w:r>
        <w:t xml:space="preserve"> </w:t>
      </w:r>
      <w:r>
        <w:rPr>
          <w:rStyle w:val="VerbatimChar"/>
        </w:rPr>
        <w:t xml:space="preserve">Financial Compliance Officer</w:t>
      </w:r>
      <w:r>
        <w:t xml:space="preserve"> </w:t>
      </w:r>
      <w:r>
        <w:t xml:space="preserve">to</w:t>
      </w:r>
      <w:r>
        <w:t xml:space="preserve"> </w:t>
      </w:r>
      <w:r>
        <w:rPr>
          <w:bCs/>
          <w:b/>
        </w:rPr>
        <w:t xml:space="preserve">NOC 11109</w:t>
      </w:r>
      <w:r>
        <w:t xml:space="preserve">, with Canada-wide wages of</w:t>
      </w:r>
      <w:r>
        <w:t xml:space="preserve"> </w:t>
      </w:r>
      <w:r>
        <w:rPr>
          <w:bCs/>
          <w:b/>
        </w:rPr>
        <w:t xml:space="preserve">C$24.04 low, C$38.46 median, and C$66.67 high</w:t>
      </w:r>
      <w:r>
        <w:t xml:space="preserve"> </w:t>
      </w:r>
      <w:r>
        <w:t xml:space="preserve">for the same reference period. The difference illustrates why the actual domain must be identified before using a wage benchmark.</w:t>
      </w:r>
    </w:p>
    <w:p>
      <w:pPr>
        <w:pStyle w:val="BodyText"/>
      </w:pPr>
      <w:r>
        <w:t xml:space="preserve">Sources:</w:t>
      </w:r>
      <w:r>
        <w:br/>
      </w:r>
      <w:r>
        <w:t xml:space="preserve">https://www.jobbank.gc.ca/marketreport/wages-occupation/27323/ca</w:t>
      </w:r>
      <w:r>
        <w:br/>
      </w:r>
      <w:r>
        <w:t xml:space="preserve">https://www.jobbank.gc.ca/marketreport/wages-occupation/296408/ca</w:t>
      </w:r>
    </w:p>
    <w:bookmarkEnd w:id="30"/>
    <w:bookmarkStart w:id="31" w:name="colombia-and-latin-america"/>
    <w:p>
      <w:pPr>
        <w:pStyle w:val="Heading3"/>
      </w:pPr>
      <w:r>
        <w:t xml:space="preserve">Colombia and Latin America</w:t>
      </w:r>
    </w:p>
    <w:p>
      <w:pPr>
        <w:pStyle w:val="FirstParagraph"/>
      </w:pPr>
      <w:r>
        <w:t xml:space="preserve">Do not invent one regional salary or credential. Search local titles such as</w:t>
      </w:r>
      <w:r>
        <w:t xml:space="preserve"> </w:t>
      </w:r>
      <w:r>
        <w:rPr>
          <w:rStyle w:val="VerbatimChar"/>
        </w:rPr>
        <w:t xml:space="preserve">cumplimiento</w:t>
      </w:r>
      <w:r>
        <w:t xml:space="preserve">,</w:t>
      </w:r>
      <w:r>
        <w:t xml:space="preserve"> </w:t>
      </w:r>
      <w:r>
        <w:rPr>
          <w:rStyle w:val="VerbatimChar"/>
        </w:rPr>
        <w:t xml:space="preserve">cumplimiento normativo</w:t>
      </w:r>
      <w:r>
        <w:t xml:space="preserve">,</w:t>
      </w:r>
      <w:r>
        <w:t xml:space="preserve"> </w:t>
      </w:r>
      <w:r>
        <w:rPr>
          <w:rStyle w:val="VerbatimChar"/>
        </w:rPr>
        <w:t xml:space="preserve">riesgo y cumplimiento</w:t>
      </w:r>
      <w:r>
        <w:t xml:space="preserve">,</w:t>
      </w:r>
      <w:r>
        <w:t xml:space="preserve"> </w:t>
      </w:r>
      <w:r>
        <w:rPr>
          <w:rStyle w:val="VerbatimChar"/>
        </w:rPr>
        <w:t xml:space="preserve">control interno</w:t>
      </w:r>
      <w:r>
        <w:t xml:space="preserve">,</w:t>
      </w:r>
      <w:r>
        <w:t xml:space="preserve"> </w:t>
      </w:r>
      <w:r>
        <w:rPr>
          <w:rStyle w:val="VerbatimChar"/>
        </w:rPr>
        <w:t xml:space="preserve">ética y cumplimiento</w:t>
      </w:r>
      <w:r>
        <w:t xml:space="preserve">,</w:t>
      </w:r>
      <w:r>
        <w:t xml:space="preserve"> </w:t>
      </w:r>
      <w:r>
        <w:rPr>
          <w:rStyle w:val="VerbatimChar"/>
        </w:rPr>
        <w:t xml:space="preserve">protección de datos</w:t>
      </w:r>
      <w:r>
        <w:t xml:space="preserve">,</w:t>
      </w:r>
      <w:r>
        <w:t xml:space="preserve"> </w:t>
      </w:r>
      <w:r>
        <w:rPr>
          <w:rStyle w:val="VerbatimChar"/>
        </w:rPr>
        <w:t xml:space="preserve">SARLAFT</w:t>
      </w:r>
      <w:r>
        <w:t xml:space="preserve">,</w:t>
      </w:r>
      <w:r>
        <w:t xml:space="preserve"> </w:t>
      </w:r>
      <w:r>
        <w:rPr>
          <w:rStyle w:val="VerbatimChar"/>
        </w:rPr>
        <w:t xml:space="preserve">prevención de lavado</w:t>
      </w:r>
      <w:r>
        <w:t xml:space="preserve">, and domain-specific equivalents. Compare actual duties and current public/employer vacancies.</w:t>
      </w:r>
    </w:p>
    <w:bookmarkEnd w:id="31"/>
    <w:bookmarkEnd w:id="32"/>
    <w:bookmarkStart w:id="33" w:name="Xf6984683946ab73e73c4b909fbf0ce1f2d3b18d"/>
    <w:p>
      <w:pPr>
        <w:pStyle w:val="Heading2"/>
      </w:pPr>
      <w:r>
        <w:t xml:space="preserve">7. Education, credentials, and free-first learning</w:t>
      </w:r>
    </w:p>
    <w:p>
      <w:pPr>
        <w:pStyle w:val="FirstParagraph"/>
      </w:pPr>
      <w:r>
        <w:t xml:space="preserve">There is no universal credential for every compliance coordinator or assistant role.</w:t>
      </w:r>
    </w:p>
    <w:p>
      <w:pPr>
        <w:pStyle w:val="BodyText"/>
      </w:pPr>
      <w:r>
        <w:t xml:space="preserve">Useful foundation topics include:</w:t>
      </w:r>
    </w:p>
    <w:p>
      <w:pPr>
        <w:numPr>
          <w:ilvl w:val="0"/>
          <w:numId w:val="1006"/>
        </w:numPr>
        <w:pStyle w:val="Compact"/>
      </w:pPr>
      <w:r>
        <w:t xml:space="preserve">policy and procedure management;</w:t>
      </w:r>
    </w:p>
    <w:p>
      <w:pPr>
        <w:numPr>
          <w:ilvl w:val="0"/>
          <w:numId w:val="1006"/>
        </w:numPr>
        <w:pStyle w:val="Compact"/>
      </w:pPr>
      <w:r>
        <w:t xml:space="preserve">evidence collection and records integrity;</w:t>
      </w:r>
    </w:p>
    <w:p>
      <w:pPr>
        <w:numPr>
          <w:ilvl w:val="0"/>
          <w:numId w:val="1006"/>
        </w:numPr>
        <w:pStyle w:val="Compact"/>
      </w:pPr>
      <w:r>
        <w:t xml:space="preserve">spreadsheets and reporting;</w:t>
      </w:r>
    </w:p>
    <w:p>
      <w:pPr>
        <w:numPr>
          <w:ilvl w:val="0"/>
          <w:numId w:val="1006"/>
        </w:numPr>
        <w:pStyle w:val="Compact"/>
      </w:pPr>
      <w:r>
        <w:t xml:space="preserve">issue and corrective-action tracking;</w:t>
      </w:r>
    </w:p>
    <w:p>
      <w:pPr>
        <w:numPr>
          <w:ilvl w:val="0"/>
          <w:numId w:val="1006"/>
        </w:numPr>
        <w:pStyle w:val="Compact"/>
      </w:pPr>
      <w:r>
        <w:t xml:space="preserve">audit and assessment basics;</w:t>
      </w:r>
    </w:p>
    <w:p>
      <w:pPr>
        <w:numPr>
          <w:ilvl w:val="0"/>
          <w:numId w:val="1006"/>
        </w:numPr>
        <w:pStyle w:val="Compact"/>
      </w:pPr>
      <w:r>
        <w:t xml:space="preserve">ethics and conflicts of interest;</w:t>
      </w:r>
    </w:p>
    <w:p>
      <w:pPr>
        <w:numPr>
          <w:ilvl w:val="0"/>
          <w:numId w:val="1006"/>
        </w:numPr>
        <w:pStyle w:val="Compact"/>
      </w:pPr>
      <w:r>
        <w:t xml:space="preserve">privacy and data handling;</w:t>
      </w:r>
    </w:p>
    <w:p>
      <w:pPr>
        <w:numPr>
          <w:ilvl w:val="0"/>
          <w:numId w:val="1006"/>
        </w:numPr>
        <w:pStyle w:val="Compact"/>
      </w:pPr>
      <w:r>
        <w:t xml:space="preserve">cybersecurity awareness;</w:t>
      </w:r>
    </w:p>
    <w:p>
      <w:pPr>
        <w:numPr>
          <w:ilvl w:val="0"/>
          <w:numId w:val="1006"/>
        </w:numPr>
        <w:pStyle w:val="Compact"/>
      </w:pPr>
      <w:r>
        <w:t xml:space="preserve">business writing;</w:t>
      </w:r>
    </w:p>
    <w:p>
      <w:pPr>
        <w:numPr>
          <w:ilvl w:val="0"/>
          <w:numId w:val="1006"/>
        </w:numPr>
        <w:pStyle w:val="Compact"/>
      </w:pPr>
      <w:r>
        <w:t xml:space="preserve">interviewing and note-taking under approved procedures;</w:t>
      </w:r>
    </w:p>
    <w:p>
      <w:pPr>
        <w:numPr>
          <w:ilvl w:val="0"/>
          <w:numId w:val="1006"/>
        </w:numPr>
        <w:pStyle w:val="Compact"/>
      </w:pPr>
      <w:r>
        <w:t xml:space="preserve">risk and control terminology; and</w:t>
      </w:r>
    </w:p>
    <w:p>
      <w:pPr>
        <w:numPr>
          <w:ilvl w:val="0"/>
          <w:numId w:val="1006"/>
        </w:numPr>
        <w:pStyle w:val="Compact"/>
      </w:pPr>
      <w:r>
        <w:t xml:space="preserve">responsible AI use.</w:t>
      </w:r>
    </w:p>
    <w:p>
      <w:pPr>
        <w:pStyle w:val="FirstParagraph"/>
      </w:pPr>
      <w:r>
        <w:t xml:space="preserve">Domain-specific roles may require accounting, law, finance, healthcare, engineering, safety, environmental, privacy, cybersecurity, or other specialized education. Verify the actual employer requirement before paying for certification.</w:t>
      </w:r>
    </w:p>
    <w:bookmarkEnd w:id="33"/>
    <w:bookmarkStart w:id="35" w:name="Xb79dfce052e4a426ad9941ddbb58d3ab66a632d"/>
    <w:p>
      <w:pPr>
        <w:pStyle w:val="Heading2"/>
      </w:pPr>
      <w:r>
        <w:t xml:space="preserve">8. Funding, employer support, and work-based learning</w:t>
      </w:r>
    </w:p>
    <w:bookmarkStart w:id="34" w:name="united-states"/>
    <w:p>
      <w:pPr>
        <w:pStyle w:val="Heading3"/>
      </w:pPr>
      <w:r>
        <w:t xml:space="preserve">United States</w:t>
      </w:r>
    </w:p>
    <w:p>
      <w:pPr>
        <w:pStyle w:val="FirstParagraph"/>
      </w:pPr>
      <w:r>
        <w:t xml:space="preserve">Federal Student Aid may support eligible students in eligible postsecondary or career-school programs. FAFSA eligibility does not mean every private short course qualifies.</w:t>
      </w:r>
    </w:p>
    <w:p>
      <w:pPr>
        <w:pStyle w:val="BodyText"/>
      </w:pPr>
      <w:r>
        <w:t xml:space="preserve">https://studentaid.gov/articles/fafsa-student-steps/</w:t>
      </w:r>
    </w:p>
    <w:p>
      <w:pPr>
        <w:pStyle w:val="BodyText"/>
      </w:pPr>
      <w:r>
        <w:t xml:space="preserve">State and local workforce systems may offer WIOA-supported training or related services where eligibility and local rules are met.</w:t>
      </w:r>
    </w:p>
    <w:p>
      <w:pPr>
        <w:pStyle w:val="BodyText"/>
      </w:pPr>
      <w:r>
        <w:t xml:space="preserve">https://www.dol.gov/general/topic/training/adulttraining</w:t>
      </w:r>
    </w:p>
    <w:p>
      <w:pPr>
        <w:pStyle w:val="BodyText"/>
      </w:pPr>
      <w:r>
        <w:t xml:space="preserve">Under a compliant employer</w:t>
      </w:r>
      <w:r>
        <w:t xml:space="preserve"> </w:t>
      </w:r>
      <w:r>
        <w:rPr>
          <w:bCs/>
          <w:b/>
        </w:rPr>
        <w:t xml:space="preserve">IRS Section 127</w:t>
      </w:r>
      <w:r>
        <w:t xml:space="preserve"> </w:t>
      </w:r>
      <w:r>
        <w:t xml:space="preserve">educational-assistance program, up to</w:t>
      </w:r>
      <w:r>
        <w:t xml:space="preserve"> </w:t>
      </w:r>
      <w:r>
        <w:rPr>
          <w:bCs/>
          <w:b/>
        </w:rPr>
        <w:t xml:space="preserve">$5,250</w:t>
      </w:r>
      <w:r>
        <w:t xml:space="preserve"> </w:t>
      </w:r>
      <w:r>
        <w:t xml:space="preserve">of qualifying educational assistance may be excluded from an employee’s gross income for calendar years 2025 and 2026. This is not a guaranteed benefit.</w:t>
      </w:r>
    </w:p>
    <w:p>
      <w:pPr>
        <w:pStyle w:val="BodyText"/>
      </w:pPr>
      <w:r>
        <w:t xml:space="preserve">https://www.irs.gov/newsroom/irs-updates-frequently-asked-questions-about-section-127-educational-assistance-programs</w:t>
      </w:r>
    </w:p>
    <w:p>
      <w:pPr>
        <w:pStyle w:val="BodyText"/>
      </w:pPr>
      <w:r>
        <w:t xml:space="preserve">Use Apprenticeship.gov to search current Registered Apprenticeship openings. Do not assume a generic compliance apprenticeship exists in every location.</w:t>
      </w:r>
    </w:p>
    <w:p>
      <w:pPr>
        <w:pStyle w:val="BodyText"/>
      </w:pPr>
      <w:r>
        <w:t xml:space="preserve">https://www.apprenticeship.gov/career-seekers</w:t>
      </w:r>
    </w:p>
    <w:bookmarkEnd w:id="34"/>
    <w:bookmarkEnd w:id="35"/>
    <w:bookmarkStart w:id="36" w:name="X57f3a2a1470f6b9eb0f9202ab4df0b3be251af5"/>
    <w:p>
      <w:pPr>
        <w:pStyle w:val="Heading2"/>
      </w:pPr>
      <w:r>
        <w:t xml:space="preserve">9. Accreditation and training-provider checks</w:t>
      </w:r>
    </w:p>
    <w:p>
      <w:pPr>
        <w:pStyle w:val="FirstParagraph"/>
      </w:pPr>
      <w:r>
        <w:t xml:space="preserve">Before paying for a degree, certificate, bootcamp, or private compliance credential:</w:t>
      </w:r>
    </w:p>
    <w:p>
      <w:pPr>
        <w:numPr>
          <w:ilvl w:val="0"/>
          <w:numId w:val="1007"/>
        </w:numPr>
        <w:pStyle w:val="Compact"/>
      </w:pPr>
      <w:r>
        <w:t xml:space="preserve">verify whether employers actually request it;</w:t>
      </w:r>
    </w:p>
    <w:p>
      <w:pPr>
        <w:numPr>
          <w:ilvl w:val="0"/>
          <w:numId w:val="1007"/>
        </w:numPr>
        <w:pStyle w:val="Compact"/>
      </w:pPr>
      <w:r>
        <w:t xml:space="preserve">confirm accreditation where accreditation matters;</w:t>
      </w:r>
    </w:p>
    <w:p>
      <w:pPr>
        <w:numPr>
          <w:ilvl w:val="0"/>
          <w:numId w:val="1007"/>
        </w:numPr>
        <w:pStyle w:val="Compact"/>
      </w:pPr>
      <w:r>
        <w:t xml:space="preserve">distinguish institutional accreditation from a vendor-issued certificate;</w:t>
      </w:r>
    </w:p>
    <w:p>
      <w:pPr>
        <w:numPr>
          <w:ilvl w:val="0"/>
          <w:numId w:val="1007"/>
        </w:numPr>
        <w:pStyle w:val="Compact"/>
      </w:pPr>
      <w:r>
        <w:t xml:space="preserve">check total cost, renewal fees, continuing education, exam retakes, refund rules, and expiration;</w:t>
      </w:r>
    </w:p>
    <w:p>
      <w:pPr>
        <w:numPr>
          <w:ilvl w:val="0"/>
          <w:numId w:val="1007"/>
        </w:numPr>
        <w:pStyle w:val="Compact"/>
      </w:pPr>
      <w:r>
        <w:t xml:space="preserve">verify whether the credential applies to the relevant country and industry; and</w:t>
      </w:r>
    </w:p>
    <w:p>
      <w:pPr>
        <w:numPr>
          <w:ilvl w:val="0"/>
          <w:numId w:val="1007"/>
        </w:numPr>
        <w:pStyle w:val="Compact"/>
      </w:pPr>
      <w:r>
        <w:t xml:space="preserve">avoid providers promising guaranteed jobs or salaries.</w:t>
      </w:r>
    </w:p>
    <w:p>
      <w:pPr>
        <w:pStyle w:val="FirstParagraph"/>
      </w:pPr>
      <w:r>
        <w:t xml:space="preserve">U.S. accreditation information:</w:t>
      </w:r>
      <w:r>
        <w:br/>
      </w:r>
      <w:r>
        <w:t xml:space="preserve">https://www.ed.gov/accreditation</w:t>
      </w:r>
    </w:p>
    <w:bookmarkEnd w:id="36"/>
    <w:bookmarkStart w:id="37" w:name="colombia-and-latin-america-pathways"/>
    <w:p>
      <w:pPr>
        <w:pStyle w:val="Heading2"/>
      </w:pPr>
      <w:r>
        <w:t xml:space="preserve">10. Colombia and Latin America pathways</w:t>
      </w:r>
    </w:p>
    <w:p>
      <w:pPr>
        <w:pStyle w:val="FirstParagraph"/>
      </w:pPr>
      <w:r>
        <w:t xml:space="preserve">In Colombia, start with SENA Betowa and Servicio Público de Empleo, then search for training that matches the actual compliance domain. Relevant foundations may appear under risk, quality, occupational safety, data protection, financial services, anti-corruption, internal control, management systems, auditing, logistics, or administrative processes rather than under the English word</w:t>
      </w:r>
      <w:r>
        <w:t xml:space="preserve"> </w:t>
      </w:r>
      <w:r>
        <w:rPr>
          <w:rStyle w:val="VerbatimChar"/>
        </w:rPr>
        <w:t xml:space="preserve">compliance</w:t>
      </w:r>
      <w:r>
        <w:t xml:space="preserve">.</w:t>
      </w:r>
    </w:p>
    <w:p>
      <w:pPr>
        <w:pStyle w:val="BodyText"/>
      </w:pPr>
      <w:r>
        <w:t xml:space="preserve">Do not represent one course as qualifying a person for all regulated work. Verify current cohort availability, duration, modality, prerequisites, and whether a role requires professional licensure or specialized experience.</w:t>
      </w:r>
    </w:p>
    <w:p>
      <w:pPr>
        <w:pStyle w:val="BodyText"/>
      </w:pPr>
      <w:r>
        <w:t xml:space="preserve">Across Latin America, use current national employment services, public technical-education institutions, recognized universities, regulators, employer academies, and professional bodies relevant to the specific domain.</w:t>
      </w:r>
    </w:p>
    <w:bookmarkEnd w:id="37"/>
    <w:bookmarkStart w:id="38" w:name="accessibility-and-inclusion"/>
    <w:p>
      <w:pPr>
        <w:pStyle w:val="Heading2"/>
      </w:pPr>
      <w:r>
        <w:t xml:space="preserve">11. Accessibility and inclusion</w:t>
      </w:r>
    </w:p>
    <w:p>
      <w:pPr>
        <w:pStyle w:val="FirstParagraph"/>
      </w:pPr>
      <w:r>
        <w:t xml:space="preserve">Compliance functions should not create unnecessary barriers. Practical support may include accessible documents and forms, captions, screen-reader-compatible systems, alternative formats, assistive technology, ergonomic equipment, predictable workflows, accessible meeting practices, or modified schedules where reasonable and applicable.</w:t>
      </w:r>
    </w:p>
    <w:p>
      <w:pPr>
        <w:pStyle w:val="BodyText"/>
      </w:pPr>
      <w:r>
        <w:t xml:space="preserve">Automated accessibility checks are useful evidence but are not legal certification.</w:t>
      </w:r>
    </w:p>
    <w:p>
      <w:pPr>
        <w:pStyle w:val="BodyText"/>
      </w:pPr>
      <w:r>
        <w:t xml:space="preserve">U.S. employment-disability information:</w:t>
      </w:r>
      <w:r>
        <w:br/>
      </w:r>
      <w:r>
        <w:t xml:space="preserve">https://www.eeoc.gov/disability-discrimination</w:t>
      </w:r>
    </w:p>
    <w:bookmarkEnd w:id="38"/>
    <w:bookmarkStart w:id="39" w:name="Xaf05622d7156805062258afab0b899d3039c0a6"/>
    <w:p>
      <w:pPr>
        <w:pStyle w:val="Heading2"/>
      </w:pPr>
      <w:r>
        <w:t xml:space="preserve">12. Privacy, cybersecurity, AI, and responsible automation</w:t>
      </w:r>
    </w:p>
    <w:p>
      <w:pPr>
        <w:pStyle w:val="FirstParagraph"/>
      </w:pPr>
      <w:r>
        <w:t xml:space="preserve">Compliance systems can contain highly sensitive information: allegations, investigation notes, identity documents, financial records, customer data, employee data, audit evidence, security findings, sanctions screening, health information, or regulator communications.</w:t>
      </w:r>
    </w:p>
    <w:p>
      <w:pPr>
        <w:pStyle w:val="BodyText"/>
      </w:pPr>
      <w:r>
        <w:t xml:space="preserve">Use approved systems, least-privilege access, strong authentication, secure sharing, retention rules, and documented evidence-handling procedures.</w:t>
      </w:r>
    </w:p>
    <w:p>
      <w:pPr>
        <w:pStyle w:val="BodyText"/>
      </w:pPr>
      <w:r>
        <w:t xml:space="preserve">AI can assist with low-risk tasks such as drafting non-confidential checklists, explaining generic terminology, creating fictional practice scenarios, summarizing public regulations for review, or formatting sanitized status reports. Human review remains responsible for accuracy, confidentiality, bias, legal interpretation, regulated decisions, and final release.</w:t>
      </w:r>
    </w:p>
    <w:bookmarkEnd w:id="39"/>
    <w:bookmarkStart w:id="40" w:name="build-evidence-of-capability"/>
    <w:p>
      <w:pPr>
        <w:pStyle w:val="Heading2"/>
      </w:pPr>
      <w:r>
        <w:t xml:space="preserve">13. Build evidence of capability</w:t>
      </w:r>
    </w:p>
    <w:p>
      <w:pPr>
        <w:pStyle w:val="FirstParagraph"/>
      </w:pPr>
      <w:r>
        <w:t xml:space="preserve">Use fictional or fully sanitized data to create portfolio items such as:</w:t>
      </w:r>
    </w:p>
    <w:p>
      <w:pPr>
        <w:numPr>
          <w:ilvl w:val="0"/>
          <w:numId w:val="1008"/>
        </w:numPr>
        <w:pStyle w:val="Compact"/>
      </w:pPr>
      <w:r>
        <w:t xml:space="preserve">a compliance calendar;</w:t>
      </w:r>
    </w:p>
    <w:p>
      <w:pPr>
        <w:numPr>
          <w:ilvl w:val="0"/>
          <w:numId w:val="1008"/>
        </w:numPr>
        <w:pStyle w:val="Compact"/>
      </w:pPr>
      <w:r>
        <w:t xml:space="preserve">a policy-review tracker;</w:t>
      </w:r>
    </w:p>
    <w:p>
      <w:pPr>
        <w:numPr>
          <w:ilvl w:val="0"/>
          <w:numId w:val="1008"/>
        </w:numPr>
        <w:pStyle w:val="Compact"/>
      </w:pPr>
      <w:r>
        <w:t xml:space="preserve">a mock evidence-request checklist;</w:t>
      </w:r>
    </w:p>
    <w:p>
      <w:pPr>
        <w:numPr>
          <w:ilvl w:val="0"/>
          <w:numId w:val="1008"/>
        </w:numPr>
        <w:pStyle w:val="Compact"/>
      </w:pPr>
      <w:r>
        <w:t xml:space="preserve">a corrective-action register;</w:t>
      </w:r>
    </w:p>
    <w:p>
      <w:pPr>
        <w:numPr>
          <w:ilvl w:val="0"/>
          <w:numId w:val="1008"/>
        </w:numPr>
        <w:pStyle w:val="Compact"/>
      </w:pPr>
      <w:r>
        <w:t xml:space="preserve">a fictional training-completion dashboard;</w:t>
      </w:r>
    </w:p>
    <w:p>
      <w:pPr>
        <w:numPr>
          <w:ilvl w:val="0"/>
          <w:numId w:val="1008"/>
        </w:numPr>
        <w:pStyle w:val="Compact"/>
      </w:pPr>
      <w:r>
        <w:t xml:space="preserve">a third-party due-diligence intake checklist;</w:t>
      </w:r>
    </w:p>
    <w:p>
      <w:pPr>
        <w:numPr>
          <w:ilvl w:val="0"/>
          <w:numId w:val="1008"/>
        </w:numPr>
        <w:pStyle w:val="Compact"/>
      </w:pPr>
      <w:r>
        <w:t xml:space="preserve">a simple risk-and-control matrix;</w:t>
      </w:r>
    </w:p>
    <w:p>
      <w:pPr>
        <w:numPr>
          <w:ilvl w:val="0"/>
          <w:numId w:val="1008"/>
        </w:numPr>
        <w:pStyle w:val="Compact"/>
      </w:pPr>
      <w:r>
        <w:t xml:space="preserve">an escalation workflow; or</w:t>
      </w:r>
    </w:p>
    <w:p>
      <w:pPr>
        <w:numPr>
          <w:ilvl w:val="0"/>
          <w:numId w:val="1008"/>
        </w:numPr>
        <w:pStyle w:val="Compact"/>
      </w:pPr>
      <w:r>
        <w:t xml:space="preserve">a version-controlled policy acknowledgment process.</w:t>
      </w:r>
    </w:p>
    <w:p>
      <w:pPr>
        <w:pStyle w:val="FirstParagraph"/>
      </w:pPr>
      <w:r>
        <w:t xml:space="preserve">Explain the objective, evidence, control, owner, due date, escalation rule, and limitation. Never publish real investigations, employee allegations, regulator communications, customer data, credentials, or confidential control weaknesses.</w:t>
      </w:r>
    </w:p>
    <w:bookmarkEnd w:id="40"/>
    <w:bookmarkStart w:id="41" w:name="interview-preparation"/>
    <w:p>
      <w:pPr>
        <w:pStyle w:val="Heading2"/>
      </w:pPr>
      <w:r>
        <w:t xml:space="preserve">14. Interview preparation</w:t>
      </w:r>
    </w:p>
    <w:p>
      <w:pPr>
        <w:pStyle w:val="FirstParagraph"/>
      </w:pPr>
      <w:r>
        <w:t xml:space="preserve">Practice questions such as:</w:t>
      </w:r>
    </w:p>
    <w:p>
      <w:pPr>
        <w:numPr>
          <w:ilvl w:val="0"/>
          <w:numId w:val="1009"/>
        </w:numPr>
        <w:pStyle w:val="Compact"/>
      </w:pPr>
      <w:r>
        <w:t xml:space="preserve">What would you do if required evidence is missing just before an audit deadline?</w:t>
      </w:r>
    </w:p>
    <w:p>
      <w:pPr>
        <w:numPr>
          <w:ilvl w:val="0"/>
          <w:numId w:val="1009"/>
        </w:numPr>
        <w:pStyle w:val="Compact"/>
      </w:pPr>
      <w:r>
        <w:t xml:space="preserve">How would you respond if a manager asks you to mark a control complete without proof?</w:t>
      </w:r>
    </w:p>
    <w:p>
      <w:pPr>
        <w:numPr>
          <w:ilvl w:val="0"/>
          <w:numId w:val="1009"/>
        </w:numPr>
        <w:pStyle w:val="Compact"/>
      </w:pPr>
      <w:r>
        <w:t xml:space="preserve">How would you protect confidential investigation material?</w:t>
      </w:r>
    </w:p>
    <w:p>
      <w:pPr>
        <w:numPr>
          <w:ilvl w:val="0"/>
          <w:numId w:val="1009"/>
        </w:numPr>
        <w:pStyle w:val="Compact"/>
      </w:pPr>
      <w:r>
        <w:t xml:space="preserve">What would you do if two policies appear to conflict?</w:t>
      </w:r>
    </w:p>
    <w:p>
      <w:pPr>
        <w:numPr>
          <w:ilvl w:val="0"/>
          <w:numId w:val="1009"/>
        </w:numPr>
        <w:pStyle w:val="Compact"/>
      </w:pPr>
      <w:r>
        <w:t xml:space="preserve">How do you track corrective actions without losing ownership or due dates?</w:t>
      </w:r>
    </w:p>
    <w:p>
      <w:pPr>
        <w:numPr>
          <w:ilvl w:val="0"/>
          <w:numId w:val="1009"/>
        </w:numPr>
        <w:pStyle w:val="Compact"/>
      </w:pPr>
      <w:r>
        <w:t xml:space="preserve">When would you escalate to legal, privacy, security, HR, finance, safety, or another specialist?</w:t>
      </w:r>
    </w:p>
    <w:p>
      <w:pPr>
        <w:numPr>
          <w:ilvl w:val="0"/>
          <w:numId w:val="1009"/>
        </w:numPr>
        <w:pStyle w:val="Compact"/>
      </w:pPr>
      <w:r>
        <w:t xml:space="preserve">Where can AI help, and where should it not make the final decision?</w:t>
      </w:r>
    </w:p>
    <w:p>
      <w:pPr>
        <w:pStyle w:val="FirstParagraph"/>
      </w:pPr>
      <w:r>
        <w:t xml:space="preserve">Strong answers show evidence integrity, documentation, confidentiality, professional boundaries, escalation, and willingness to say when qualified advice is needed.</w:t>
      </w:r>
    </w:p>
    <w:bookmarkEnd w:id="41"/>
    <w:bookmarkStart w:id="48" w:name="a-practical-12-week-starter-plan"/>
    <w:p>
      <w:pPr>
        <w:pStyle w:val="Heading2"/>
      </w:pPr>
      <w:r>
        <w:t xml:space="preserve">15. A practical 12-week starter plan</w:t>
      </w:r>
    </w:p>
    <w:bookmarkStart w:id="42" w:name="weeks-12"/>
    <w:p>
      <w:pPr>
        <w:pStyle w:val="Heading3"/>
      </w:pPr>
      <w:r>
        <w:t xml:space="preserve">Weeks 1–2</w:t>
      </w:r>
    </w:p>
    <w:p>
      <w:pPr>
        <w:numPr>
          <w:ilvl w:val="0"/>
          <w:numId w:val="1010"/>
        </w:numPr>
        <w:pStyle w:val="Compact"/>
      </w:pPr>
      <w:r>
        <w:t xml:space="preserve">Review 20–30 current vacancies.</w:t>
      </w:r>
    </w:p>
    <w:p>
      <w:pPr>
        <w:numPr>
          <w:ilvl w:val="0"/>
          <w:numId w:val="1010"/>
        </w:numPr>
        <w:pStyle w:val="Compact"/>
      </w:pPr>
      <w:r>
        <w:t xml:space="preserve">Classify each role by compliance domain, seniority, education, systems, and authority.</w:t>
      </w:r>
    </w:p>
    <w:bookmarkEnd w:id="42"/>
    <w:bookmarkStart w:id="43" w:name="weeks-34"/>
    <w:p>
      <w:pPr>
        <w:pStyle w:val="Heading3"/>
      </w:pPr>
      <w:r>
        <w:t xml:space="preserve">Weeks 3–4</w:t>
      </w:r>
    </w:p>
    <w:p>
      <w:pPr>
        <w:numPr>
          <w:ilvl w:val="0"/>
          <w:numId w:val="1011"/>
        </w:numPr>
        <w:pStyle w:val="Compact"/>
      </w:pPr>
      <w:r>
        <w:t xml:space="preserve">Strengthen spreadsheets, business writing, document control, and policy reading.</w:t>
      </w:r>
    </w:p>
    <w:p>
      <w:pPr>
        <w:numPr>
          <w:ilvl w:val="0"/>
          <w:numId w:val="1011"/>
        </w:numPr>
        <w:pStyle w:val="Compact"/>
      </w:pPr>
      <w:r>
        <w:t xml:space="preserve">Learn basic risk, control, finding, exception, remediation, and evidence terminology.</w:t>
      </w:r>
    </w:p>
    <w:bookmarkEnd w:id="43"/>
    <w:bookmarkStart w:id="44" w:name="weeks-56"/>
    <w:p>
      <w:pPr>
        <w:pStyle w:val="Heading3"/>
      </w:pPr>
      <w:r>
        <w:t xml:space="preserve">Weeks 5–6</w:t>
      </w:r>
    </w:p>
    <w:p>
      <w:pPr>
        <w:numPr>
          <w:ilvl w:val="0"/>
          <w:numId w:val="1012"/>
        </w:numPr>
        <w:pStyle w:val="Compact"/>
      </w:pPr>
      <w:r>
        <w:t xml:space="preserve">Complete one free or low-cost learning activity relevant to your target domain.</w:t>
      </w:r>
    </w:p>
    <w:p>
      <w:pPr>
        <w:numPr>
          <w:ilvl w:val="0"/>
          <w:numId w:val="1012"/>
        </w:numPr>
        <w:pStyle w:val="Compact"/>
      </w:pPr>
      <w:r>
        <w:t xml:space="preserve">Build a fictional compliance calendar and corrective-action tracker.</w:t>
      </w:r>
    </w:p>
    <w:bookmarkEnd w:id="44"/>
    <w:bookmarkStart w:id="45" w:name="weeks-78"/>
    <w:p>
      <w:pPr>
        <w:pStyle w:val="Heading3"/>
      </w:pPr>
      <w:r>
        <w:t xml:space="preserve">Weeks 7–8</w:t>
      </w:r>
    </w:p>
    <w:p>
      <w:pPr>
        <w:numPr>
          <w:ilvl w:val="0"/>
          <w:numId w:val="1013"/>
        </w:numPr>
        <w:pStyle w:val="Compact"/>
      </w:pPr>
      <w:r>
        <w:t xml:space="preserve">Learn privacy, confidentiality, ethics, conflicts of interest, and basic investigation boundaries.</w:t>
      </w:r>
    </w:p>
    <w:p>
      <w:pPr>
        <w:numPr>
          <w:ilvl w:val="0"/>
          <w:numId w:val="1013"/>
        </w:numPr>
        <w:pStyle w:val="Compact"/>
      </w:pPr>
      <w:r>
        <w:t xml:space="preserve">Build a fictional evidence-request checklist or third-party intake form.</w:t>
      </w:r>
    </w:p>
    <w:bookmarkEnd w:id="45"/>
    <w:bookmarkStart w:id="46" w:name="weeks-910"/>
    <w:p>
      <w:pPr>
        <w:pStyle w:val="Heading3"/>
      </w:pPr>
      <w:r>
        <w:t xml:space="preserve">Weeks 9–10</w:t>
      </w:r>
    </w:p>
    <w:p>
      <w:pPr>
        <w:numPr>
          <w:ilvl w:val="0"/>
          <w:numId w:val="1014"/>
        </w:numPr>
        <w:pStyle w:val="Compact"/>
      </w:pPr>
      <w:r>
        <w:t xml:space="preserve">Review cybersecurity and responsible-AI practices.</w:t>
      </w:r>
    </w:p>
    <w:p>
      <w:pPr>
        <w:numPr>
          <w:ilvl w:val="0"/>
          <w:numId w:val="1014"/>
        </w:numPr>
        <w:pStyle w:val="Compact"/>
      </w:pPr>
      <w:r>
        <w:t xml:space="preserve">Verify funding, accreditation, credential requirements, and employer-support terms before paying.</w:t>
      </w:r>
    </w:p>
    <w:bookmarkEnd w:id="46"/>
    <w:bookmarkStart w:id="47" w:name="weeks-1112"/>
    <w:p>
      <w:pPr>
        <w:pStyle w:val="Heading3"/>
      </w:pPr>
      <w:r>
        <w:t xml:space="preserve">Weeks 11–12</w:t>
      </w:r>
    </w:p>
    <w:p>
      <w:pPr>
        <w:numPr>
          <w:ilvl w:val="0"/>
          <w:numId w:val="1015"/>
        </w:numPr>
        <w:pStyle w:val="Compact"/>
      </w:pPr>
      <w:r>
        <w:t xml:space="preserve">Tailor your résumé truthfully.</w:t>
      </w:r>
    </w:p>
    <w:p>
      <w:pPr>
        <w:numPr>
          <w:ilvl w:val="0"/>
          <w:numId w:val="1015"/>
        </w:numPr>
        <w:pStyle w:val="Compact"/>
      </w:pPr>
      <w:r>
        <w:t xml:space="preserve">Practice scenario interviews.</w:t>
      </w:r>
    </w:p>
    <w:p>
      <w:pPr>
        <w:numPr>
          <w:ilvl w:val="0"/>
          <w:numId w:val="1015"/>
        </w:numPr>
        <w:pStyle w:val="Compact"/>
      </w:pPr>
      <w:r>
        <w:t xml:space="preserve">Apply selectively and revise your plan based on employer feedback.</w:t>
      </w:r>
    </w:p>
    <w:bookmarkEnd w:id="47"/>
    <w:bookmarkEnd w:id="48"/>
    <w:bookmarkStart w:id="49" w:name="résumé-and-application-evidence"/>
    <w:p>
      <w:pPr>
        <w:pStyle w:val="Heading2"/>
      </w:pPr>
      <w:r>
        <w:t xml:space="preserve">16. Résumé and application evidence</w:t>
      </w:r>
    </w:p>
    <w:p>
      <w:pPr>
        <w:pStyle w:val="FirstParagraph"/>
      </w:pPr>
      <w:r>
        <w:t xml:space="preserve">Use evidence you can defend. Strong bullets may show policies maintained, audits supported, evidence requests coordinated, corrective actions tracked, training records administered, third-party files reviewed, dashboards prepared, or process improvements with verified outcomes.</w:t>
      </w:r>
    </w:p>
    <w:p>
      <w:pPr>
        <w:pStyle w:val="BodyText"/>
      </w:pPr>
      <w:r>
        <w:t xml:space="preserve">Do not invent certifications, licenses, audit results, regulator interactions, investigation authority, findings closed, risk reductions, financial savings, or compliance outcomes.</w:t>
      </w:r>
    </w:p>
    <w:bookmarkEnd w:id="49"/>
    <w:bookmarkStart w:id="50" w:name="career-progression"/>
    <w:p>
      <w:pPr>
        <w:pStyle w:val="Heading2"/>
      </w:pPr>
      <w:r>
        <w:t xml:space="preserve">17. Career progression</w:t>
      </w:r>
    </w:p>
    <w:p>
      <w:pPr>
        <w:pStyle w:val="FirstParagraph"/>
      </w:pPr>
      <w:r>
        <w:t xml:space="preserve">Possible paths include:</w:t>
      </w:r>
    </w:p>
    <w:p>
      <w:pPr>
        <w:numPr>
          <w:ilvl w:val="0"/>
          <w:numId w:val="1016"/>
        </w:numPr>
        <w:pStyle w:val="Compact"/>
      </w:pPr>
      <w:r>
        <w:t xml:space="preserve">Senior Compliance Coordinator</w:t>
      </w:r>
    </w:p>
    <w:p>
      <w:pPr>
        <w:numPr>
          <w:ilvl w:val="0"/>
          <w:numId w:val="1016"/>
        </w:numPr>
        <w:pStyle w:val="Compact"/>
      </w:pPr>
      <w:r>
        <w:t xml:space="preserve">Compliance Specialist</w:t>
      </w:r>
    </w:p>
    <w:p>
      <w:pPr>
        <w:numPr>
          <w:ilvl w:val="0"/>
          <w:numId w:val="1016"/>
        </w:numPr>
        <w:pStyle w:val="Compact"/>
      </w:pPr>
      <w:r>
        <w:t xml:space="preserve">Compliance Analyst</w:t>
      </w:r>
    </w:p>
    <w:p>
      <w:pPr>
        <w:numPr>
          <w:ilvl w:val="0"/>
          <w:numId w:val="1016"/>
        </w:numPr>
        <w:pStyle w:val="Compact"/>
      </w:pPr>
      <w:r>
        <w:t xml:space="preserve">Regulatory Affairs Coordinator</w:t>
      </w:r>
    </w:p>
    <w:p>
      <w:pPr>
        <w:numPr>
          <w:ilvl w:val="0"/>
          <w:numId w:val="1016"/>
        </w:numPr>
        <w:pStyle w:val="Compact"/>
      </w:pPr>
      <w:r>
        <w:t xml:space="preserve">Risk and Compliance Analyst</w:t>
      </w:r>
    </w:p>
    <w:p>
      <w:pPr>
        <w:numPr>
          <w:ilvl w:val="0"/>
          <w:numId w:val="1016"/>
        </w:numPr>
        <w:pStyle w:val="Compact"/>
      </w:pPr>
      <w:r>
        <w:t xml:space="preserve">Ethics and Compliance Specialist</w:t>
      </w:r>
    </w:p>
    <w:p>
      <w:pPr>
        <w:numPr>
          <w:ilvl w:val="0"/>
          <w:numId w:val="1016"/>
        </w:numPr>
        <w:pStyle w:val="Compact"/>
      </w:pPr>
      <w:r>
        <w:t xml:space="preserve">Privacy or Security Compliance Analyst</w:t>
      </w:r>
    </w:p>
    <w:p>
      <w:pPr>
        <w:numPr>
          <w:ilvl w:val="0"/>
          <w:numId w:val="1016"/>
        </w:numPr>
        <w:pStyle w:val="Compact"/>
      </w:pPr>
      <w:r>
        <w:t xml:space="preserve">Quality or Management Systems Coordinator</w:t>
      </w:r>
    </w:p>
    <w:p>
      <w:pPr>
        <w:numPr>
          <w:ilvl w:val="0"/>
          <w:numId w:val="1016"/>
        </w:numPr>
        <w:pStyle w:val="Compact"/>
      </w:pPr>
      <w:r>
        <w:t xml:space="preserve">Compliance Manager</w:t>
      </w:r>
    </w:p>
    <w:p>
      <w:pPr>
        <w:pStyle w:val="FirstParagraph"/>
      </w:pPr>
      <w:r>
        <w:t xml:space="preserve">Progression is not automatic. Specialized and management roles may require deeper domain expertise, formal education, professional credentials, or regulated responsibility.</w:t>
      </w:r>
    </w:p>
    <w:bookmarkEnd w:id="50"/>
    <w:bookmarkStart w:id="51" w:name="Xd0d176e5e97d5daa3b2f3f513067fcd02b6f2d6"/>
    <w:p>
      <w:pPr>
        <w:pStyle w:val="Heading2"/>
      </w:pPr>
      <w:r>
        <w:t xml:space="preserve">18. When to pause, delay, or choose another path</w:t>
      </w:r>
    </w:p>
    <w:p>
      <w:pPr>
        <w:pStyle w:val="FirstParagraph"/>
      </w:pPr>
      <w:r>
        <w:t xml:space="preserve">Pause or reconsider when:</w:t>
      </w:r>
    </w:p>
    <w:p>
      <w:pPr>
        <w:numPr>
          <w:ilvl w:val="0"/>
          <w:numId w:val="1017"/>
        </w:numPr>
        <w:pStyle w:val="Compact"/>
      </w:pPr>
      <w:r>
        <w:t xml:space="preserve">the role expects independent legal or regulatory advice beyond your qualifications;</w:t>
      </w:r>
    </w:p>
    <w:p>
      <w:pPr>
        <w:numPr>
          <w:ilvl w:val="0"/>
          <w:numId w:val="1017"/>
        </w:numPr>
        <w:pStyle w:val="Compact"/>
      </w:pPr>
      <w:r>
        <w:t xml:space="preserve">the employer expects evidence manipulation, hidden exceptions, retaliation, or false certification;</w:t>
      </w:r>
    </w:p>
    <w:p>
      <w:pPr>
        <w:numPr>
          <w:ilvl w:val="0"/>
          <w:numId w:val="1017"/>
        </w:numPr>
        <w:pStyle w:val="Compact"/>
      </w:pPr>
      <w:r>
        <w:t xml:space="preserve">a training provider promises guaranteed employment or salary;</w:t>
      </w:r>
    </w:p>
    <w:p>
      <w:pPr>
        <w:numPr>
          <w:ilvl w:val="0"/>
          <w:numId w:val="1017"/>
        </w:numPr>
        <w:pStyle w:val="Compact"/>
      </w:pPr>
      <w:r>
        <w:t xml:space="preserve">total costs, renewals, refund rules, or employer repayment terms are unclear;</w:t>
      </w:r>
    </w:p>
    <w:p>
      <w:pPr>
        <w:numPr>
          <w:ilvl w:val="0"/>
          <w:numId w:val="1017"/>
        </w:numPr>
        <w:pStyle w:val="Compact"/>
      </w:pPr>
      <w:r>
        <w:t xml:space="preserve">the role’s travel, schedule, sensory, security, or site-access requirements are not workable and no reasonable accommodation is available; or</w:t>
      </w:r>
    </w:p>
    <w:p>
      <w:pPr>
        <w:numPr>
          <w:ilvl w:val="0"/>
          <w:numId w:val="1017"/>
        </w:numPr>
        <w:pStyle w:val="Compact"/>
      </w:pPr>
      <w:r>
        <w:t xml:space="preserve">the domain requires licensure, clearance, technical expertise, or regulated authority you do not yet possess.</w:t>
      </w:r>
    </w:p>
    <w:bookmarkEnd w:id="51"/>
    <w:bookmarkStart w:id="52" w:name="source-and-verification-list"/>
    <w:p>
      <w:pPr>
        <w:pStyle w:val="Heading2"/>
      </w:pPr>
      <w:r>
        <w:t xml:space="preserve">19. Source and verification list</w:t>
      </w:r>
    </w:p>
    <w:p>
      <w:pPr>
        <w:pStyle w:val="FirstParagraph"/>
      </w:pPr>
      <w:r>
        <w:t xml:space="preserve">Recheck time-sensitive facts before material decisions and before publication.</w:t>
      </w:r>
    </w:p>
    <w:p>
      <w:pPr>
        <w:numPr>
          <w:ilvl w:val="0"/>
          <w:numId w:val="1018"/>
        </w:numPr>
        <w:pStyle w:val="Compact"/>
      </w:pPr>
      <w:r>
        <w:t xml:space="preserve">U.S. Bureau of Labor Statistics — Compliance Officers: https://www.bls.gov/ooh/business-and-financial/compliance-officers.htm</w:t>
      </w:r>
    </w:p>
    <w:p>
      <w:pPr>
        <w:numPr>
          <w:ilvl w:val="0"/>
          <w:numId w:val="1018"/>
        </w:numPr>
        <w:pStyle w:val="Compact"/>
      </w:pPr>
      <w:r>
        <w:t xml:space="preserve">Government of Canada Job Bank — Regulatory Compliance Officer wages: https://www.jobbank.gc.ca/marketreport/wages-occupation/27323/ca</w:t>
      </w:r>
    </w:p>
    <w:p>
      <w:pPr>
        <w:numPr>
          <w:ilvl w:val="0"/>
          <w:numId w:val="1018"/>
        </w:numPr>
        <w:pStyle w:val="Compact"/>
      </w:pPr>
      <w:r>
        <w:t xml:space="preserve">Government of Canada Job Bank — Financial Compliance Officer wages: https://www.jobbank.gc.ca/marketreport/wages-occupation/296408/ca</w:t>
      </w:r>
    </w:p>
    <w:p>
      <w:pPr>
        <w:numPr>
          <w:ilvl w:val="0"/>
          <w:numId w:val="1018"/>
        </w:numPr>
        <w:pStyle w:val="Compact"/>
      </w:pPr>
      <w:r>
        <w:t xml:space="preserve">Federal Student Aid — FAFSA student steps: https://studentaid.gov/articles/fafsa-student-steps/</w:t>
      </w:r>
    </w:p>
    <w:p>
      <w:pPr>
        <w:numPr>
          <w:ilvl w:val="0"/>
          <w:numId w:val="1018"/>
        </w:numPr>
        <w:pStyle w:val="Compact"/>
      </w:pPr>
      <w:r>
        <w:t xml:space="preserve">U.S. Department of Labor — Adult training: https://www.dol.gov/general/topic/training/adulttraining</w:t>
      </w:r>
    </w:p>
    <w:p>
      <w:pPr>
        <w:numPr>
          <w:ilvl w:val="0"/>
          <w:numId w:val="1018"/>
        </w:numPr>
        <w:pStyle w:val="Compact"/>
      </w:pPr>
      <w:r>
        <w:t xml:space="preserve">Apprenticeship.gov — Career Seekers: https://www.apprenticeship.gov/career-seekers</w:t>
      </w:r>
    </w:p>
    <w:p>
      <w:pPr>
        <w:numPr>
          <w:ilvl w:val="0"/>
          <w:numId w:val="1018"/>
        </w:numPr>
        <w:pStyle w:val="Compact"/>
      </w:pPr>
      <w:r>
        <w:t xml:space="preserve">IRS — Section 127 educational assistance: https://www.irs.gov/newsroom/irs-updates-frequently-asked-questions-about-section-127-educational-assistance-programs</w:t>
      </w:r>
    </w:p>
    <w:p>
      <w:pPr>
        <w:numPr>
          <w:ilvl w:val="0"/>
          <w:numId w:val="1018"/>
        </w:numPr>
        <w:pStyle w:val="Compact"/>
      </w:pPr>
      <w:r>
        <w:t xml:space="preserve">U.S. Department of Education — Accreditation: https://www.ed.gov/accreditation</w:t>
      </w:r>
    </w:p>
    <w:p>
      <w:pPr>
        <w:numPr>
          <w:ilvl w:val="0"/>
          <w:numId w:val="1018"/>
        </w:numPr>
        <w:pStyle w:val="Compact"/>
      </w:pPr>
      <w:r>
        <w:t xml:space="preserve">U.S. Equal Employment Opportunity Commission — Disability discrimination: https://www.eeoc.gov/disability-discrimination</w:t>
      </w:r>
    </w:p>
    <w:p>
      <w:pPr>
        <w:numPr>
          <w:ilvl w:val="0"/>
          <w:numId w:val="1018"/>
        </w:numPr>
        <w:pStyle w:val="Compact"/>
      </w:pPr>
      <w:r>
        <w:t xml:space="preserve">SENA Betowa: https://betowa.sena.edu.co/</w:t>
      </w:r>
    </w:p>
    <w:p>
      <w:pPr>
        <w:numPr>
          <w:ilvl w:val="0"/>
          <w:numId w:val="1018"/>
        </w:numPr>
        <w:pStyle w:val="Compact"/>
      </w:pPr>
      <w:r>
        <w:t xml:space="preserve">Servicio Público de Empleo Colombia: https://www.serviciodeempleo.gov.co/</w:t>
      </w:r>
    </w:p>
    <w:p>
      <w:pPr>
        <w:pStyle w:val="FirstParagraph"/>
      </w:pPr>
      <w:r>
        <w:rPr>
          <w:bCs/>
          <w:b/>
        </w:rPr>
        <w:t xml:space="preserve">Publication rule:</w:t>
      </w:r>
      <w:r>
        <w:t xml:space="preserve"> </w:t>
      </w:r>
      <w:r>
        <w:t xml:space="preserve">verify time-sensitive facts and links again before release. This guide does not guarantee employment, compensation, admission, funding, certification, accommodation, or any other outcome.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2026-08-08T23:11:22Z</dcterms:created>
  <dcterms:modified xsi:type="dcterms:W3CDTF">2026-08-08T23:11:22Z</dcterms:modified>
</cp:coreProperties>
</file>

<file path=docProps/custom.xml><?xml version="1.0" encoding="utf-8"?>
<Properties xmlns="http://schemas.openxmlformats.org/officeDocument/2006/custom-properties" xmlns:vt="http://schemas.openxmlformats.org/officeDocument/2006/docPropsVTypes"/>
</file>