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00dae622e063e608b47a4fc2ae95a11906fab67"/>
    <w:p>
      <w:pPr>
        <w:pStyle w:val="Heading1"/>
      </w:pPr>
      <w:r>
        <w:t xml:space="preserve">Guía de Oportunidades para Toda la Vida 14 — Representante de Servicios al Paciente y Coordinador de Consultorio Médico</w:t>
      </w:r>
    </w:p>
    <w:p>
      <w:pPr>
        <w:pStyle w:val="FirstParagraph"/>
      </w:pPr>
      <w:r>
        <w:rPr>
          <w:bCs/>
          <w:b/>
        </w:rPr>
        <w:t xml:space="preserve">Candidato de publicación controlado en español latinoamericano 2026</w:t>
      </w:r>
      <w:r>
        <w:br/>
      </w:r>
      <w:r>
        <w:t xml:space="preserve">Versión 2.0 • agosto de 2026</w:t>
      </w:r>
      <w:r>
        <w:br/>
      </w:r>
      <w:r>
        <w:t xml:space="preserve">Creado y dirigido por Alberto (Al) Leiva</w:t>
      </w:r>
      <w:r>
        <w:br/>
      </w:r>
      <w:r>
        <w:t xml:space="preserve">Investigación, organización, edición y preparación de documentos con asistencia de ChatGPT, OpenAI</w:t>
      </w:r>
    </w:p>
    <w:p>
      <w:pPr>
        <w:pStyle w:val="BlockText"/>
      </w:pPr>
      <w:r>
        <w:rPr>
          <w:bCs/>
          <w:b/>
        </w:rPr>
        <w:t xml:space="preserve">Estado controlado:</w:t>
      </w:r>
      <w:r>
        <w:t xml:space="preserve"> </w:t>
      </w:r>
      <w:r>
        <w:t xml:space="preserve">Este es el candidato de publicación controlado en español latinoamericano para la revisión de 2026, localizado a partir de la fuente inglesa v2 congelada. Ha superado las verificaciones documentadas de terminología, paridad, documentos, renderizado y publicación. La liberación sigue sujeta a la auditoría final controlada.</w:t>
      </w:r>
    </w:p>
    <w:bookmarkStart w:id="20" w:name="la-promesa-de-esta-guía"/>
    <w:p>
      <w:pPr>
        <w:pStyle w:val="Heading2"/>
      </w:pPr>
      <w:r>
        <w:t xml:space="preserve">La promesa de esta guía</w:t>
      </w:r>
    </w:p>
    <w:p>
      <w:pPr>
        <w:pStyle w:val="FirstParagraph"/>
      </w:pPr>
      <w:r>
        <w:t xml:space="preserve">Esta guía no promete que el trabajo de servicios al paciente o coordinación de consultorio sea adecuado para todas las personas, que una credencial produzca empleo, que la capacitación sea gratuita ni que un salario se aplique en todos los lugares. Su propósito es ayudar a comprender el trabajo administrativo no clínico en salud, comparar rutas de aprendizaje asequibles, construir evidencia de capacidad, proteger información del paciente, reconocer límites clínicos y legales, usar IA responsablemente y verificar requisitos actuales antes de gastar dinero o aceptar obligaciones de empleo o reembolso.</w:t>
      </w:r>
    </w:p>
    <w:bookmarkEnd w:id="20"/>
    <w:bookmarkStart w:id="21" w:name="por-qué-existe-esta-guía"/>
    <w:p>
      <w:pPr>
        <w:pStyle w:val="Heading2"/>
      </w:pPr>
      <w:r>
        <w:t xml:space="preserve">Por qué existe esta guía</w:t>
      </w:r>
    </w:p>
    <w:p>
      <w:pPr>
        <w:pStyle w:val="FirstParagraph"/>
      </w:pPr>
      <w:r>
        <w:rPr>
          <w:rStyle w:val="VerbatimChar"/>
        </w:rPr>
        <w:t xml:space="preserve">Patient Services Representative</w:t>
      </w:r>
      <w:r>
        <w:t xml:space="preserve">,</w:t>
      </w:r>
      <w:r>
        <w:t xml:space="preserve"> </w:t>
      </w:r>
      <w:r>
        <w:rPr>
          <w:rStyle w:val="VerbatimChar"/>
        </w:rPr>
        <w:t xml:space="preserve">Patient Access Representative</w:t>
      </w:r>
      <w:r>
        <w:t xml:space="preserve">,</w:t>
      </w:r>
      <w:r>
        <w:t xml:space="preserve"> </w:t>
      </w:r>
      <w:r>
        <w:rPr>
          <w:rStyle w:val="VerbatimChar"/>
        </w:rPr>
        <w:t xml:space="preserve">Medical Receptionist</w:t>
      </w:r>
      <w:r>
        <w:t xml:space="preserve"> </w:t>
      </w:r>
      <w:r>
        <w:t xml:space="preserve">y</w:t>
      </w:r>
      <w:r>
        <w:t xml:space="preserve"> </w:t>
      </w:r>
      <w:r>
        <w:rPr>
          <w:rStyle w:val="VerbatimChar"/>
        </w:rPr>
        <w:t xml:space="preserve">Medical Office Coordinator</w:t>
      </w:r>
      <w:r>
        <w:t xml:space="preserve"> </w:t>
      </w:r>
      <w:r>
        <w:t xml:space="preserve">son títulos prácticos, no una sola ocupación estandarizada. Un empleador puede enfocarse en citas, registro, admisiones, referencias, mensajes, seguros, pagos, expedientes y atención al usuario. Otro puede añadir autorizaciones, acceso de pacientes, coordinación de especialidad o liderazgo de recepción. El plan más seguro empieza por las funciones y la autoridad reales.</w:t>
      </w:r>
    </w:p>
    <w:bookmarkEnd w:id="21"/>
    <w:bookmarkStart w:id="22" w:name="reconocimiento-de-la-asistencia-de-ia"/>
    <w:p>
      <w:pPr>
        <w:pStyle w:val="Heading2"/>
      </w:pPr>
      <w:r>
        <w:t xml:space="preserve">Reconocimiento de la asistencia de IA</w:t>
      </w:r>
    </w:p>
    <w:p>
      <w:pPr>
        <w:pStyle w:val="FirstParagraph"/>
      </w:pPr>
      <w:r>
        <w:t xml:space="preserve">Alberto (Al) Leiva concibió y dirige este proyecto y sigue siendo responsable de la guía. ChatGPT de OpenAI se utilizó como herramienta de apoyo para investigación, organización, edición, apoyo de traducción y preparación de documentos. La asistencia de IA no equivale a certificación humana independiente, certificación profesional de traducción, acreditación, certificación de accesibilidad, revisión jurídica, juicio clínico, certificación de cumplimiento de privacidad, consejo médico ni sustituto de fuentes oficiales vigentes y juicio humano cualificado.</w:t>
      </w:r>
    </w:p>
    <w:bookmarkEnd w:id="22"/>
    <w:bookmarkStart w:id="23" w:name="límites-éticos-y-prácticos"/>
    <w:p>
      <w:pPr>
        <w:pStyle w:val="Heading2"/>
      </w:pPr>
      <w:r>
        <w:t xml:space="preserve">Límites éticos y prácticos</w:t>
      </w:r>
    </w:p>
    <w:p>
      <w:pPr>
        <w:pStyle w:val="FirstParagraph"/>
      </w:pPr>
      <w:r>
        <w:t xml:space="preserve">Esta guía brinda educación general y orientación profesional. No ofrece asesoramiento individualizado médico, de enfermería, legal, privacidad, seguros, codificación, facturación, financiero, ciberseguridad, licencias ni clínico. Los servicios al paciente y la coordinación de consultorio son generalmente funciones administrativas salvo que el puesto exija y autorice por separado funciones clínicas cualificadas. No diagnostique, recomiende tratamiento o medicamentos, interprete resultados de pruebas, realice triaje clínico independiente fuera de protocolos aprobados ni cambie registros clínicos fuera de procedimientos autorizados.</w:t>
      </w:r>
    </w:p>
    <w:p>
      <w:r>
        <w:pict>
          <v:rect style="width:0;height:1.5pt" o:hralign="center" o:hrstd="t" o:hr="t"/>
        </w:pict>
      </w:r>
    </w:p>
    <w:bookmarkEnd w:id="23"/>
    <w:bookmarkStart w:id="24" w:name="cómo-usar-esta-guía"/>
    <w:p>
      <w:pPr>
        <w:pStyle w:val="Heading2"/>
      </w:pPr>
      <w:r>
        <w:t xml:space="preserve">1. Cómo usar esta guía</w:t>
      </w:r>
    </w:p>
    <w:p>
      <w:pPr>
        <w:pStyle w:val="FirstParagraph"/>
      </w:pPr>
      <w:r>
        <w:t xml:space="preserve">Comience con vacantes actuales en su mercado objetivo. Busque</w:t>
      </w:r>
      <w:r>
        <w:t xml:space="preserve"> </w:t>
      </w:r>
      <w:r>
        <w:rPr>
          <w:rStyle w:val="VerbatimChar"/>
        </w:rPr>
        <w:t xml:space="preserve">Patient Services Representative</w:t>
      </w:r>
      <w:r>
        <w:t xml:space="preserve">,</w:t>
      </w:r>
      <w:r>
        <w:t xml:space="preserve"> </w:t>
      </w:r>
      <w:r>
        <w:rPr>
          <w:rStyle w:val="VerbatimChar"/>
        </w:rPr>
        <w:t xml:space="preserve">Patient Service Representative</w:t>
      </w:r>
      <w:r>
        <w:t xml:space="preserve">,</w:t>
      </w:r>
      <w:r>
        <w:t xml:space="preserve"> </w:t>
      </w:r>
      <w:r>
        <w:rPr>
          <w:rStyle w:val="VerbatimChar"/>
        </w:rPr>
        <w:t xml:space="preserve">Patient Access Representative</w:t>
      </w:r>
      <w:r>
        <w:t xml:space="preserve">,</w:t>
      </w:r>
      <w:r>
        <w:t xml:space="preserve"> </w:t>
      </w:r>
      <w:r>
        <w:rPr>
          <w:rStyle w:val="VerbatimChar"/>
        </w:rPr>
        <w:t xml:space="preserve">Medical Receptionist</w:t>
      </w:r>
      <w:r>
        <w:t xml:space="preserve">,</w:t>
      </w:r>
      <w:r>
        <w:t xml:space="preserve"> </w:t>
      </w:r>
      <w:r>
        <w:rPr>
          <w:rStyle w:val="VerbatimChar"/>
        </w:rPr>
        <w:t xml:space="preserve">Medical Office Coordinator</w:t>
      </w:r>
      <w:r>
        <w:t xml:space="preserve">,</w:t>
      </w:r>
      <w:r>
        <w:t xml:space="preserve"> </w:t>
      </w:r>
      <w:r>
        <w:rPr>
          <w:rStyle w:val="VerbatimChar"/>
        </w:rPr>
        <w:t xml:space="preserve">Medical Administrative Assistant</w:t>
      </w:r>
      <w:r>
        <w:t xml:space="preserve">,</w:t>
      </w:r>
      <w:r>
        <w:t xml:space="preserve"> </w:t>
      </w:r>
      <w:r>
        <w:rPr>
          <w:rStyle w:val="VerbatimChar"/>
        </w:rPr>
        <w:t xml:space="preserve">Clinic Coordinator</w:t>
      </w:r>
      <w:r>
        <w:t xml:space="preserve">,</w:t>
      </w:r>
      <w:r>
        <w:t xml:space="preserve"> </w:t>
      </w:r>
      <w:r>
        <w:rPr>
          <w:rStyle w:val="VerbatimChar"/>
        </w:rPr>
        <w:t xml:space="preserve">Front Desk Coordinator</w:t>
      </w:r>
      <w:r>
        <w:t xml:space="preserve"> </w:t>
      </w:r>
      <w:r>
        <w:t xml:space="preserve">y equivalentes locales. Compare funciones y registre educación, experiencia, terminología médica, sistemas EHR/EMR, seguros, idiomas, horarios y exigencias físicas. Separe administración no clínica de triaje, diagnóstico, codificación, adjudicación de facturación, enfermería, asistencia médica y decisiones de liberación de información. Priorice aprendizaje gratuito, público, apoyado por el empleador o basado en el trabajo antes de pagar credenciales privadas.</w:t>
      </w:r>
    </w:p>
    <w:bookmarkEnd w:id="24"/>
    <w:bookmarkStart w:id="25" w:name="X7711ac4db3153dd02d0bb2233f5cfd9f35b8cc3"/>
    <w:p>
      <w:pPr>
        <w:pStyle w:val="Heading2"/>
      </w:pPr>
      <w:r>
        <w:t xml:space="preserve">2. En qué consiste el trabajo y mapeo ocupacional</w:t>
      </w:r>
    </w:p>
    <w:p>
      <w:pPr>
        <w:pStyle w:val="FirstParagraph"/>
      </w:pPr>
      <w:r>
        <w:t xml:space="preserve">El personal de servicios al paciente y consultorio ayuda a las personas a navegar los aspectos administrativos de la atención médica. Puede recibir y registrar pacientes, confirmar identidad y datos de contacto, programar citas, explicar instrucciones administrativas, enrutar mensajes al equipo correcto, actualizar datos demográficos y de seguros, apoyar referencias y autorizaciones, recibir pagos autorizados, digitalizar documentos, ayudar con portales y escalar asuntos urgentes según protocolos.</w:t>
      </w:r>
    </w:p>
    <w:p>
      <w:pPr>
        <w:pStyle w:val="BodyText"/>
      </w:pPr>
      <w:r>
        <w:t xml:space="preserve">Para comparar el mercado laboral de EE. UU.,</w:t>
      </w:r>
      <w:r>
        <w:t xml:space="preserve"> </w:t>
      </w:r>
      <w:r>
        <w:rPr>
          <w:bCs/>
          <w:b/>
        </w:rPr>
        <w:t xml:space="preserve">Medical Secretaries and Administrative Assistants, SOC 43-6013</w:t>
      </w:r>
      <w:r>
        <w:t xml:space="preserve">, es una referencia administrativa amplia. No es un mapeo exacto para todos los títulos de Patient Services Representative o Medical Office Coordinator.</w:t>
      </w:r>
    </w:p>
    <w:bookmarkEnd w:id="25"/>
    <w:bookmarkStart w:id="26" w:name="X5969ad1a74244291d84710e05d5f84d4eaf128c"/>
    <w:p>
      <w:pPr>
        <w:pStyle w:val="Heading2"/>
      </w:pPr>
      <w:r>
        <w:t xml:space="preserve">3. Un flujo realista de servicios al paciente</w:t>
      </w:r>
    </w:p>
    <w:p>
      <w:pPr>
        <w:numPr>
          <w:ilvl w:val="0"/>
          <w:numId w:val="1001"/>
        </w:numPr>
        <w:pStyle w:val="Compact"/>
      </w:pPr>
      <w:r>
        <w:t xml:space="preserve">Confirme la identidad del paciente usando el método aprobado.</w:t>
      </w:r>
    </w:p>
    <w:p>
      <w:pPr>
        <w:numPr>
          <w:ilvl w:val="0"/>
          <w:numId w:val="1001"/>
        </w:numPr>
        <w:pStyle w:val="Compact"/>
      </w:pPr>
      <w:r>
        <w:t xml:space="preserve">Verifique el propósito de la interacción y la tarea administrativa solicitada.</w:t>
      </w:r>
    </w:p>
    <w:p>
      <w:pPr>
        <w:numPr>
          <w:ilvl w:val="0"/>
          <w:numId w:val="1001"/>
        </w:numPr>
        <w:pStyle w:val="Compact"/>
      </w:pPr>
      <w:r>
        <w:t xml:space="preserve">Acceda solo a sistemas e información necesarios para su función.</w:t>
      </w:r>
    </w:p>
    <w:p>
      <w:pPr>
        <w:numPr>
          <w:ilvl w:val="0"/>
          <w:numId w:val="1001"/>
        </w:numPr>
        <w:pStyle w:val="Compact"/>
      </w:pPr>
      <w:r>
        <w:t xml:space="preserve">Confirme datos, cita, referencia, seguro o formularios según autorización.</w:t>
      </w:r>
    </w:p>
    <w:p>
      <w:pPr>
        <w:numPr>
          <w:ilvl w:val="0"/>
          <w:numId w:val="1001"/>
        </w:numPr>
        <w:pStyle w:val="Compact"/>
      </w:pPr>
      <w:r>
        <w:t xml:space="preserve">No adivine cuando falte información o haya inconsistencias.</w:t>
      </w:r>
    </w:p>
    <w:p>
      <w:pPr>
        <w:numPr>
          <w:ilvl w:val="0"/>
          <w:numId w:val="1001"/>
        </w:numPr>
        <w:pStyle w:val="Compact"/>
      </w:pPr>
      <w:r>
        <w:t xml:space="preserve">Enrute preguntas clínicas a personal clínico cualificado.</w:t>
      </w:r>
    </w:p>
    <w:p>
      <w:pPr>
        <w:numPr>
          <w:ilvl w:val="0"/>
          <w:numId w:val="1001"/>
        </w:numPr>
        <w:pStyle w:val="Compact"/>
      </w:pPr>
      <w:r>
        <w:t xml:space="preserve">Siga protocolos de emergencia cuando el paciente describa síntomas urgentes o peligro inmediato.</w:t>
      </w:r>
    </w:p>
    <w:p>
      <w:pPr>
        <w:numPr>
          <w:ilvl w:val="0"/>
          <w:numId w:val="1001"/>
        </w:numPr>
        <w:pStyle w:val="Compact"/>
      </w:pPr>
      <w:r>
        <w:t xml:space="preserve">Documente con precisión la acción administrativa.</w:t>
      </w:r>
    </w:p>
    <w:p>
      <w:pPr>
        <w:numPr>
          <w:ilvl w:val="0"/>
          <w:numId w:val="1001"/>
        </w:numPr>
        <w:pStyle w:val="Compact"/>
      </w:pPr>
      <w:r>
        <w:t xml:space="preserve">Proteja pantallas, documentos, conversaciones y mensajes.</w:t>
      </w:r>
    </w:p>
    <w:p>
      <w:pPr>
        <w:numPr>
          <w:ilvl w:val="0"/>
          <w:numId w:val="1001"/>
        </w:numPr>
        <w:pStyle w:val="Compact"/>
      </w:pPr>
      <w:r>
        <w:t xml:space="preserve">Confirme los siguientes pasos sin prometer cobertura, resultados clínicos o montos no verificados.</w:t>
      </w:r>
    </w:p>
    <w:p>
      <w:pPr>
        <w:pStyle w:val="FirstParagraph"/>
      </w:pPr>
      <w:r>
        <w:t xml:space="preserve">Herramientas comunes incluyen EHR/EMR, sistemas de citas, portales de pacientes, telefonía, mensajería segura, escáneres, pagos, hojas de cálculo y portales de referencias o autorizaciones.</w:t>
      </w:r>
    </w:p>
    <w:bookmarkEnd w:id="26"/>
    <w:bookmarkStart w:id="27" w:name="X61e241ecafcc736543d55b315ab0d0f11306d9b"/>
    <w:p>
      <w:pPr>
        <w:pStyle w:val="Heading2"/>
      </w:pPr>
      <w:r>
        <w:t xml:space="preserve">4. Compatibilidad, condiciones de trabajo y accesibilidad</w:t>
      </w:r>
    </w:p>
    <w:p>
      <w:pPr>
        <w:pStyle w:val="FirstParagraph"/>
      </w:pPr>
      <w:r>
        <w:t xml:space="preserve">Pregúntese si puede mantener cortesía con personas ansiosas o enfermas, proteger privacidad en ambientes ocupados, ingresar datos con precisión, seguir guiones y escalamiento sin improvisar consejo clínico, gestionar varias tareas y aprender terminología médica sin interpretar información clínica. El trabajo puede implicar estar sentado o de pie, usar teléfono o auriculares, teclear repetitivamente, trabajar con interrupciones, pantallas, turnos y contacto con pacientes angustiados.</w:t>
      </w:r>
    </w:p>
    <w:p>
      <w:pPr>
        <w:pStyle w:val="BodyText"/>
      </w:pPr>
      <w:r>
        <w:t xml:space="preserve">Las adaptaciones pueden incluir equipo ergonómico, lectores o ampliadores de pantalla, subtítulos, software accesible, horarios modificados, formatos alternativos de comunicación u otras adaptaciones razonables cuando corresponda.</w:t>
      </w:r>
    </w:p>
    <w:bookmarkEnd w:id="27"/>
    <w:bookmarkStart w:id="28" w:name="X202758731b429eee40949ec0c332a48234f3774"/>
    <w:p>
      <w:pPr>
        <w:pStyle w:val="Heading2"/>
      </w:pPr>
      <w:r>
        <w:t xml:space="preserve">5. Ética, identidad del paciente, privacidad e integridad de registros</w:t>
      </w:r>
    </w:p>
    <w:p>
      <w:pPr>
        <w:pStyle w:val="FirstParagraph"/>
      </w:pPr>
      <w:r>
        <w:t xml:space="preserve">Nunca acceda a información por curiosidad, hable de pacientes donde personas no autorizadas puedan escuchar, comparta contraseñas, cambie notas clínicas o resultados fuera del flujo autorizado, prometa cobertura o aprobación sin verificación, dé diagnóstico o tratamiento, ignore una emergencia, cree citas o pagos falsos, envíe información por canales personales no aprobados ni omita controles de identidad o liberación de información.</w:t>
      </w:r>
    </w:p>
    <w:p>
      <w:pPr>
        <w:pStyle w:val="BodyText"/>
      </w:pPr>
      <w:r>
        <w:t xml:space="preserve">Si identidad, autorización, pago, liberación de registros, urgencia clínica o privacidad no están claros, deténgase y escale.</w:t>
      </w:r>
    </w:p>
    <w:bookmarkEnd w:id="28"/>
    <w:bookmarkStart w:id="31" w:name="X0f5aa268458702ff1cdb58c4e39f85d76c103d5"/>
    <w:p>
      <w:pPr>
        <w:pStyle w:val="Heading2"/>
      </w:pPr>
      <w:r>
        <w:t xml:space="preserve">6. Estados Unidos — salarios y perspectivas oficiales</w:t>
      </w:r>
    </w:p>
    <w:bookmarkStart w:id="29" w:name="oews-mayo-de-2025"/>
    <w:p>
      <w:pPr>
        <w:pStyle w:val="Heading3"/>
      </w:pPr>
      <w:r>
        <w:t xml:space="preserve">OEWS mayo de 2025</w:t>
      </w:r>
    </w:p>
    <w:p>
      <w:pPr>
        <w:pStyle w:val="FirstParagraph"/>
      </w:pPr>
      <w:r>
        <w:t xml:space="preserve">BLS informa para</w:t>
      </w:r>
      <w:r>
        <w:t xml:space="preserve"> </w:t>
      </w:r>
      <w:r>
        <w:rPr>
          <w:bCs/>
          <w:b/>
        </w:rPr>
        <w:t xml:space="preserve">Medical Secretaries and Administrative Assistants</w:t>
      </w:r>
      <w:r>
        <w:t xml:space="preserve">:</w:t>
      </w:r>
    </w:p>
    <w:p>
      <w:pPr>
        <w:numPr>
          <w:ilvl w:val="0"/>
          <w:numId w:val="1002"/>
        </w:numPr>
        <w:pStyle w:val="Compact"/>
      </w:pPr>
      <w:r>
        <w:t xml:space="preserve">empleo:</w:t>
      </w:r>
      <w:r>
        <w:t xml:space="preserve"> </w:t>
      </w:r>
      <w:r>
        <w:rPr>
          <w:bCs/>
          <w:b/>
        </w:rPr>
        <w:t xml:space="preserve">961,610</w:t>
      </w:r>
      <w:r>
        <w:t xml:space="preserve">;</w:t>
      </w:r>
    </w:p>
    <w:p>
      <w:pPr>
        <w:numPr>
          <w:ilvl w:val="0"/>
          <w:numId w:val="1002"/>
        </w:numPr>
        <w:pStyle w:val="Compact"/>
      </w:pPr>
      <w:r>
        <w:t xml:space="preserve">salario medio por hora:</w:t>
      </w:r>
      <w:r>
        <w:t xml:space="preserve"> </w:t>
      </w:r>
      <w:r>
        <w:rPr>
          <w:bCs/>
          <w:b/>
        </w:rPr>
        <w:t xml:space="preserve">US$22.50</w:t>
      </w:r>
      <w:r>
        <w:t xml:space="preserve">;</w:t>
      </w:r>
    </w:p>
    <w:p>
      <w:pPr>
        <w:numPr>
          <w:ilvl w:val="0"/>
          <w:numId w:val="1002"/>
        </w:numPr>
        <w:pStyle w:val="Compact"/>
      </w:pPr>
      <w:r>
        <w:t xml:space="preserve">salario medio anual:</w:t>
      </w:r>
      <w:r>
        <w:t xml:space="preserve"> </w:t>
      </w:r>
      <w:r>
        <w:rPr>
          <w:bCs/>
          <w:b/>
        </w:rPr>
        <w:t xml:space="preserve">US$46,800</w:t>
      </w:r>
      <w:r>
        <w:t xml:space="preserve">; y</w:t>
      </w:r>
    </w:p>
    <w:p>
      <w:pPr>
        <w:numPr>
          <w:ilvl w:val="0"/>
          <w:numId w:val="1002"/>
        </w:numPr>
        <w:pStyle w:val="Compact"/>
      </w:pPr>
      <w:r>
        <w:t xml:space="preserve">salario mediano por hora:</w:t>
      </w:r>
      <w:r>
        <w:t xml:space="preserve"> </w:t>
      </w:r>
      <w:r>
        <w:rPr>
          <w:bCs/>
          <w:b/>
        </w:rPr>
        <w:t xml:space="preserve">US$22.08</w:t>
      </w:r>
      <w:r>
        <w:t xml:space="preserve">.</w:t>
      </w:r>
    </w:p>
    <w:p>
      <w:pPr>
        <w:pStyle w:val="FirstParagraph"/>
      </w:pPr>
      <w:r>
        <w:t xml:space="preserve">Fuente: https://www.bls.gov/news.release/ocwage.t01.htm</w:t>
      </w:r>
    </w:p>
    <w:bookmarkEnd w:id="29"/>
    <w:bookmarkStart w:id="30" w:name="occupational-outlook-handbook"/>
    <w:p>
      <w:pPr>
        <w:pStyle w:val="Heading3"/>
      </w:pPr>
      <w:r>
        <w:t xml:space="preserve">Occupational Outlook Handbook</w:t>
      </w:r>
    </w:p>
    <w:p>
      <w:pPr>
        <w:pStyle w:val="FirstParagraph"/>
      </w:pPr>
      <w:r>
        <w:t xml:space="preserve">BLS identifica</w:t>
      </w:r>
      <w:r>
        <w:t xml:space="preserve"> </w:t>
      </w:r>
      <w:r>
        <w:rPr>
          <w:bCs/>
          <w:b/>
        </w:rPr>
        <w:t xml:space="preserve">Medical Secretaries and Administrative Assistants, SOC 43-6013</w:t>
      </w:r>
      <w:r>
        <w:t xml:space="preserve"> </w:t>
      </w:r>
      <w:r>
        <w:t xml:space="preserve">y reporta:</w:t>
      </w:r>
    </w:p>
    <w:p>
      <w:pPr>
        <w:numPr>
          <w:ilvl w:val="0"/>
          <w:numId w:val="1003"/>
        </w:numPr>
        <w:pStyle w:val="Compact"/>
      </w:pPr>
      <w:r>
        <w:t xml:space="preserve">empleo en 2024:</w:t>
      </w:r>
      <w:r>
        <w:t xml:space="preserve"> </w:t>
      </w:r>
      <w:r>
        <w:rPr>
          <w:bCs/>
          <w:b/>
        </w:rPr>
        <w:t xml:space="preserve">850,000</w:t>
      </w:r>
      <w:r>
        <w:t xml:space="preserve">;</w:t>
      </w:r>
    </w:p>
    <w:p>
      <w:pPr>
        <w:numPr>
          <w:ilvl w:val="0"/>
          <w:numId w:val="1003"/>
        </w:numPr>
        <w:pStyle w:val="Compact"/>
      </w:pPr>
      <w:r>
        <w:t xml:space="preserve">empleo proyectado en 2034:</w:t>
      </w:r>
      <w:r>
        <w:t xml:space="preserve"> </w:t>
      </w:r>
      <w:r>
        <w:rPr>
          <w:bCs/>
          <w:b/>
        </w:rPr>
        <w:t xml:space="preserve">885,300</w:t>
      </w:r>
      <w:r>
        <w:t xml:space="preserve">;</w:t>
      </w:r>
    </w:p>
    <w:p>
      <w:pPr>
        <w:numPr>
          <w:ilvl w:val="0"/>
          <w:numId w:val="1003"/>
        </w:numPr>
        <w:pStyle w:val="Compact"/>
      </w:pPr>
      <w:r>
        <w:t xml:space="preserve">crecimiento proyectado:</w:t>
      </w:r>
      <w:r>
        <w:t xml:space="preserve"> </w:t>
      </w:r>
      <w:r>
        <w:rPr>
          <w:bCs/>
          <w:b/>
        </w:rPr>
        <w:t xml:space="preserve">4%</w:t>
      </w:r>
      <w:r>
        <w:t xml:space="preserve">;</w:t>
      </w:r>
    </w:p>
    <w:p>
      <w:pPr>
        <w:numPr>
          <w:ilvl w:val="0"/>
          <w:numId w:val="1003"/>
        </w:numPr>
        <w:pStyle w:val="Compact"/>
      </w:pPr>
      <w:r>
        <w:t xml:space="preserve">crecimiento numérico:</w:t>
      </w:r>
      <w:r>
        <w:t xml:space="preserve"> </w:t>
      </w:r>
      <w:r>
        <w:rPr>
          <w:bCs/>
          <w:b/>
        </w:rPr>
        <w:t xml:space="preserve">35,300</w:t>
      </w:r>
      <w:r>
        <w:t xml:space="preserve">; y</w:t>
      </w:r>
    </w:p>
    <w:p>
      <w:pPr>
        <w:numPr>
          <w:ilvl w:val="0"/>
          <w:numId w:val="1003"/>
        </w:numPr>
        <w:pStyle w:val="Compact"/>
      </w:pPr>
      <w:r>
        <w:t xml:space="preserve">salario anual mediano del subtipo médico en mayo de 2024:</w:t>
      </w:r>
      <w:r>
        <w:t xml:space="preserve"> </w:t>
      </w:r>
      <w:r>
        <w:rPr>
          <w:bCs/>
          <w:b/>
        </w:rPr>
        <w:t xml:space="preserve">US$44,640</w:t>
      </w:r>
      <w:r>
        <w:t xml:space="preserve">.</w:t>
      </w:r>
    </w:p>
    <w:p>
      <w:pPr>
        <w:pStyle w:val="FirstParagraph"/>
      </w:pPr>
      <w:r>
        <w:t xml:space="preserve">BLS señala que estos trabajadores necesitan familiaridad con terminología y códigos médicos, expedientes y procedimientos hospitalarios o de laboratorio. Son referencias ocupacionales amplias, no salarios garantizados para un título específico.</w:t>
      </w:r>
    </w:p>
    <w:p>
      <w:pPr>
        <w:pStyle w:val="BodyText"/>
      </w:pPr>
      <w:r>
        <w:t xml:space="preserve">Fuente: https://www.bls.gov/ooh/office-and-administrative-support/secretaries-and-administrative-assistants.htm</w:t>
      </w:r>
    </w:p>
    <w:bookmarkEnd w:id="30"/>
    <w:bookmarkEnd w:id="31"/>
    <w:bookmarkStart w:id="32" w:name="estados-unidos-estimación-privada-actual"/>
    <w:p>
      <w:pPr>
        <w:pStyle w:val="Heading2"/>
      </w:pPr>
      <w:r>
        <w:t xml:space="preserve">7. Estados Unidos — estimación privada actual</w:t>
      </w:r>
    </w:p>
    <w:p>
      <w:pPr>
        <w:pStyle w:val="FirstParagraph"/>
      </w:pPr>
      <w:r>
        <w:t xml:space="preserve">ZipRecruiter reportó para</w:t>
      </w:r>
      <w:r>
        <w:t xml:space="preserve"> </w:t>
      </w:r>
      <w:r>
        <w:rPr>
          <w:rStyle w:val="VerbatimChar"/>
        </w:rPr>
        <w:t xml:space="preserve">Patient Services Representative</w:t>
      </w:r>
      <w:r>
        <w:t xml:space="preserve">, al</w:t>
      </w:r>
      <w:r>
        <w:t xml:space="preserve"> </w:t>
      </w:r>
      <w:r>
        <w:rPr>
          <w:bCs/>
          <w:b/>
        </w:rPr>
        <w:t xml:space="preserve">24 de julio de 2026</w:t>
      </w:r>
      <w:r>
        <w:t xml:space="preserve">:</w:t>
      </w:r>
    </w:p>
    <w:p>
      <w:pPr>
        <w:numPr>
          <w:ilvl w:val="0"/>
          <w:numId w:val="1004"/>
        </w:numPr>
        <w:pStyle w:val="Compact"/>
      </w:pPr>
      <w:r>
        <w:t xml:space="preserve">promedio:</w:t>
      </w:r>
      <w:r>
        <w:t xml:space="preserve"> </w:t>
      </w:r>
      <w:r>
        <w:rPr>
          <w:bCs/>
          <w:b/>
        </w:rPr>
        <w:t xml:space="preserve">US$41,073/año</w:t>
      </w:r>
      <w:r>
        <w:t xml:space="preserve">;</w:t>
      </w:r>
    </w:p>
    <w:p>
      <w:pPr>
        <w:numPr>
          <w:ilvl w:val="0"/>
          <w:numId w:val="1004"/>
        </w:numPr>
        <w:pStyle w:val="Compact"/>
      </w:pPr>
      <w:r>
        <w:t xml:space="preserve">aproximadamente</w:t>
      </w:r>
      <w:r>
        <w:t xml:space="preserve"> </w:t>
      </w:r>
      <w:r>
        <w:rPr>
          <w:bCs/>
          <w:b/>
        </w:rPr>
        <w:t xml:space="preserve">US$19.75/hora</w:t>
      </w:r>
      <w:r>
        <w:t xml:space="preserve">;</w:t>
      </w:r>
    </w:p>
    <w:p>
      <w:pPr>
        <w:numPr>
          <w:ilvl w:val="0"/>
          <w:numId w:val="1004"/>
        </w:numPr>
        <w:pStyle w:val="Compact"/>
      </w:pPr>
      <w:r>
        <w:t xml:space="preserve">percentil 25:</w:t>
      </w:r>
      <w:r>
        <w:t xml:space="preserve"> </w:t>
      </w:r>
      <w:r>
        <w:rPr>
          <w:bCs/>
          <w:b/>
        </w:rPr>
        <w:t xml:space="preserve">US$35,000</w:t>
      </w:r>
      <w:r>
        <w:t xml:space="preserve">;</w:t>
      </w:r>
    </w:p>
    <w:p>
      <w:pPr>
        <w:numPr>
          <w:ilvl w:val="0"/>
          <w:numId w:val="1004"/>
        </w:numPr>
        <w:pStyle w:val="Compact"/>
      </w:pPr>
      <w:r>
        <w:t xml:space="preserve">percentil 75:</w:t>
      </w:r>
      <w:r>
        <w:t xml:space="preserve"> </w:t>
      </w:r>
      <w:r>
        <w:rPr>
          <w:bCs/>
          <w:b/>
        </w:rPr>
        <w:t xml:space="preserve">US$44,500</w:t>
      </w:r>
      <w:r>
        <w:t xml:space="preserve">; y</w:t>
      </w:r>
    </w:p>
    <w:p>
      <w:pPr>
        <w:numPr>
          <w:ilvl w:val="0"/>
          <w:numId w:val="1004"/>
        </w:numPr>
        <w:pStyle w:val="Compact"/>
      </w:pPr>
      <w:r>
        <w:t xml:space="preserve">percentil 90:</w:t>
      </w:r>
      <w:r>
        <w:t xml:space="preserve"> </w:t>
      </w:r>
      <w:r>
        <w:rPr>
          <w:bCs/>
          <w:b/>
        </w:rPr>
        <w:t xml:space="preserve">US$50,000</w:t>
      </w:r>
      <w:r>
        <w:t xml:space="preserve">.</w:t>
      </w:r>
    </w:p>
    <w:p>
      <w:pPr>
        <w:pStyle w:val="FirstParagraph"/>
      </w:pPr>
      <w:r>
        <w:t xml:space="preserve">ZipRecruiter indica que sus estimaciones derivan de anuncios de empleadores y fuentes de terceros. Es una estimación privada, no una estadística oficial ni una garantía.</w:t>
      </w:r>
    </w:p>
    <w:p>
      <w:pPr>
        <w:pStyle w:val="BodyText"/>
      </w:pPr>
      <w:r>
        <w:t xml:space="preserve">Fuente: https://www.ziprecruiter.com/Salaries/Patient-Services-Representative-Salary</w:t>
      </w:r>
    </w:p>
    <w:bookmarkEnd w:id="32"/>
    <w:bookmarkStart w:id="33" w:name="Xdcfdc509d7fe5072d27b3c3e014e4cfd2e403b5"/>
    <w:p>
      <w:pPr>
        <w:pStyle w:val="Heading2"/>
      </w:pPr>
      <w:r>
        <w:t xml:space="preserve">8. Canadá — referencia de administración médica</w:t>
      </w:r>
    </w:p>
    <w:p>
      <w:pPr>
        <w:pStyle w:val="FirstParagraph"/>
      </w:pPr>
      <w:r>
        <w:t xml:space="preserve">Job Bank mapea secretariado médico a</w:t>
      </w:r>
      <w:r>
        <w:t xml:space="preserve"> </w:t>
      </w:r>
      <w:r>
        <w:rPr>
          <w:bCs/>
          <w:b/>
        </w:rPr>
        <w:t xml:space="preserve">NOC 13112 — Medical administrative assistants</w:t>
      </w:r>
      <w:r>
        <w:t xml:space="preserve">. Los salarios nacionales actualizados el</w:t>
      </w:r>
      <w:r>
        <w:t xml:space="preserve"> </w:t>
      </w:r>
      <w:r>
        <w:rPr>
          <w:bCs/>
          <w:b/>
        </w:rPr>
        <w:t xml:space="preserve">19 de noviembre de 2025</w:t>
      </w:r>
      <w:r>
        <w:t xml:space="preserve">, período de referencia</w:t>
      </w:r>
      <w:r>
        <w:t xml:space="preserve"> </w:t>
      </w:r>
      <w:r>
        <w:rPr>
          <w:bCs/>
          <w:b/>
        </w:rPr>
        <w:t xml:space="preserve">2023–2024</w:t>
      </w:r>
      <w:r>
        <w:t xml:space="preserve">, son:</w:t>
      </w:r>
    </w:p>
    <w:p>
      <w:pPr>
        <w:numPr>
          <w:ilvl w:val="0"/>
          <w:numId w:val="1005"/>
        </w:numPr>
        <w:pStyle w:val="Compact"/>
      </w:pPr>
      <w:r>
        <w:t xml:space="preserve">bajo:</w:t>
      </w:r>
      <w:r>
        <w:t xml:space="preserve"> </w:t>
      </w:r>
      <w:r>
        <w:rPr>
          <w:bCs/>
          <w:b/>
        </w:rPr>
        <w:t xml:space="preserve">C$18.92/hora</w:t>
      </w:r>
      <w:r>
        <w:t xml:space="preserve">;</w:t>
      </w:r>
    </w:p>
    <w:p>
      <w:pPr>
        <w:numPr>
          <w:ilvl w:val="0"/>
          <w:numId w:val="1005"/>
        </w:numPr>
        <w:pStyle w:val="Compact"/>
      </w:pPr>
      <w:r>
        <w:t xml:space="preserve">mediano:</w:t>
      </w:r>
      <w:r>
        <w:t xml:space="preserve"> </w:t>
      </w:r>
      <w:r>
        <w:rPr>
          <w:bCs/>
          <w:b/>
        </w:rPr>
        <w:t xml:space="preserve">C$25.00/hora</w:t>
      </w:r>
      <w:r>
        <w:t xml:space="preserve">; y</w:t>
      </w:r>
    </w:p>
    <w:p>
      <w:pPr>
        <w:numPr>
          <w:ilvl w:val="0"/>
          <w:numId w:val="1005"/>
        </w:numPr>
        <w:pStyle w:val="Compact"/>
      </w:pPr>
      <w:r>
        <w:t xml:space="preserve">alto:</w:t>
      </w:r>
      <w:r>
        <w:t xml:space="preserve"> </w:t>
      </w:r>
      <w:r>
        <w:rPr>
          <w:bCs/>
          <w:b/>
        </w:rPr>
        <w:t xml:space="preserve">C$32.00/hora</w:t>
      </w:r>
      <w:r>
        <w:t xml:space="preserve">.</w:t>
      </w:r>
    </w:p>
    <w:p>
      <w:pPr>
        <w:pStyle w:val="FirstParagraph"/>
      </w:pPr>
      <w:r>
        <w:t xml:space="preserve">Es una referencia de administración médica; acceso de pacientes, recepción, facturación y registros pueden mapearse de manera diferente.</w:t>
      </w:r>
    </w:p>
    <w:p>
      <w:pPr>
        <w:pStyle w:val="BodyText"/>
      </w:pPr>
      <w:r>
        <w:t xml:space="preserve">Fuente: https://www.jobbank.gc.ca/wagereport/occupation/12598</w:t>
      </w:r>
    </w:p>
    <w:bookmarkEnd w:id="33"/>
    <w:bookmarkStart w:id="34" w:name="colombia-ruta-sena"/>
    <w:p>
      <w:pPr>
        <w:pStyle w:val="Heading2"/>
      </w:pPr>
      <w:r>
        <w:t xml:space="preserve">9. Colombia — ruta SENA</w:t>
      </w:r>
    </w:p>
    <w:p>
      <w:pPr>
        <w:pStyle w:val="FirstParagraph"/>
      </w:pPr>
      <w:r>
        <w:t xml:space="preserve">SENA Betowa lista</w:t>
      </w:r>
      <w:r>
        <w:t xml:space="preserve"> </w:t>
      </w:r>
      <w:r>
        <w:rPr>
          <w:bCs/>
          <w:b/>
        </w:rPr>
        <w:t xml:space="preserve">Apoyo Administrativo en Salud</w:t>
      </w:r>
      <w:r>
        <w:t xml:space="preserve">, programa titulado</w:t>
      </w:r>
      <w:r>
        <w:t xml:space="preserve"> </w:t>
      </w:r>
      <w:r>
        <w:rPr>
          <w:bCs/>
          <w:b/>
        </w:rPr>
        <w:t xml:space="preserve">Técnico</w:t>
      </w:r>
      <w:r>
        <w:t xml:space="preserve">,</w:t>
      </w:r>
      <w:r>
        <w:t xml:space="preserve"> </w:t>
      </w:r>
      <w:r>
        <w:rPr>
          <w:bCs/>
          <w:b/>
        </w:rPr>
        <w:t xml:space="preserve">presencial</w:t>
      </w:r>
      <w:r>
        <w:t xml:space="preserve">, de</w:t>
      </w:r>
      <w:r>
        <w:t xml:space="preserve"> </w:t>
      </w:r>
      <w:r>
        <w:rPr>
          <w:bCs/>
          <w:b/>
        </w:rPr>
        <w:t xml:space="preserve">2,640 horas</w:t>
      </w:r>
      <w:r>
        <w:t xml:space="preserve"> </w:t>
      </w:r>
      <w:r>
        <w:t xml:space="preserve">y edad mínima</w:t>
      </w:r>
      <w:r>
        <w:t xml:space="preserve"> </w:t>
      </w:r>
      <w:r>
        <w:rPr>
          <w:bCs/>
          <w:b/>
        </w:rPr>
        <w:t xml:space="preserve">16+</w:t>
      </w:r>
      <w:r>
        <w:t xml:space="preserve">. Las competencias publicadas incluyen admitir y orientar personas según normativa de salud, procesar afiliaciones, recaudo de caja conforme a procedimientos, registrar información y usar herramientas informáticas.</w:t>
      </w:r>
    </w:p>
    <w:p>
      <w:pPr>
        <w:pStyle w:val="BodyText"/>
      </w:pPr>
      <w:r>
        <w:t xml:space="preserve">Una vista de oferta abierta puede mostrar que no hay cohortes locales aunque el programa permanezca en el catálogo. SENA indica que la selección depende de cupos y del proceso de ingreso. Verifique ciudad, centro, ventana de inscripción, requisitos y disponibilidad.</w:t>
      </w:r>
    </w:p>
    <w:p>
      <w:pPr>
        <w:pStyle w:val="BodyText"/>
      </w:pPr>
      <w:r>
        <w:t xml:space="preserve">Fuentes:</w:t>
      </w:r>
      <w:r>
        <w:br/>
      </w:r>
      <w:r>
        <w:t xml:space="preserve">https://betowa.sena.edu.co/oferta/apoyo-administrativo-en-salud?location=57011001&amp;modality=P&amp;offertype=open&amp;programId=212936</w:t>
      </w:r>
      <w:r>
        <w:br/>
      </w:r>
      <w:r>
        <w:t xml:space="preserve">https://betowa.sena.edu.co/oferta/apoyo-administrativo-en-salud?level=2&amp;location=57025307&amp;modality=P&amp;offertype=company&amp;programId=212936</w:t>
      </w:r>
    </w:p>
    <w:bookmarkEnd w:id="34"/>
    <w:bookmarkStart w:id="35" w:name="otras-rutas-en-américa-latina"/>
    <w:p>
      <w:pPr>
        <w:pStyle w:val="Heading2"/>
      </w:pPr>
      <w:r>
        <w:t xml:space="preserve">10. Otras rutas en América Latina</w:t>
      </w:r>
    </w:p>
    <w:p>
      <w:pPr>
        <w:pStyle w:val="FirstParagraph"/>
      </w:pPr>
      <w:r>
        <w:t xml:space="preserve">Busque</w:t>
      </w:r>
      <w:r>
        <w:t xml:space="preserve"> </w:t>
      </w:r>
      <w:r>
        <w:rPr>
          <w:rStyle w:val="VerbatimChar"/>
        </w:rPr>
        <w:t xml:space="preserve">admisiones en salud</w:t>
      </w:r>
      <w:r>
        <w:t xml:space="preserve">,</w:t>
      </w:r>
      <w:r>
        <w:t xml:space="preserve"> </w:t>
      </w:r>
      <w:r>
        <w:rPr>
          <w:rStyle w:val="VerbatimChar"/>
        </w:rPr>
        <w:t xml:space="preserve">recepción médica</w:t>
      </w:r>
      <w:r>
        <w:t xml:space="preserve">,</w:t>
      </w:r>
      <w:r>
        <w:t xml:space="preserve"> </w:t>
      </w:r>
      <w:r>
        <w:rPr>
          <w:rStyle w:val="VerbatimChar"/>
        </w:rPr>
        <w:t xml:space="preserve">secretariado médico</w:t>
      </w:r>
      <w:r>
        <w:t xml:space="preserve">,</w:t>
      </w:r>
      <w:r>
        <w:t xml:space="preserve"> </w:t>
      </w:r>
      <w:r>
        <w:rPr>
          <w:rStyle w:val="VerbatimChar"/>
        </w:rPr>
        <w:t xml:space="preserve">asistencia administrativa en salud</w:t>
      </w:r>
      <w:r>
        <w:t xml:space="preserve">,</w:t>
      </w:r>
      <w:r>
        <w:t xml:space="preserve"> </w:t>
      </w:r>
      <w:r>
        <w:rPr>
          <w:rStyle w:val="VerbatimChar"/>
        </w:rPr>
        <w:t xml:space="preserve">servicio al paciente</w:t>
      </w:r>
      <w:r>
        <w:t xml:space="preserve">,</w:t>
      </w:r>
      <w:r>
        <w:t xml:space="preserve"> </w:t>
      </w:r>
      <w:r>
        <w:rPr>
          <w:rStyle w:val="VerbatimChar"/>
        </w:rPr>
        <w:t xml:space="preserve">atención al usuario en salud</w:t>
      </w:r>
      <w:r>
        <w:t xml:space="preserve">,</w:t>
      </w:r>
      <w:r>
        <w:t xml:space="preserve"> </w:t>
      </w:r>
      <w:r>
        <w:rPr>
          <w:rStyle w:val="VerbatimChar"/>
        </w:rPr>
        <w:t xml:space="preserve">coordinación de consultorio</w:t>
      </w:r>
      <w:r>
        <w:t xml:space="preserve"> </w:t>
      </w:r>
      <w:r>
        <w:t xml:space="preserve">y</w:t>
      </w:r>
      <w:r>
        <w:t xml:space="preserve"> </w:t>
      </w:r>
      <w:r>
        <w:rPr>
          <w:rStyle w:val="VerbatimChar"/>
        </w:rPr>
        <w:t xml:space="preserve">acceso de pacientes</w:t>
      </w:r>
      <w:r>
        <w:t xml:space="preserve">. Los requisitos cambian por país y sistema de salud. Priorice instituciones públicas, instituciones reconocidas, servicios nacionales de empleo, academias de empleadores y aprendizaje basado en el trabajo verificado. No asuma que HIPAA, un código estadounidense, un NOC canadiense o un programa de SENA rigen automáticamente en otro país.</w:t>
      </w:r>
    </w:p>
    <w:bookmarkEnd w:id="35"/>
    <w:bookmarkStart w:id="36" w:name="X44ce5e29e5f429354d258ff4ede3bd812b105e6"/>
    <w:p>
      <w:pPr>
        <w:pStyle w:val="Heading2"/>
      </w:pPr>
      <w:r>
        <w:t xml:space="preserve">11. Educación, habilidades y aprendizaje gratuito primero</w:t>
      </w:r>
    </w:p>
    <w:p>
      <w:pPr>
        <w:pStyle w:val="FirstParagraph"/>
      </w:pPr>
      <w:r>
        <w:t xml:space="preserve">No existe una credencial privada universal. Son útiles terminología médica administrativa, programación de citas, registro e identidad, privacidad, comunicación, vocabulario básico de seguros y referencias, pagos, entrada de datos, navegación EHR/EMR en entornos autorizados, accesibilidad, desescalamiento, ciberseguridad e IA responsable.</w:t>
      </w:r>
    </w:p>
    <w:p>
      <w:pPr>
        <w:pStyle w:val="BodyText"/>
      </w:pPr>
      <w:r>
        <w:t xml:space="preserve">Practique con datos ficticios: agendas, formularios, guiones, rastreadores y cursos de privacidad. Nunca utilice información real de pacientes en un portafolio.</w:t>
      </w:r>
    </w:p>
    <w:bookmarkEnd w:id="36"/>
    <w:bookmarkStart w:id="37" w:name="Xd0b9b989b87dbe8f3cdb9df9298861ffddab5db"/>
    <w:p>
      <w:pPr>
        <w:pStyle w:val="Heading2"/>
      </w:pPr>
      <w:r>
        <w:t xml:space="preserve">12. Financiamiento, apoyo del empleador y aprendizaje basado en el trabajo</w:t>
      </w:r>
    </w:p>
    <w:p>
      <w:pPr>
        <w:pStyle w:val="FirstParagraph"/>
      </w:pPr>
      <w:r>
        <w:t xml:space="preserve">Federal Student Aid puede apoyar a estudiantes y programas elegibles; FAFSA no hace elegible todo curso corto. https://studentaid.gov/articles/fafsa-student-steps/</w:t>
      </w:r>
    </w:p>
    <w:p>
      <w:pPr>
        <w:pStyle w:val="BodyText"/>
      </w:pPr>
      <w:r>
        <w:t xml:space="preserve">Los sistemas de fuerza laboral pueden apoyar capacitación elegible bajo WIOA y fondos locales. https://www.dol.gov/general/topic/training/adulttraining</w:t>
      </w:r>
    </w:p>
    <w:p>
      <w:pPr>
        <w:pStyle w:val="BodyText"/>
      </w:pPr>
      <w:r>
        <w:t xml:space="preserve">Bajo un programa de asistencia educativa del empleador que cumpla Section 127, para</w:t>
      </w:r>
      <w:r>
        <w:t xml:space="preserve"> </w:t>
      </w:r>
      <w:r>
        <w:rPr>
          <w:bCs/>
          <w:b/>
        </w:rPr>
        <w:t xml:space="preserve">2025 y 2026</w:t>
      </w:r>
      <w:r>
        <w:t xml:space="preserve"> </w:t>
      </w:r>
      <w:r>
        <w:t xml:space="preserve">hasta</w:t>
      </w:r>
      <w:r>
        <w:t xml:space="preserve"> </w:t>
      </w:r>
      <w:r>
        <w:rPr>
          <w:bCs/>
          <w:b/>
        </w:rPr>
        <w:t xml:space="preserve">US$5,250</w:t>
      </w:r>
      <w:r>
        <w:t xml:space="preserve"> </w:t>
      </w:r>
      <w:r>
        <w:t xml:space="preserve">de asistencia educativa que califique puede excluirse del ingreso bruto. No es un beneficio garantizado. https://www.irs.gov/newsroom/irs-updates-frequently-asked-questions-about-section-127-educational-assistance-programs</w:t>
      </w:r>
    </w:p>
    <w:p>
      <w:pPr>
        <w:pStyle w:val="BodyText"/>
      </w:pPr>
      <w:r>
        <w:t xml:space="preserve">Registered Apprenticeship combina empleo remunerado, mentoría, aumentos progresivos, instrucción y credencial reconocida. La disponibilidad administrativa en salud es local y depende del empleador. https://www.apprenticeship.gov/career-seekers</w:t>
      </w:r>
    </w:p>
    <w:bookmarkEnd w:id="37"/>
    <w:bookmarkStart w:id="38" w:name="X6a6ea9c7d4a440babaa2095c809feec17fbb8c1"/>
    <w:p>
      <w:pPr>
        <w:pStyle w:val="Heading2"/>
      </w:pPr>
      <w:r>
        <w:t xml:space="preserve">13. Comunicación con pacientes, accesibilidad y acceso lingüístico</w:t>
      </w:r>
    </w:p>
    <w:p>
      <w:pPr>
        <w:pStyle w:val="FirstParagraph"/>
      </w:pPr>
      <w:r>
        <w:t xml:space="preserve">Use lenguaje claro para instrucciones administrativas; repita fechas y direcciones exactamente como fueron aprobadas; utilice servicios de interpretación cualificados cuando se requieran; proteja la privacidad en recepción; ofrezca formas, portales y canales accesibles cuando estén disponibles; documente solicitudes; y escale asuntos de adaptación, intérprete, seguridad, clínica o legal fuera de su autoridad.</w:t>
      </w:r>
    </w:p>
    <w:p>
      <w:pPr>
        <w:pStyle w:val="BodyText"/>
      </w:pPr>
      <w:r>
        <w:t xml:space="preserve">La habilidad de comunicación no autoriza a interpretar síntomas, diagnósticos, planes de tratamiento, resultados o necesidad médica.</w:t>
      </w:r>
    </w:p>
    <w:bookmarkEnd w:id="38"/>
    <w:bookmarkStart w:id="39" w:name="Xad44f87922ba28fb7f230da0000b8c6bcaa0c4e"/>
    <w:p>
      <w:pPr>
        <w:pStyle w:val="Heading2"/>
      </w:pPr>
      <w:r>
        <w:t xml:space="preserve">14. Privacidad, ciberseguridad, HIPAA e IA responsable</w:t>
      </w:r>
    </w:p>
    <w:p>
      <w:pPr>
        <w:pStyle w:val="FirstParagraph"/>
      </w:pPr>
      <w:r>
        <w:t xml:space="preserve">Para organizaciones estadounidenses sujetas a HIPAA, HHS indica que la Security Rule exige salvaguardas</w:t>
      </w:r>
      <w:r>
        <w:t xml:space="preserve"> </w:t>
      </w:r>
      <w:r>
        <w:rPr>
          <w:bCs/>
          <w:b/>
        </w:rPr>
        <w:t xml:space="preserve">administrativas, físicas y técnicas</w:t>
      </w:r>
      <w:r>
        <w:t xml:space="preserve"> </w:t>
      </w:r>
      <w:r>
        <w:t xml:space="preserve">para proteger confidencialidad, integridad y disponibilidad de información electrónica de salud protegida.</w:t>
      </w:r>
    </w:p>
    <w:p>
      <w:pPr>
        <w:pStyle w:val="BodyText"/>
      </w:pPr>
      <w:r>
        <w:t xml:space="preserve">https://www.hhs.gov/hipaa/for-professionals/security/index.html</w:t>
      </w:r>
    </w:p>
    <w:p>
      <w:pPr>
        <w:pStyle w:val="BodyText"/>
      </w:pPr>
      <w:r>
        <w:t xml:space="preserve">HHS explica que el estándar de mínimo necesario de la Privacy Rule generalmente exige esfuerzos razonables para limitar usos, divulgaciones y solicitudes de PHI a lo necesario para el propósito previsto. Existen excepciones importantes, incluidas ciertas divulgaciones/solicitudes para tratamiento y usos o divulgaciones autorizados por el individuo. Siga las políticas aprobadas de la organización.</w:t>
      </w:r>
    </w:p>
    <w:p>
      <w:pPr>
        <w:pStyle w:val="BodyText"/>
      </w:pPr>
      <w:r>
        <w:t xml:space="preserve">https://www.hhs.gov/hipaa/for-professionals/privacy/guidance/minimum-necessary-requirement/index.html</w:t>
      </w:r>
    </w:p>
    <w:p>
      <w:pPr>
        <w:pStyle w:val="BodyText"/>
      </w:pPr>
      <w:r>
        <w:t xml:space="preserve">La IA puede apoyar tareas ficticias o no relacionadas con pacientes. No cargue nombres, números de expediente, diagnósticos, citas, seguros, mensajes, notas clínicas o pagos de pacientes en una herramienta de IA no aprobada.</w:t>
      </w:r>
    </w:p>
    <w:bookmarkEnd w:id="39"/>
    <w:bookmarkStart w:id="40" w:name="X777ca6ece0115b5234839264e09c511b1093c00"/>
    <w:p>
      <w:pPr>
        <w:pStyle w:val="Heading2"/>
      </w:pPr>
      <w:r>
        <w:t xml:space="preserve">15. Construir evidencia de capacidad de forma segura</w:t>
      </w:r>
    </w:p>
    <w:p>
      <w:pPr>
        <w:pStyle w:val="FirstParagraph"/>
      </w:pPr>
      <w:r>
        <w:t xml:space="preserve">Use información ficticia para crear una agenda con reglas de conflictos, lista de check-in, flujo de verificación de identidad, rastreador de referencias, guion de recepción que proteja privacidad, guía de portal, flujo de adaptación, lista de conciliación de recibos o mapa desde solicitud de cita hasta salida. Explique problema, flujo, controles y puntos de escalamiento. Nunca publique datos reales de pacientes.</w:t>
      </w:r>
    </w:p>
    <w:bookmarkEnd w:id="40"/>
    <w:bookmarkStart w:id="41" w:name="preparación-para-entrevistas"/>
    <w:p>
      <w:pPr>
        <w:pStyle w:val="Heading2"/>
      </w:pPr>
      <w:r>
        <w:t xml:space="preserve">16. Preparación para entrevistas</w:t>
      </w:r>
    </w:p>
    <w:p>
      <w:pPr>
        <w:pStyle w:val="FirstParagraph"/>
      </w:pPr>
      <w:r>
        <w:t xml:space="preserve">Practique cómo responder si alguien pide información de otra persona adulta, si un paciente describe síntomas urgentes al programar, si existen dos pacientes con nombres similares, si no se puede verificar el seguro, si se disputa un pago, si se solicita adaptación o intérprete, si un compañero quiere consultar a una celebridad por curiosidad o si se propone usar IA con información del paciente. Las respuestas sólidas muestran verificación de identidad, privacidad, documentación, empatía, alcance y escalamiento.</w:t>
      </w:r>
    </w:p>
    <w:bookmarkEnd w:id="41"/>
    <w:bookmarkStart w:id="48" w:name="plan-inicial-práctico-de-12-semanas"/>
    <w:p>
      <w:pPr>
        <w:pStyle w:val="Heading2"/>
      </w:pPr>
      <w:r>
        <w:t xml:space="preserve">17. Plan inicial práctico de 12 semanas</w:t>
      </w:r>
    </w:p>
    <w:bookmarkStart w:id="42" w:name="semanas-12"/>
    <w:p>
      <w:pPr>
        <w:pStyle w:val="Heading3"/>
      </w:pPr>
      <w:r>
        <w:t xml:space="preserve">Semanas 1–2</w:t>
      </w:r>
    </w:p>
    <w:p>
      <w:pPr>
        <w:pStyle w:val="FirstParagraph"/>
      </w:pPr>
      <w:r>
        <w:t xml:space="preserve">Revise 20–30 vacantes y registre títulos, funciones, sistemas, terminología, educación, horario, idiomas y privacidad.</w:t>
      </w:r>
    </w:p>
    <w:bookmarkEnd w:id="42"/>
    <w:bookmarkStart w:id="43" w:name="semanas-34"/>
    <w:p>
      <w:pPr>
        <w:pStyle w:val="Heading3"/>
      </w:pPr>
      <w:r>
        <w:t xml:space="preserve">Semanas 3–4</w:t>
      </w:r>
    </w:p>
    <w:p>
      <w:pPr>
        <w:pStyle w:val="FirstParagraph"/>
      </w:pPr>
      <w:r>
        <w:t xml:space="preserve">Fortalezca redacción, teléfono, entrada de datos, hojas de cálculo, citas y terminología médica.</w:t>
      </w:r>
    </w:p>
    <w:bookmarkEnd w:id="43"/>
    <w:bookmarkStart w:id="44" w:name="semanas-56"/>
    <w:p>
      <w:pPr>
        <w:pStyle w:val="Heading3"/>
      </w:pPr>
      <w:r>
        <w:t xml:space="preserve">Semanas 5–6</w:t>
      </w:r>
    </w:p>
    <w:p>
      <w:pPr>
        <w:pStyle w:val="FirstParagraph"/>
      </w:pPr>
      <w:r>
        <w:t xml:space="preserve">Complete una actividad gratuita o de bajo costo y construya ejercicios ficticios de registro y programación.</w:t>
      </w:r>
    </w:p>
    <w:bookmarkEnd w:id="44"/>
    <w:bookmarkStart w:id="45" w:name="semanas-78"/>
    <w:p>
      <w:pPr>
        <w:pStyle w:val="Heading3"/>
      </w:pPr>
      <w:r>
        <w:t xml:space="preserve">Semanas 7–8</w:t>
      </w:r>
    </w:p>
    <w:p>
      <w:pPr>
        <w:pStyle w:val="FirstParagraph"/>
      </w:pPr>
      <w:r>
        <w:t xml:space="preserve">Practique comunicación, identidad, referencias y escalamiento no clínico; cree un flujo de portafolio seguro.</w:t>
      </w:r>
    </w:p>
    <w:bookmarkEnd w:id="45"/>
    <w:bookmarkStart w:id="46" w:name="semanas-910"/>
    <w:p>
      <w:pPr>
        <w:pStyle w:val="Heading3"/>
      </w:pPr>
      <w:r>
        <w:t xml:space="preserve">Semanas 9–10</w:t>
      </w:r>
    </w:p>
    <w:p>
      <w:pPr>
        <w:pStyle w:val="FirstParagraph"/>
      </w:pPr>
      <w:r>
        <w:t xml:space="preserve">Revise ciberseguridad, privacidad, accesibilidad, emergencias e IA responsable; verifique financiamiento antes de pagar.</w:t>
      </w:r>
    </w:p>
    <w:bookmarkEnd w:id="46"/>
    <w:bookmarkStart w:id="47" w:name="semanas-1112"/>
    <w:p>
      <w:pPr>
        <w:pStyle w:val="Heading3"/>
      </w:pPr>
      <w:r>
        <w:t xml:space="preserve">Semanas 11–12</w:t>
      </w:r>
    </w:p>
    <w:p>
      <w:pPr>
        <w:pStyle w:val="FirstParagraph"/>
      </w:pPr>
      <w:r>
        <w:t xml:space="preserve">Adapte su currículum de forma verdadera, practique entrevistas y postúlese selectivamente.</w:t>
      </w:r>
    </w:p>
    <w:bookmarkEnd w:id="47"/>
    <w:bookmarkEnd w:id="48"/>
    <w:bookmarkStart w:id="49" w:name="progresión-profesional"/>
    <w:p>
      <w:pPr>
        <w:pStyle w:val="Heading2"/>
      </w:pPr>
      <w:r>
        <w:t xml:space="preserve">18. Progresión profesional</w:t>
      </w:r>
    </w:p>
    <w:p>
      <w:pPr>
        <w:pStyle w:val="FirstParagraph"/>
      </w:pPr>
      <w:r>
        <w:t xml:space="preserve">Posibles rutas: Senior Patient Services Representative, Senior Patient Access Representative, Medical Office Coordinator, Clinic Coordinator, Referral Coordinator, Scheduling Coordinator, Patient Access Lead/Supervisor, Medical Administrative Assistant y Practice Operations Coordinator. Codificación, facturación, información de salud, enfermería, asistencia médica, coordinación de cuidados, gestión, compliance o funciones clínicas pueden exigir educación, certificación, licencia o experiencia distinta.</w:t>
      </w:r>
    </w:p>
    <w:bookmarkEnd w:id="49"/>
    <w:bookmarkStart w:id="51" w:name="Xc5773a9063b3ac2108ced7b44f85600a9ceceb9"/>
    <w:p>
      <w:pPr>
        <w:pStyle w:val="Heading2"/>
      </w:pPr>
      <w:r>
        <w:t xml:space="preserve">19. Cuándo detenerse, aplazar o elegir otra ruta — y fuentes actuales</w:t>
      </w:r>
    </w:p>
    <w:p>
      <w:pPr>
        <w:pStyle w:val="FirstParagraph"/>
      </w:pPr>
      <w:r>
        <w:t xml:space="preserve">Pause si el empleador exige juicio clínico, diagnóstico, medicamentos, triaje independiente, codificación o liberación de registros fuera de sus cualificaciones; si los procedimientos de privacidad o identidad no están claros; si un proveedor promete empleo o salario; si una credencial costosa no aparece en las vacantes objetivo; si las condiciones de reembolso no están claras; si las exigencias del entorno no son viables sin adaptación; o si se le presiona para alterar registros, evadir privacidad, tergiversar cobertura o ignorar escalamiento.</w:t>
      </w:r>
    </w:p>
    <w:bookmarkStart w:id="50" w:name="fuentes-actuales"/>
    <w:p>
      <w:pPr>
        <w:pStyle w:val="Heading3"/>
      </w:pPr>
      <w:r>
        <w:t xml:space="preserve">Fuentes actuales</w:t>
      </w:r>
    </w:p>
    <w:p>
      <w:pPr>
        <w:numPr>
          <w:ilvl w:val="0"/>
          <w:numId w:val="1006"/>
        </w:numPr>
        <w:pStyle w:val="Compact"/>
      </w:pPr>
      <w:r>
        <w:t xml:space="preserve">U.S. BLS May 2025 OEWS: https://www.bls.gov/news.release/ocwage.t01.htm</w:t>
      </w:r>
    </w:p>
    <w:p>
      <w:pPr>
        <w:numPr>
          <w:ilvl w:val="0"/>
          <w:numId w:val="1006"/>
        </w:numPr>
        <w:pStyle w:val="Compact"/>
      </w:pPr>
      <w:r>
        <w:t xml:space="preserve">BLS OOH: https://www.bls.gov/ooh/office-and-administrative-support/secretaries-and-administrative-assistants.htm</w:t>
      </w:r>
    </w:p>
    <w:p>
      <w:pPr>
        <w:numPr>
          <w:ilvl w:val="0"/>
          <w:numId w:val="1006"/>
        </w:numPr>
        <w:pStyle w:val="Compact"/>
      </w:pPr>
      <w:r>
        <w:t xml:space="preserve">ZipRecruiter: https://www.ziprecruiter.com/Salaries/Patient-Services-Representative-Salary</w:t>
      </w:r>
    </w:p>
    <w:p>
      <w:pPr>
        <w:numPr>
          <w:ilvl w:val="0"/>
          <w:numId w:val="1006"/>
        </w:numPr>
        <w:pStyle w:val="Compact"/>
      </w:pPr>
      <w:r>
        <w:t xml:space="preserve">Canada Job Bank: https://www.jobbank.gc.ca/wagereport/occupation/12598</w:t>
      </w:r>
    </w:p>
    <w:p>
      <w:pPr>
        <w:numPr>
          <w:ilvl w:val="0"/>
          <w:numId w:val="1006"/>
        </w:numPr>
        <w:pStyle w:val="Compact"/>
      </w:pPr>
      <w:r>
        <w:t xml:space="preserve">SENA: https://betowa.sena.edu.co/oferta/apoyo-administrativo-en-salud?location=57011001&amp;modality=P&amp;offertype=open&amp;programId=212936</w:t>
      </w:r>
    </w:p>
    <w:p>
      <w:pPr>
        <w:numPr>
          <w:ilvl w:val="0"/>
          <w:numId w:val="1006"/>
        </w:numPr>
        <w:pStyle w:val="Compact"/>
      </w:pPr>
      <w:r>
        <w:t xml:space="preserve">SENA company view: https://betowa.sena.edu.co/oferta/apoyo-administrativo-en-salud?level=2&amp;location=57025307&amp;modality=P&amp;offertype=company&amp;programId=212936</w:t>
      </w:r>
    </w:p>
    <w:p>
      <w:pPr>
        <w:numPr>
          <w:ilvl w:val="0"/>
          <w:numId w:val="1006"/>
        </w:numPr>
        <w:pStyle w:val="Compact"/>
      </w:pPr>
      <w:r>
        <w:t xml:space="preserve">HHS Security Rule: https://www.hhs.gov/hipaa/for-professionals/security/index.html</w:t>
      </w:r>
    </w:p>
    <w:p>
      <w:pPr>
        <w:numPr>
          <w:ilvl w:val="0"/>
          <w:numId w:val="1006"/>
        </w:numPr>
        <w:pStyle w:val="Compact"/>
      </w:pPr>
      <w:r>
        <w:t xml:space="preserve">HHS Minimum Necessary: https://www.hhs.gov/hipaa/for-professionals/privacy/guidance/minimum-necessary-requirement/index.html</w:t>
      </w:r>
    </w:p>
    <w:p>
      <w:pPr>
        <w:numPr>
          <w:ilvl w:val="0"/>
          <w:numId w:val="1006"/>
        </w:numPr>
        <w:pStyle w:val="Compact"/>
      </w:pPr>
      <w:r>
        <w:t xml:space="preserve">Federal Student Aid: https://studentaid.gov/articles/fafsa-student-steps/</w:t>
      </w:r>
    </w:p>
    <w:p>
      <w:pPr>
        <w:numPr>
          <w:ilvl w:val="0"/>
          <w:numId w:val="1006"/>
        </w:numPr>
        <w:pStyle w:val="Compact"/>
      </w:pPr>
      <w:r>
        <w:t xml:space="preserve">U.S. DOL: https://www.dol.gov/general/topic/training/adulttraining</w:t>
      </w:r>
    </w:p>
    <w:p>
      <w:pPr>
        <w:numPr>
          <w:ilvl w:val="0"/>
          <w:numId w:val="1006"/>
        </w:numPr>
        <w:pStyle w:val="Compact"/>
      </w:pPr>
      <w:r>
        <w:t xml:space="preserve">Apprenticeship.gov: https://www.apprenticeship.gov/career-seekers</w:t>
      </w:r>
    </w:p>
    <w:p>
      <w:pPr>
        <w:numPr>
          <w:ilvl w:val="0"/>
          <w:numId w:val="1006"/>
        </w:numPr>
        <w:pStyle w:val="Compact"/>
      </w:pPr>
      <w:r>
        <w:t xml:space="preserve">IRS Section 127: https://www.irs.gov/newsroom/irs-updates-frequently-asked-questions-about-section-127-educational-assistance-programs</w:t>
      </w:r>
    </w:p>
    <w:p>
      <w:pPr>
        <w:numPr>
          <w:ilvl w:val="0"/>
          <w:numId w:val="1006"/>
        </w:numPr>
        <w:pStyle w:val="Compact"/>
      </w:pPr>
      <w:r>
        <w:t xml:space="preserve">U.S. Department of Education: https://www.ed.gov/accreditation</w:t>
      </w:r>
    </w:p>
    <w:p>
      <w:pPr>
        <w:numPr>
          <w:ilvl w:val="0"/>
          <w:numId w:val="1006"/>
        </w:numPr>
        <w:pStyle w:val="Compact"/>
      </w:pPr>
      <w:r>
        <w:t xml:space="preserve">EEOC: https://www.eeoc.gov/disability-discrimination</w:t>
      </w:r>
    </w:p>
    <w:p>
      <w:pPr>
        <w:pStyle w:val="FirstParagraph"/>
      </w:pPr>
      <w:r>
        <w:rPr>
          <w:bCs/>
          <w:b/>
        </w:rPr>
        <w:t xml:space="preserve">Regla de publicación:</w:t>
      </w:r>
      <w:r>
        <w:t xml:space="preserve"> </w:t>
      </w:r>
      <w:r>
        <w:t xml:space="preserve">Vuelva a verificar hechos y enlaces sensibles al tiempo antes de publicar. Esta guía no garantiza empleo, remuneración, admisión, financiamiento, certificación, acreditación, licencia, cobertura de seguro, adaptación, resultados clínicos ni ningún otro resultado.</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2026-08-09T00:08:21Z</dcterms:created>
  <dcterms:modified xsi:type="dcterms:W3CDTF">2026-08-09T00:08:21Z</dcterms:modified>
</cp:coreProperties>
</file>

<file path=docProps/custom.xml><?xml version="1.0" encoding="utf-8"?>
<Properties xmlns="http://schemas.openxmlformats.org/officeDocument/2006/custom-properties" xmlns:vt="http://schemas.openxmlformats.org/officeDocument/2006/docPropsVTypes"/>
</file>