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1d1bde617a4674a4ab52812a2b22980bca5385e"/>
    <w:p>
      <w:pPr>
        <w:pStyle w:val="Heading1"/>
      </w:pPr>
      <w:r>
        <w:t xml:space="preserve">Guia de Oportunidades ao Longo da Vida 14 — Representante de Serviços ao Paciente e Coordenador de Consultório Médico</w:t>
      </w:r>
    </w:p>
    <w:p>
      <w:pPr>
        <w:pStyle w:val="FirstParagraph"/>
      </w:pPr>
      <w:r>
        <w:rPr>
          <w:bCs/>
          <w:b/>
        </w:rPr>
        <w:t xml:space="preserve">Candidato de publicação controlado em português brasileiro 2026</w:t>
      </w:r>
      <w:r>
        <w:br/>
      </w:r>
      <w:r>
        <w:t xml:space="preserve">Versão 2.0 • agosto de 2026</w:t>
      </w:r>
      <w:r>
        <w:br/>
      </w:r>
      <w:r>
        <w:t xml:space="preserve">Criado e dirigido por Alberto (Al) Leiva</w:t>
      </w:r>
      <w:r>
        <w:br/>
      </w:r>
      <w:r>
        <w:t xml:space="preserve">Pesquisa, organização, edição e preparação de documentos com assistência do ChatGPT, OpenAI</w:t>
      </w:r>
    </w:p>
    <w:p>
      <w:pPr>
        <w:pStyle w:val="BlockText"/>
      </w:pPr>
      <w:r>
        <w:rPr>
          <w:bCs/>
          <w:b/>
        </w:rPr>
        <w:t xml:space="preserve">Status controlado:</w:t>
      </w:r>
      <w:r>
        <w:t xml:space="preserve"> </w:t>
      </w:r>
      <w:r>
        <w:t xml:space="preserve">Este é o candidato de publicação controlado em português brasileiro para a revisão de 2026, localizado a partir da fonte inglesa v2 congelada. Passou pelas verificações documentadas de terminologia, paridade, documentos, renderização e publicação. A liberação continua sujeita à auditoria final controlada.</w:t>
      </w:r>
    </w:p>
    <w:bookmarkStart w:id="20" w:name="a-promessa-deste-guia"/>
    <w:p>
      <w:pPr>
        <w:pStyle w:val="Heading2"/>
      </w:pPr>
      <w:r>
        <w:t xml:space="preserve">A promessa deste guia</w:t>
      </w:r>
    </w:p>
    <w:p>
      <w:pPr>
        <w:pStyle w:val="FirstParagraph"/>
      </w:pPr>
      <w:r>
        <w:t xml:space="preserve">Este guia não promete que o trabalho de serviços ao paciente ou coordenação de consultório seja adequado para todas as pessoas, que uma credencial gere emprego, que o treinamento seja gratuito ou que qualquer salário se aplique em todos os locais. Seu objetivo é ajudar o leitor a compreender o trabalho administrativo não clínico em saúde, comparar rotas de aprendizagem acessíveis, construir evidências de capacidade, proteger informações do paciente, reconhecer limites clínicos e legais, usar IA com responsabilidade e verificar requisitos atuais antes de gastar dinheiro ou aceitar obrigações de emprego ou reembolso.</w:t>
      </w:r>
    </w:p>
    <w:bookmarkEnd w:id="20"/>
    <w:bookmarkStart w:id="21" w:name="por-que-este-guia-existe"/>
    <w:p>
      <w:pPr>
        <w:pStyle w:val="Heading2"/>
      </w:pPr>
      <w:r>
        <w:t xml:space="preserve">Por que este guia existe</w:t>
      </w:r>
    </w:p>
    <w:p>
      <w:pPr>
        <w:pStyle w:val="FirstParagraph"/>
      </w:pPr>
      <w:r>
        <w:rPr>
          <w:rStyle w:val="VerbatimChar"/>
        </w:rPr>
        <w:t xml:space="preserve">Patient Services Representative</w:t>
      </w:r>
      <w:r>
        <w:t xml:space="preserve">,</w:t>
      </w:r>
      <w:r>
        <w:t xml:space="preserve"> </w:t>
      </w:r>
      <w:r>
        <w:rPr>
          <w:rStyle w:val="VerbatimChar"/>
        </w:rPr>
        <w:t xml:space="preserve">Patient Access Representative</w:t>
      </w:r>
      <w:r>
        <w:t xml:space="preserve">,</w:t>
      </w:r>
      <w:r>
        <w:t xml:space="preserve"> </w:t>
      </w:r>
      <w:r>
        <w:rPr>
          <w:rStyle w:val="VerbatimChar"/>
        </w:rPr>
        <w:t xml:space="preserve">Medical Receptionist</w:t>
      </w:r>
      <w:r>
        <w:t xml:space="preserve"> </w:t>
      </w:r>
      <w:r>
        <w:t xml:space="preserve">e</w:t>
      </w:r>
      <w:r>
        <w:t xml:space="preserve"> </w:t>
      </w:r>
      <w:r>
        <w:rPr>
          <w:rStyle w:val="VerbatimChar"/>
        </w:rPr>
        <w:t xml:space="preserve">Medical Office Coordinator</w:t>
      </w:r>
      <w:r>
        <w:t xml:space="preserve"> </w:t>
      </w:r>
      <w:r>
        <w:t xml:space="preserve">são títulos práticos, não uma única ocupação padronizada. Um empregador pode focar em agendamento, check-in, cadastro, encaminhamentos, mensagens, seguros, pagamentos, prontuários e atendimento. Outro pode acrescentar autorizações, acesso de pacientes, coordenação de especialidade ou liderança de recepção. O plano mais seguro começa pelas atribuições e autoridade reais.</w:t>
      </w:r>
    </w:p>
    <w:bookmarkEnd w:id="21"/>
    <w:bookmarkStart w:id="22" w:name="reconhecimento-da-assistência-de-ia"/>
    <w:p>
      <w:pPr>
        <w:pStyle w:val="Heading2"/>
      </w:pPr>
      <w:r>
        <w:t xml:space="preserve">Reconhecimento da assistência de IA</w:t>
      </w:r>
    </w:p>
    <w:p>
      <w:pPr>
        <w:pStyle w:val="FirstParagraph"/>
      </w:pPr>
      <w:r>
        <w:t xml:space="preserve">Alberto (Al) Leiva concebeu e dirige este projeto e continua responsável pelo guia. O ChatGPT da OpenAI foi utilizado como ferramenta de apoio para pesquisa, organização, edição, apoio à tradução e preparação de documentos. A assistência de IA não constitui certificação humana independente, certificação profissional de tradução, acreditação, certificação de acessibilidade, revisão jurídica, julgamento clínico, certificação de conformidade de privacidade, orientação médica nem substitui fontes oficiais atuais e julgamento humano qualificado.</w:t>
      </w:r>
    </w:p>
    <w:bookmarkEnd w:id="22"/>
    <w:bookmarkStart w:id="23" w:name="limites-éticos-e-práticos"/>
    <w:p>
      <w:pPr>
        <w:pStyle w:val="Heading2"/>
      </w:pPr>
      <w:r>
        <w:t xml:space="preserve">Limites éticos e práticos</w:t>
      </w:r>
    </w:p>
    <w:p>
      <w:pPr>
        <w:pStyle w:val="FirstParagraph"/>
      </w:pPr>
      <w:r>
        <w:t xml:space="preserve">Este guia fornece educação geral e orientação de carreira. Não oferece aconselhamento individualizado médico, de enfermagem, jurídico, privacidade, seguros, codificação, faturamento, financeiro, cibersegurança, licenciamento ou clínico. Serviços ao paciente e coordenação de consultório são geralmente funções administrativas, salvo quando o cargo exige e autoriza separadamente atribuições clínicas qualificadas. Não diagnostique, recomende tratamento ou medicamentos, interprete resultados de exames, faça triagem clínica independente fora de protocolos aprovados nem altere registros clínicos fora de procedimentos autorizados.</w:t>
      </w:r>
    </w:p>
    <w:p>
      <w:r>
        <w:pict>
          <v:rect style="width:0;height:1.5pt" o:hralign="center" o:hrstd="t" o:hr="t"/>
        </w:pict>
      </w:r>
    </w:p>
    <w:bookmarkEnd w:id="23"/>
    <w:bookmarkStart w:id="24" w:name="como-usar-este-guia"/>
    <w:p>
      <w:pPr>
        <w:pStyle w:val="Heading2"/>
      </w:pPr>
      <w:r>
        <w:t xml:space="preserve">1. Como usar este guia</w:t>
      </w:r>
    </w:p>
    <w:p>
      <w:pPr>
        <w:pStyle w:val="FirstParagraph"/>
      </w:pPr>
      <w:r>
        <w:t xml:space="preserve">Comece com vagas atuais no mercado-alvo. Pesquise</w:t>
      </w:r>
      <w:r>
        <w:t xml:space="preserve"> </w:t>
      </w:r>
      <w:r>
        <w:rPr>
          <w:rStyle w:val="VerbatimChar"/>
        </w:rPr>
        <w:t xml:space="preserve">Patient Services Representative</w:t>
      </w:r>
      <w:r>
        <w:t xml:space="preserve">,</w:t>
      </w:r>
      <w:r>
        <w:t xml:space="preserve"> </w:t>
      </w:r>
      <w:r>
        <w:rPr>
          <w:rStyle w:val="VerbatimChar"/>
        </w:rPr>
        <w:t xml:space="preserve">Patient Service Representative</w:t>
      </w:r>
      <w:r>
        <w:t xml:space="preserve">,</w:t>
      </w:r>
      <w:r>
        <w:t xml:space="preserve"> </w:t>
      </w:r>
      <w:r>
        <w:rPr>
          <w:rStyle w:val="VerbatimChar"/>
        </w:rPr>
        <w:t xml:space="preserve">Patient Access Representative</w:t>
      </w:r>
      <w:r>
        <w:t xml:space="preserve">,</w:t>
      </w:r>
      <w:r>
        <w:t xml:space="preserve"> </w:t>
      </w:r>
      <w:r>
        <w:rPr>
          <w:rStyle w:val="VerbatimChar"/>
        </w:rPr>
        <w:t xml:space="preserve">Medical Receptionist</w:t>
      </w:r>
      <w:r>
        <w:t xml:space="preserve">,</w:t>
      </w:r>
      <w:r>
        <w:t xml:space="preserve"> </w:t>
      </w:r>
      <w:r>
        <w:rPr>
          <w:rStyle w:val="VerbatimChar"/>
        </w:rPr>
        <w:t xml:space="preserve">Medical Office Coordinator</w:t>
      </w:r>
      <w:r>
        <w:t xml:space="preserve">,</w:t>
      </w:r>
      <w:r>
        <w:t xml:space="preserve"> </w:t>
      </w:r>
      <w:r>
        <w:rPr>
          <w:rStyle w:val="VerbatimChar"/>
        </w:rPr>
        <w:t xml:space="preserve">Medical Administrative Assistant</w:t>
      </w:r>
      <w:r>
        <w:t xml:space="preserve">,</w:t>
      </w:r>
      <w:r>
        <w:t xml:space="preserve"> </w:t>
      </w:r>
      <w:r>
        <w:rPr>
          <w:rStyle w:val="VerbatimChar"/>
        </w:rPr>
        <w:t xml:space="preserve">Clinic Coordinator</w:t>
      </w:r>
      <w:r>
        <w:t xml:space="preserve">,</w:t>
      </w:r>
      <w:r>
        <w:t xml:space="preserve"> </w:t>
      </w:r>
      <w:r>
        <w:rPr>
          <w:rStyle w:val="VerbatimChar"/>
        </w:rPr>
        <w:t xml:space="preserve">Front Desk Coordinator</w:t>
      </w:r>
      <w:r>
        <w:t xml:space="preserve"> </w:t>
      </w:r>
      <w:r>
        <w:t xml:space="preserve">e equivalentes locais. Compare atribuições e registre educação, experiência, terminologia médica, sistemas EHR/EMR, seguros, idiomas, horários e exigências físicas. Separe administração não clínica de triagem, diagnóstico, codificação, adjudicação de faturamento, enfermagem, assistência médica e decisões de liberação de informações. Priorize aprendizagem gratuita, pública, apoiada pelo empregador ou baseada no trabalho antes de pagar por credenciais privadas.</w:t>
      </w:r>
    </w:p>
    <w:bookmarkEnd w:id="24"/>
    <w:bookmarkStart w:id="25" w:name="X2a0da2e18670b3cf978937bddd0aa1fd9fe7c7b"/>
    <w:p>
      <w:pPr>
        <w:pStyle w:val="Heading2"/>
      </w:pPr>
      <w:r>
        <w:t xml:space="preserve">2. O que é o trabalho e mapeamento ocupacional</w:t>
      </w:r>
    </w:p>
    <w:p>
      <w:pPr>
        <w:pStyle w:val="FirstParagraph"/>
      </w:pPr>
      <w:r>
        <w:t xml:space="preserve">Profissionais de serviços ao paciente e consultório ajudam pessoas a navegar aspectos administrativos da assistência à saúde. Podem receber e registrar pacientes, confirmar identidade e contato, agendar consultas, explicar instruções administrativas, encaminhar mensagens à equipe correta, atualizar dados demográficos e de seguros, apoiar encaminhamentos e autorizações, receber pagamentos autorizados, digitalizar documentos, auxiliar em portais e escalar questões urgentes conforme protocolos.</w:t>
      </w:r>
    </w:p>
    <w:p>
      <w:pPr>
        <w:pStyle w:val="BodyText"/>
      </w:pPr>
      <w:r>
        <w:t xml:space="preserve">Para comparar o mercado de trabalho dos EUA,</w:t>
      </w:r>
      <w:r>
        <w:t xml:space="preserve"> </w:t>
      </w:r>
      <w:r>
        <w:rPr>
          <w:bCs/>
          <w:b/>
        </w:rPr>
        <w:t xml:space="preserve">Medical Secretaries and Administrative Assistants, SOC 43-6013</w:t>
      </w:r>
      <w:r>
        <w:t xml:space="preserve">, é uma referência administrativa ampla. Não é um mapeamento exato para todos os títulos de Patient Services Representative ou Medical Office Coordinator.</w:t>
      </w:r>
    </w:p>
    <w:bookmarkEnd w:id="25"/>
    <w:bookmarkStart w:id="26" w:name="X26460912bedaeb204ba9c89d97b712392b82fa6"/>
    <w:p>
      <w:pPr>
        <w:pStyle w:val="Heading2"/>
      </w:pPr>
      <w:r>
        <w:t xml:space="preserve">3. Um fluxo realista de serviços ao paciente</w:t>
      </w:r>
    </w:p>
    <w:p>
      <w:pPr>
        <w:numPr>
          <w:ilvl w:val="0"/>
          <w:numId w:val="1001"/>
        </w:numPr>
        <w:pStyle w:val="Compact"/>
      </w:pPr>
      <w:r>
        <w:t xml:space="preserve">Confirme a identidade do paciente pelo método aprovado.</w:t>
      </w:r>
    </w:p>
    <w:p>
      <w:pPr>
        <w:numPr>
          <w:ilvl w:val="0"/>
          <w:numId w:val="1001"/>
        </w:numPr>
        <w:pStyle w:val="Compact"/>
      </w:pPr>
      <w:r>
        <w:t xml:space="preserve">Verifique o propósito da interação e a tarefa administrativa solicitada.</w:t>
      </w:r>
    </w:p>
    <w:p>
      <w:pPr>
        <w:numPr>
          <w:ilvl w:val="0"/>
          <w:numId w:val="1001"/>
        </w:numPr>
        <w:pStyle w:val="Compact"/>
      </w:pPr>
      <w:r>
        <w:t xml:space="preserve">Acesse apenas sistemas e informações necessários para sua função.</w:t>
      </w:r>
    </w:p>
    <w:p>
      <w:pPr>
        <w:numPr>
          <w:ilvl w:val="0"/>
          <w:numId w:val="1001"/>
        </w:numPr>
        <w:pStyle w:val="Compact"/>
      </w:pPr>
      <w:r>
        <w:t xml:space="preserve">Confirme dados, consulta, encaminhamento, seguro ou formulários conforme autorização.</w:t>
      </w:r>
    </w:p>
    <w:p>
      <w:pPr>
        <w:numPr>
          <w:ilvl w:val="0"/>
          <w:numId w:val="1001"/>
        </w:numPr>
        <w:pStyle w:val="Compact"/>
      </w:pPr>
      <w:r>
        <w:t xml:space="preserve">Não adivinhe quando houver informação ausente ou inconsistente.</w:t>
      </w:r>
    </w:p>
    <w:p>
      <w:pPr>
        <w:numPr>
          <w:ilvl w:val="0"/>
          <w:numId w:val="1001"/>
        </w:numPr>
        <w:pStyle w:val="Compact"/>
      </w:pPr>
      <w:r>
        <w:t xml:space="preserve">Encaminhe perguntas clínicas a profissionais clínicos qualificados.</w:t>
      </w:r>
    </w:p>
    <w:p>
      <w:pPr>
        <w:numPr>
          <w:ilvl w:val="0"/>
          <w:numId w:val="1001"/>
        </w:numPr>
        <w:pStyle w:val="Compact"/>
      </w:pPr>
      <w:r>
        <w:t xml:space="preserve">Siga protocolos de emergência quando o paciente relatar sintomas urgentes ou perigo imediato.</w:t>
      </w:r>
    </w:p>
    <w:p>
      <w:pPr>
        <w:numPr>
          <w:ilvl w:val="0"/>
          <w:numId w:val="1001"/>
        </w:numPr>
        <w:pStyle w:val="Compact"/>
      </w:pPr>
      <w:r>
        <w:t xml:space="preserve">Documente corretamente a ação administrativa.</w:t>
      </w:r>
    </w:p>
    <w:p>
      <w:pPr>
        <w:numPr>
          <w:ilvl w:val="0"/>
          <w:numId w:val="1001"/>
        </w:numPr>
        <w:pStyle w:val="Compact"/>
      </w:pPr>
      <w:r>
        <w:t xml:space="preserve">Proteja telas, documentos, conversas e mensagens.</w:t>
      </w:r>
    </w:p>
    <w:p>
      <w:pPr>
        <w:numPr>
          <w:ilvl w:val="0"/>
          <w:numId w:val="1001"/>
        </w:numPr>
        <w:pStyle w:val="Compact"/>
      </w:pPr>
      <w:r>
        <w:t xml:space="preserve">Confirme próximos passos sem prometer cobertura, resultados clínicos ou valores não verificados.</w:t>
      </w:r>
    </w:p>
    <w:p>
      <w:pPr>
        <w:pStyle w:val="FirstParagraph"/>
      </w:pPr>
      <w:r>
        <w:t xml:space="preserve">Ferramentas comuns incluem EHR/EMR, sistemas de agendamento, portais de pacientes, telefonia, mensageria segura, scanners, pagamentos, planilhas e portais de encaminhamentos ou autorizações.</w:t>
      </w:r>
    </w:p>
    <w:bookmarkEnd w:id="26"/>
    <w:bookmarkStart w:id="27" w:name="Xeb37ef120dba0f646de3dfc71653491ec04f1f8"/>
    <w:p>
      <w:pPr>
        <w:pStyle w:val="Heading2"/>
      </w:pPr>
      <w:r>
        <w:t xml:space="preserve">4. Compatibilidade, condições de trabalho e acessibilidade</w:t>
      </w:r>
    </w:p>
    <w:p>
      <w:pPr>
        <w:pStyle w:val="FirstParagraph"/>
      </w:pPr>
      <w:r>
        <w:t xml:space="preserve">Pergunte se consegue manter cortesia com pessoas ansiosas ou doentes, proteger privacidade em ambientes movimentados, inserir dados com precisão, seguir roteiros e escalonamentos sem improvisar orientação clínica, administrar várias tarefas e aprender terminologia médica sem interpretar informações clínicas. O trabalho pode envolver permanecer sentado ou em pé, telefone ou headset, digitação repetitiva, interrupções, telas, turnos e contato com pacientes angustiados.</w:t>
      </w:r>
    </w:p>
    <w:p>
      <w:pPr>
        <w:pStyle w:val="BodyText"/>
      </w:pPr>
      <w:r>
        <w:t xml:space="preserve">Adaptações podem incluir equipamentos ergonômicos, leitores ou ampliadores de tela, legendas, software acessível, horários modificados, formatos alternativos de comunicação ou outras adaptações razoáveis quando aplicável.</w:t>
      </w:r>
    </w:p>
    <w:bookmarkEnd w:id="27"/>
    <w:bookmarkStart w:id="28" w:name="X26365bdaf6c7e3b743dddd9699212ab30c5c5f6"/>
    <w:p>
      <w:pPr>
        <w:pStyle w:val="Heading2"/>
      </w:pPr>
      <w:r>
        <w:t xml:space="preserve">5. Ética, identidade do paciente, privacidade e integridade de registros</w:t>
      </w:r>
    </w:p>
    <w:p>
      <w:pPr>
        <w:pStyle w:val="FirstParagraph"/>
      </w:pPr>
      <w:r>
        <w:t xml:space="preserve">Nunca acesse informações por curiosidade, discuta pacientes onde pessoas não autorizadas possam ouvir, compartilhe senhas, altere notas clínicas ou resultados fora do fluxo autorizado, prometa cobertura ou aprovação sem verificação, dê diagnóstico ou tratamento, ignore emergência, crie consultas ou pagamentos falsos, envie informações por canais pessoais não aprovados nem contorne controles de identidade ou liberação de informação.</w:t>
      </w:r>
    </w:p>
    <w:p>
      <w:pPr>
        <w:pStyle w:val="BodyText"/>
      </w:pPr>
      <w:r>
        <w:t xml:space="preserve">Se identidade, autorização, pagamento, liberação de registros, urgência clínica ou privacidade não estiverem claros, pare e escale.</w:t>
      </w:r>
    </w:p>
    <w:bookmarkEnd w:id="28"/>
    <w:bookmarkStart w:id="31" w:name="X29a9e947934f58719ac567f09b402ebee8c8551"/>
    <w:p>
      <w:pPr>
        <w:pStyle w:val="Heading2"/>
      </w:pPr>
      <w:r>
        <w:t xml:space="preserve">6. Estados Unidos — salários e perspectivas oficiais</w:t>
      </w:r>
    </w:p>
    <w:bookmarkStart w:id="29" w:name="oews-maio-de-2025"/>
    <w:p>
      <w:pPr>
        <w:pStyle w:val="Heading3"/>
      </w:pPr>
      <w:r>
        <w:t xml:space="preserve">OEWS maio de 2025</w:t>
      </w:r>
    </w:p>
    <w:p>
      <w:pPr>
        <w:pStyle w:val="FirstParagraph"/>
      </w:pPr>
      <w:r>
        <w:t xml:space="preserve">O BLS informa para</w:t>
      </w:r>
      <w:r>
        <w:t xml:space="preserve"> </w:t>
      </w:r>
      <w:r>
        <w:rPr>
          <w:bCs/>
          <w:b/>
        </w:rPr>
        <w:t xml:space="preserve">Medical Secretaries and Administrative Assistants</w:t>
      </w:r>
      <w:r>
        <w:t xml:space="preserve">:</w:t>
      </w:r>
    </w:p>
    <w:p>
      <w:pPr>
        <w:numPr>
          <w:ilvl w:val="0"/>
          <w:numId w:val="1002"/>
        </w:numPr>
        <w:pStyle w:val="Compact"/>
      </w:pPr>
      <w:r>
        <w:t xml:space="preserve">emprego:</w:t>
      </w:r>
      <w:r>
        <w:t xml:space="preserve"> </w:t>
      </w:r>
      <w:r>
        <w:rPr>
          <w:bCs/>
          <w:b/>
        </w:rPr>
        <w:t xml:space="preserve">961,610</w:t>
      </w:r>
      <w:r>
        <w:t xml:space="preserve">;</w:t>
      </w:r>
    </w:p>
    <w:p>
      <w:pPr>
        <w:numPr>
          <w:ilvl w:val="0"/>
          <w:numId w:val="1002"/>
        </w:numPr>
        <w:pStyle w:val="Compact"/>
      </w:pPr>
      <w:r>
        <w:t xml:space="preserve">salário médio por hora:</w:t>
      </w:r>
      <w:r>
        <w:t xml:space="preserve"> </w:t>
      </w:r>
      <w:r>
        <w:rPr>
          <w:bCs/>
          <w:b/>
        </w:rPr>
        <w:t xml:space="preserve">US$22.50</w:t>
      </w:r>
      <w:r>
        <w:t xml:space="preserve">;</w:t>
      </w:r>
    </w:p>
    <w:p>
      <w:pPr>
        <w:numPr>
          <w:ilvl w:val="0"/>
          <w:numId w:val="1002"/>
        </w:numPr>
        <w:pStyle w:val="Compact"/>
      </w:pPr>
      <w:r>
        <w:t xml:space="preserve">salário médio anual:</w:t>
      </w:r>
      <w:r>
        <w:t xml:space="preserve"> </w:t>
      </w:r>
      <w:r>
        <w:rPr>
          <w:bCs/>
          <w:b/>
        </w:rPr>
        <w:t xml:space="preserve">US$46,800</w:t>
      </w:r>
      <w:r>
        <w:t xml:space="preserve">; e</w:t>
      </w:r>
    </w:p>
    <w:p>
      <w:pPr>
        <w:numPr>
          <w:ilvl w:val="0"/>
          <w:numId w:val="1002"/>
        </w:numPr>
        <w:pStyle w:val="Compact"/>
      </w:pPr>
      <w:r>
        <w:t xml:space="preserve">salário mediano por hora:</w:t>
      </w:r>
      <w:r>
        <w:t xml:space="preserve"> </w:t>
      </w:r>
      <w:r>
        <w:rPr>
          <w:bCs/>
          <w:b/>
        </w:rPr>
        <w:t xml:space="preserve">US$22.08</w:t>
      </w:r>
      <w:r>
        <w:t xml:space="preserve">.</w:t>
      </w:r>
    </w:p>
    <w:p>
      <w:pPr>
        <w:pStyle w:val="FirstParagraph"/>
      </w:pPr>
      <w:r>
        <w:t xml:space="preserve">Fonte: https://www.bls.gov/news.release/ocwage.t01.htm</w:t>
      </w:r>
    </w:p>
    <w:bookmarkEnd w:id="29"/>
    <w:bookmarkStart w:id="30" w:name="occupational-outlook-handbook"/>
    <w:p>
      <w:pPr>
        <w:pStyle w:val="Heading3"/>
      </w:pPr>
      <w:r>
        <w:t xml:space="preserve">Occupational Outlook Handbook</w:t>
      </w:r>
    </w:p>
    <w:p>
      <w:pPr>
        <w:pStyle w:val="FirstParagraph"/>
      </w:pPr>
      <w:r>
        <w:t xml:space="preserve">O BLS identifica</w:t>
      </w:r>
      <w:r>
        <w:t xml:space="preserve"> </w:t>
      </w:r>
      <w:r>
        <w:rPr>
          <w:bCs/>
          <w:b/>
        </w:rPr>
        <w:t xml:space="preserve">Medical Secretaries and Administrative Assistants, SOC 43-6013</w:t>
      </w:r>
      <w:r>
        <w:t xml:space="preserve"> </w:t>
      </w:r>
      <w:r>
        <w:t xml:space="preserve">e informa:</w:t>
      </w:r>
    </w:p>
    <w:p>
      <w:pPr>
        <w:numPr>
          <w:ilvl w:val="0"/>
          <w:numId w:val="1003"/>
        </w:numPr>
        <w:pStyle w:val="Compact"/>
      </w:pPr>
      <w:r>
        <w:t xml:space="preserve">emprego em 2024:</w:t>
      </w:r>
      <w:r>
        <w:t xml:space="preserve"> </w:t>
      </w:r>
      <w:r>
        <w:rPr>
          <w:bCs/>
          <w:b/>
        </w:rPr>
        <w:t xml:space="preserve">850,000</w:t>
      </w:r>
      <w:r>
        <w:t xml:space="preserve">;</w:t>
      </w:r>
    </w:p>
    <w:p>
      <w:pPr>
        <w:numPr>
          <w:ilvl w:val="0"/>
          <w:numId w:val="1003"/>
        </w:numPr>
        <w:pStyle w:val="Compact"/>
      </w:pPr>
      <w:r>
        <w:t xml:space="preserve">emprego projetado em 2034:</w:t>
      </w:r>
      <w:r>
        <w:t xml:space="preserve"> </w:t>
      </w:r>
      <w:r>
        <w:rPr>
          <w:bCs/>
          <w:b/>
        </w:rPr>
        <w:t xml:space="preserve">885,300</w:t>
      </w:r>
      <w:r>
        <w:t xml:space="preserve">;</w:t>
      </w:r>
    </w:p>
    <w:p>
      <w:pPr>
        <w:numPr>
          <w:ilvl w:val="0"/>
          <w:numId w:val="1003"/>
        </w:numPr>
        <w:pStyle w:val="Compact"/>
      </w:pPr>
      <w:r>
        <w:t xml:space="preserve">crescimento projetado:</w:t>
      </w:r>
      <w:r>
        <w:t xml:space="preserve"> </w:t>
      </w:r>
      <w:r>
        <w:rPr>
          <w:bCs/>
          <w:b/>
        </w:rPr>
        <w:t xml:space="preserve">4%</w:t>
      </w:r>
      <w:r>
        <w:t xml:space="preserve">;</w:t>
      </w:r>
    </w:p>
    <w:p>
      <w:pPr>
        <w:numPr>
          <w:ilvl w:val="0"/>
          <w:numId w:val="1003"/>
        </w:numPr>
        <w:pStyle w:val="Compact"/>
      </w:pPr>
      <w:r>
        <w:t xml:space="preserve">crescimento numérico:</w:t>
      </w:r>
      <w:r>
        <w:t xml:space="preserve"> </w:t>
      </w:r>
      <w:r>
        <w:rPr>
          <w:bCs/>
          <w:b/>
        </w:rPr>
        <w:t xml:space="preserve">35,300</w:t>
      </w:r>
      <w:r>
        <w:t xml:space="preserve">; e</w:t>
      </w:r>
    </w:p>
    <w:p>
      <w:pPr>
        <w:numPr>
          <w:ilvl w:val="0"/>
          <w:numId w:val="1003"/>
        </w:numPr>
        <w:pStyle w:val="Compact"/>
      </w:pPr>
      <w:r>
        <w:t xml:space="preserve">salário anual mediano do subtipo médico em maio de 2024:</w:t>
      </w:r>
      <w:r>
        <w:t xml:space="preserve"> </w:t>
      </w:r>
      <w:r>
        <w:rPr>
          <w:bCs/>
          <w:b/>
        </w:rPr>
        <w:t xml:space="preserve">US$44,640</w:t>
      </w:r>
      <w:r>
        <w:t xml:space="preserve">.</w:t>
      </w:r>
    </w:p>
    <w:p>
      <w:pPr>
        <w:pStyle w:val="FirstParagraph"/>
      </w:pPr>
      <w:r>
        <w:t xml:space="preserve">O BLS informa que esses profissionais precisam estar familiarizados com terminologia e códigos médicos, prontuários e procedimentos hospitalares ou laboratoriais. São referências ocupacionais amplas, não salários garantidos para um título específico.</w:t>
      </w:r>
    </w:p>
    <w:p>
      <w:pPr>
        <w:pStyle w:val="BodyText"/>
      </w:pPr>
      <w:r>
        <w:t xml:space="preserve">Fonte: https://www.bls.gov/ooh/office-and-administrative-support/secretaries-and-administrative-assistants.htm</w:t>
      </w:r>
    </w:p>
    <w:bookmarkEnd w:id="30"/>
    <w:bookmarkEnd w:id="31"/>
    <w:bookmarkStart w:id="32" w:name="estados-unidos-estimativa-privada-atual"/>
    <w:p>
      <w:pPr>
        <w:pStyle w:val="Heading2"/>
      </w:pPr>
      <w:r>
        <w:t xml:space="preserve">7. Estados Unidos — estimativa privada atual</w:t>
      </w:r>
    </w:p>
    <w:p>
      <w:pPr>
        <w:pStyle w:val="FirstParagraph"/>
      </w:pPr>
      <w:r>
        <w:t xml:space="preserve">O ZipRecruiter informou para</w:t>
      </w:r>
      <w:r>
        <w:t xml:space="preserve"> </w:t>
      </w:r>
      <w:r>
        <w:rPr>
          <w:rStyle w:val="VerbatimChar"/>
        </w:rPr>
        <w:t xml:space="preserve">Patient Services Representative</w:t>
      </w:r>
      <w:r>
        <w:t xml:space="preserve">, em</w:t>
      </w:r>
      <w:r>
        <w:t xml:space="preserve"> </w:t>
      </w:r>
      <w:r>
        <w:rPr>
          <w:bCs/>
          <w:b/>
        </w:rPr>
        <w:t xml:space="preserve">24 de julho de 2026</w:t>
      </w:r>
      <w:r>
        <w:t xml:space="preserve">:</w:t>
      </w:r>
    </w:p>
    <w:p>
      <w:pPr>
        <w:numPr>
          <w:ilvl w:val="0"/>
          <w:numId w:val="1004"/>
        </w:numPr>
        <w:pStyle w:val="Compact"/>
      </w:pPr>
      <w:r>
        <w:t xml:space="preserve">média:</w:t>
      </w:r>
      <w:r>
        <w:t xml:space="preserve"> </w:t>
      </w:r>
      <w:r>
        <w:rPr>
          <w:bCs/>
          <w:b/>
        </w:rPr>
        <w:t xml:space="preserve">US$41,073/ano</w:t>
      </w:r>
      <w:r>
        <w:t xml:space="preserve">;</w:t>
      </w:r>
    </w:p>
    <w:p>
      <w:pPr>
        <w:numPr>
          <w:ilvl w:val="0"/>
          <w:numId w:val="1004"/>
        </w:numPr>
        <w:pStyle w:val="Compact"/>
      </w:pPr>
      <w:r>
        <w:t xml:space="preserve">aproximadamente</w:t>
      </w:r>
      <w:r>
        <w:t xml:space="preserve"> </w:t>
      </w:r>
      <w:r>
        <w:rPr>
          <w:bCs/>
          <w:b/>
        </w:rPr>
        <w:t xml:space="preserve">US$19.75/hora</w:t>
      </w:r>
      <w:r>
        <w:t xml:space="preserve">;</w:t>
      </w:r>
    </w:p>
    <w:p>
      <w:pPr>
        <w:numPr>
          <w:ilvl w:val="0"/>
          <w:numId w:val="1004"/>
        </w:numPr>
        <w:pStyle w:val="Compact"/>
      </w:pPr>
      <w:r>
        <w:t xml:space="preserve">percentil 25:</w:t>
      </w:r>
      <w:r>
        <w:t xml:space="preserve"> </w:t>
      </w:r>
      <w:r>
        <w:rPr>
          <w:bCs/>
          <w:b/>
        </w:rPr>
        <w:t xml:space="preserve">US$35,000</w:t>
      </w:r>
      <w:r>
        <w:t xml:space="preserve">;</w:t>
      </w:r>
    </w:p>
    <w:p>
      <w:pPr>
        <w:numPr>
          <w:ilvl w:val="0"/>
          <w:numId w:val="1004"/>
        </w:numPr>
        <w:pStyle w:val="Compact"/>
      </w:pPr>
      <w:r>
        <w:t xml:space="preserve">percentil 75:</w:t>
      </w:r>
      <w:r>
        <w:t xml:space="preserve"> </w:t>
      </w:r>
      <w:r>
        <w:rPr>
          <w:bCs/>
          <w:b/>
        </w:rPr>
        <w:t xml:space="preserve">US$44,500</w:t>
      </w:r>
      <w:r>
        <w:t xml:space="preserve">; e</w:t>
      </w:r>
    </w:p>
    <w:p>
      <w:pPr>
        <w:numPr>
          <w:ilvl w:val="0"/>
          <w:numId w:val="1004"/>
        </w:numPr>
        <w:pStyle w:val="Compact"/>
      </w:pPr>
      <w:r>
        <w:t xml:space="preserve">percentil 90:</w:t>
      </w:r>
      <w:r>
        <w:t xml:space="preserve"> </w:t>
      </w:r>
      <w:r>
        <w:rPr>
          <w:bCs/>
          <w:b/>
        </w:rPr>
        <w:t xml:space="preserve">US$50,000</w:t>
      </w:r>
      <w:r>
        <w:t xml:space="preserve">.</w:t>
      </w:r>
    </w:p>
    <w:p>
      <w:pPr>
        <w:pStyle w:val="FirstParagraph"/>
      </w:pPr>
      <w:r>
        <w:t xml:space="preserve">O ZipRecruiter afirma que suas estimativas derivam de anúncios de empregadores e fontes de terceiros. É uma estimativa privada, não uma estatística oficial nem garantia.</w:t>
      </w:r>
    </w:p>
    <w:p>
      <w:pPr>
        <w:pStyle w:val="BodyText"/>
      </w:pPr>
      <w:r>
        <w:t xml:space="preserve">Fonte: https://www.ziprecruiter.com/Salaries/Patient-Services-Representative-Salary</w:t>
      </w:r>
    </w:p>
    <w:bookmarkEnd w:id="32"/>
    <w:bookmarkStart w:id="33" w:name="Xc904122e8d320bb2b5c8db734cf8d01f4372e37"/>
    <w:p>
      <w:pPr>
        <w:pStyle w:val="Heading2"/>
      </w:pPr>
      <w:r>
        <w:t xml:space="preserve">8. Canadá — referência de administração médica</w:t>
      </w:r>
    </w:p>
    <w:p>
      <w:pPr>
        <w:pStyle w:val="FirstParagraph"/>
      </w:pPr>
      <w:r>
        <w:t xml:space="preserve">O Job Bank mapeia secretariado médico para</w:t>
      </w:r>
      <w:r>
        <w:t xml:space="preserve"> </w:t>
      </w:r>
      <w:r>
        <w:rPr>
          <w:bCs/>
          <w:b/>
        </w:rPr>
        <w:t xml:space="preserve">NOC 13112 — Medical administrative assistants</w:t>
      </w:r>
      <w:r>
        <w:t xml:space="preserve">. Os salários nacionais atualizados em</w:t>
      </w:r>
      <w:r>
        <w:t xml:space="preserve"> </w:t>
      </w:r>
      <w:r>
        <w:rPr>
          <w:bCs/>
          <w:b/>
        </w:rPr>
        <w:t xml:space="preserve">19 de novembro de 2025</w:t>
      </w:r>
      <w:r>
        <w:t xml:space="preserve">, período de referência</w:t>
      </w:r>
      <w:r>
        <w:t xml:space="preserve"> </w:t>
      </w:r>
      <w:r>
        <w:rPr>
          <w:bCs/>
          <w:b/>
        </w:rPr>
        <w:t xml:space="preserve">2023–2024</w:t>
      </w:r>
      <w:r>
        <w:t xml:space="preserve">, são:</w:t>
      </w:r>
    </w:p>
    <w:p>
      <w:pPr>
        <w:numPr>
          <w:ilvl w:val="0"/>
          <w:numId w:val="1005"/>
        </w:numPr>
        <w:pStyle w:val="Compact"/>
      </w:pPr>
      <w:r>
        <w:t xml:space="preserve">baixo:</w:t>
      </w:r>
      <w:r>
        <w:t xml:space="preserve"> </w:t>
      </w:r>
      <w:r>
        <w:rPr>
          <w:bCs/>
          <w:b/>
        </w:rPr>
        <w:t xml:space="preserve">C$18.92/hora</w:t>
      </w:r>
      <w:r>
        <w:t xml:space="preserve">;</w:t>
      </w:r>
    </w:p>
    <w:p>
      <w:pPr>
        <w:numPr>
          <w:ilvl w:val="0"/>
          <w:numId w:val="1005"/>
        </w:numPr>
        <w:pStyle w:val="Compact"/>
      </w:pPr>
      <w:r>
        <w:t xml:space="preserve">mediano:</w:t>
      </w:r>
      <w:r>
        <w:t xml:space="preserve"> </w:t>
      </w:r>
      <w:r>
        <w:rPr>
          <w:bCs/>
          <w:b/>
        </w:rPr>
        <w:t xml:space="preserve">C$25.00/hora</w:t>
      </w:r>
      <w:r>
        <w:t xml:space="preserve">; e</w:t>
      </w:r>
    </w:p>
    <w:p>
      <w:pPr>
        <w:numPr>
          <w:ilvl w:val="0"/>
          <w:numId w:val="1005"/>
        </w:numPr>
        <w:pStyle w:val="Compact"/>
      </w:pPr>
      <w:r>
        <w:t xml:space="preserve">alto:</w:t>
      </w:r>
      <w:r>
        <w:t xml:space="preserve"> </w:t>
      </w:r>
      <w:r>
        <w:rPr>
          <w:bCs/>
          <w:b/>
        </w:rPr>
        <w:t xml:space="preserve">C$32.00/hora</w:t>
      </w:r>
      <w:r>
        <w:t xml:space="preserve">.</w:t>
      </w:r>
    </w:p>
    <w:p>
      <w:pPr>
        <w:pStyle w:val="FirstParagraph"/>
      </w:pPr>
      <w:r>
        <w:t xml:space="preserve">É uma referência de administração médica; acesso de pacientes, recepção, faturamento e registros podem mapear de forma diferente.</w:t>
      </w:r>
    </w:p>
    <w:p>
      <w:pPr>
        <w:pStyle w:val="BodyText"/>
      </w:pPr>
      <w:r>
        <w:t xml:space="preserve">Fonte: https://www.jobbank.gc.ca/wagereport/occupation/12598</w:t>
      </w:r>
    </w:p>
    <w:bookmarkEnd w:id="33"/>
    <w:bookmarkStart w:id="34" w:name="colômbia-rota-sena"/>
    <w:p>
      <w:pPr>
        <w:pStyle w:val="Heading2"/>
      </w:pPr>
      <w:r>
        <w:t xml:space="preserve">9. Colômbia — rota SENA</w:t>
      </w:r>
    </w:p>
    <w:p>
      <w:pPr>
        <w:pStyle w:val="FirstParagraph"/>
      </w:pPr>
      <w:r>
        <w:t xml:space="preserve">O SENA Betowa lista</w:t>
      </w:r>
      <w:r>
        <w:t xml:space="preserve"> </w:t>
      </w:r>
      <w:r>
        <w:rPr>
          <w:bCs/>
          <w:b/>
        </w:rPr>
        <w:t xml:space="preserve">Apoyo Administrativo en Salud</w:t>
      </w:r>
      <w:r>
        <w:t xml:space="preserve">, programa titulado</w:t>
      </w:r>
      <w:r>
        <w:t xml:space="preserve"> </w:t>
      </w:r>
      <w:r>
        <w:rPr>
          <w:bCs/>
          <w:b/>
        </w:rPr>
        <w:t xml:space="preserve">Técnico</w:t>
      </w:r>
      <w:r>
        <w:t xml:space="preserve">,</w:t>
      </w:r>
      <w:r>
        <w:t xml:space="preserve"> </w:t>
      </w:r>
      <w:r>
        <w:rPr>
          <w:bCs/>
          <w:b/>
        </w:rPr>
        <w:t xml:space="preserve">presencial</w:t>
      </w:r>
      <w:r>
        <w:t xml:space="preserve">, com</w:t>
      </w:r>
      <w:r>
        <w:t xml:space="preserve"> </w:t>
      </w:r>
      <w:r>
        <w:rPr>
          <w:bCs/>
          <w:b/>
        </w:rPr>
        <w:t xml:space="preserve">2,640 horas</w:t>
      </w:r>
      <w:r>
        <w:t xml:space="preserve"> </w:t>
      </w:r>
      <w:r>
        <w:t xml:space="preserve">e idade mínima</w:t>
      </w:r>
      <w:r>
        <w:t xml:space="preserve"> </w:t>
      </w:r>
      <w:r>
        <w:rPr>
          <w:bCs/>
          <w:b/>
        </w:rPr>
        <w:t xml:space="preserve">16+</w:t>
      </w:r>
      <w:r>
        <w:t xml:space="preserve">. As competências publicadas incluem admitir e orientar pessoas conforme normas de saúde, processar afiliações, arrecadação de caixa segundo procedimentos, registrar informações e usar ferramentas de informática.</w:t>
      </w:r>
    </w:p>
    <w:p>
      <w:pPr>
        <w:pStyle w:val="BodyText"/>
      </w:pPr>
      <w:r>
        <w:t xml:space="preserve">Uma visualização de oferta aberta pode mostrar ausência de turmas locais mesmo que o programa continue no catálogo. O SENA informa que a seleção depende de vagas e do processo de ingresso. Verifique cidade, centro, período de inscrição, requisitos e disponibilidade.</w:t>
      </w:r>
    </w:p>
    <w:p>
      <w:pPr>
        <w:pStyle w:val="BodyText"/>
      </w:pPr>
      <w:r>
        <w:t xml:space="preserve">Fontes:</w:t>
      </w:r>
      <w:r>
        <w:br/>
      </w:r>
      <w:r>
        <w:t xml:space="preserve">https://betowa.sena.edu.co/oferta/apoyo-administrativo-en-salud?location=57011001&amp;modality=P&amp;offertype=open&amp;programId=212936</w:t>
      </w:r>
      <w:r>
        <w:br/>
      </w:r>
      <w:r>
        <w:t xml:space="preserve">https://betowa.sena.edu.co/oferta/apoyo-administrativo-en-salud?level=2&amp;location=57025307&amp;modality=P&amp;offertype=company&amp;programId=212936</w:t>
      </w:r>
    </w:p>
    <w:bookmarkEnd w:id="34"/>
    <w:bookmarkStart w:id="35" w:name="outras-rotas-na-américa-latina"/>
    <w:p>
      <w:pPr>
        <w:pStyle w:val="Heading2"/>
      </w:pPr>
      <w:r>
        <w:t xml:space="preserve">10. Outras rotas na América Latina</w:t>
      </w:r>
    </w:p>
    <w:p>
      <w:pPr>
        <w:pStyle w:val="FirstParagraph"/>
      </w:pPr>
      <w:r>
        <w:t xml:space="preserve">Pesquise</w:t>
      </w:r>
      <w:r>
        <w:t xml:space="preserve"> </w:t>
      </w:r>
      <w:r>
        <w:rPr>
          <w:rStyle w:val="VerbatimChar"/>
        </w:rPr>
        <w:t xml:space="preserve">admisiones en salud</w:t>
      </w:r>
      <w:r>
        <w:t xml:space="preserve">,</w:t>
      </w:r>
      <w:r>
        <w:t xml:space="preserve"> </w:t>
      </w:r>
      <w:r>
        <w:rPr>
          <w:rStyle w:val="VerbatimChar"/>
        </w:rPr>
        <w:t xml:space="preserve">recepción médica</w:t>
      </w:r>
      <w:r>
        <w:t xml:space="preserve">,</w:t>
      </w:r>
      <w:r>
        <w:t xml:space="preserve"> </w:t>
      </w:r>
      <w:r>
        <w:rPr>
          <w:rStyle w:val="VerbatimChar"/>
        </w:rPr>
        <w:t xml:space="preserve">secretariado médico</w:t>
      </w:r>
      <w:r>
        <w:t xml:space="preserve">,</w:t>
      </w:r>
      <w:r>
        <w:t xml:space="preserve"> </w:t>
      </w:r>
      <w:r>
        <w:rPr>
          <w:rStyle w:val="VerbatimChar"/>
        </w:rPr>
        <w:t xml:space="preserve">asistencia administrativa en salud</w:t>
      </w:r>
      <w:r>
        <w:t xml:space="preserve">,</w:t>
      </w:r>
      <w:r>
        <w:t xml:space="preserve"> </w:t>
      </w:r>
      <w:r>
        <w:rPr>
          <w:rStyle w:val="VerbatimChar"/>
        </w:rPr>
        <w:t xml:space="preserve">servicio al paciente</w:t>
      </w:r>
      <w:r>
        <w:t xml:space="preserve">,</w:t>
      </w:r>
      <w:r>
        <w:t xml:space="preserve"> </w:t>
      </w:r>
      <w:r>
        <w:rPr>
          <w:rStyle w:val="VerbatimChar"/>
        </w:rPr>
        <w:t xml:space="preserve">atención al usuario en salud</w:t>
      </w:r>
      <w:r>
        <w:t xml:space="preserve">,</w:t>
      </w:r>
      <w:r>
        <w:t xml:space="preserve"> </w:t>
      </w:r>
      <w:r>
        <w:rPr>
          <w:rStyle w:val="VerbatimChar"/>
        </w:rPr>
        <w:t xml:space="preserve">coordenação de consultório</w:t>
      </w:r>
      <w:r>
        <w:t xml:space="preserve">,</w:t>
      </w:r>
      <w:r>
        <w:t xml:space="preserve"> </w:t>
      </w:r>
      <w:r>
        <w:rPr>
          <w:rStyle w:val="VerbatimChar"/>
        </w:rPr>
        <w:t xml:space="preserve">atendimento ao paciente</w:t>
      </w:r>
      <w:r>
        <w:t xml:space="preserve"> </w:t>
      </w:r>
      <w:r>
        <w:t xml:space="preserve">e equivalentes locais. Os requisitos mudam por país e sistema de saúde. Priorize instituições públicas, instituições reconhecidas, serviços nacionais de emprego, academias de empregadores e aprendizagem baseada no trabalho verificada. Não suponha que HIPAA, código dos EUA, NOC canadense ou programa do SENA se aplique automaticamente em outro país.</w:t>
      </w:r>
    </w:p>
    <w:bookmarkEnd w:id="35"/>
    <w:bookmarkStart w:id="36" w:name="Xcfbaaea4c86e9a86aa894f5cd5f7475217465af"/>
    <w:p>
      <w:pPr>
        <w:pStyle w:val="Heading2"/>
      </w:pPr>
      <w:r>
        <w:t xml:space="preserve">11. Educação, habilidades e aprendizagem gratuita primeiro</w:t>
      </w:r>
    </w:p>
    <w:p>
      <w:pPr>
        <w:pStyle w:val="FirstParagraph"/>
      </w:pPr>
      <w:r>
        <w:t xml:space="preserve">Não existe credencial privada universal. São úteis terminologia médica administrativa, agendamento, cadastro e identidade, privacidade, comunicação, vocabulário básico de seguros e encaminhamentos, pagamentos, entrada de dados, navegação EHR/EMR em ambientes autorizados, acessibilidade, desescalada, cibersegurança e IA responsável.</w:t>
      </w:r>
    </w:p>
    <w:p>
      <w:pPr>
        <w:pStyle w:val="BodyText"/>
      </w:pPr>
      <w:r>
        <w:t xml:space="preserve">Pratique com dados fictícios: agendas, formulários, roteiros, rastreadores e cursos de privacidade. Nunca use informações reais de pacientes em portfólio.</w:t>
      </w:r>
    </w:p>
    <w:bookmarkEnd w:id="36"/>
    <w:bookmarkStart w:id="37" w:name="X48d79d7e61977bbffaae924a76b858de1d58dc7"/>
    <w:p>
      <w:pPr>
        <w:pStyle w:val="Heading2"/>
      </w:pPr>
      <w:r>
        <w:t xml:space="preserve">12. Financiamento, apoio do empregador e aprendizagem baseada no trabalho</w:t>
      </w:r>
    </w:p>
    <w:p>
      <w:pPr>
        <w:pStyle w:val="FirstParagraph"/>
      </w:pPr>
      <w:r>
        <w:t xml:space="preserve">Federal Student Aid pode apoiar estudantes e programas elegíveis; FAFSA não torna elegível todo curso curto. https://studentaid.gov/articles/fafsa-student-steps/</w:t>
      </w:r>
    </w:p>
    <w:p>
      <w:pPr>
        <w:pStyle w:val="BodyText"/>
      </w:pPr>
      <w:r>
        <w:t xml:space="preserve">Sistemas de força de trabalho podem apoiar treinamento elegível sob WIOA e recursos locais. https://www.dol.gov/general/topic/training/adulttraining</w:t>
      </w:r>
    </w:p>
    <w:p>
      <w:pPr>
        <w:pStyle w:val="BodyText"/>
      </w:pPr>
      <w:r>
        <w:t xml:space="preserve">Sob um programa de assistência educacional do empregador que cumpra Section 127, em</w:t>
      </w:r>
      <w:r>
        <w:t xml:space="preserve"> </w:t>
      </w:r>
      <w:r>
        <w:rPr>
          <w:bCs/>
          <w:b/>
        </w:rPr>
        <w:t xml:space="preserve">2025 e 2026</w:t>
      </w:r>
      <w:r>
        <w:t xml:space="preserve"> </w:t>
      </w:r>
      <w:r>
        <w:t xml:space="preserve">até</w:t>
      </w:r>
      <w:r>
        <w:t xml:space="preserve"> </w:t>
      </w:r>
      <w:r>
        <w:rPr>
          <w:bCs/>
          <w:b/>
        </w:rPr>
        <w:t xml:space="preserve">US$5,250</w:t>
      </w:r>
      <w:r>
        <w:t xml:space="preserve"> </w:t>
      </w:r>
      <w:r>
        <w:t xml:space="preserve">de assistência educacional qualificada pode ser excluída da renda bruta. Não é benefício garantido. https://www.irs.gov/newsroom/irs-updates-frequently-asked-questions-about-section-127-educational-assistance-programs</w:t>
      </w:r>
    </w:p>
    <w:p>
      <w:pPr>
        <w:pStyle w:val="BodyText"/>
      </w:pPr>
      <w:r>
        <w:t xml:space="preserve">Registered Apprenticeship combina trabalho remunerado, mentoria, aumentos progressivos, instrução e credencial reconhecida. A disponibilidade administrativa em saúde é local e depende do empregador. https://www.apprenticeship.gov/career-seekers</w:t>
      </w:r>
    </w:p>
    <w:bookmarkEnd w:id="37"/>
    <w:bookmarkStart w:id="38" w:name="X2130b6fc8beea0d95693644e627feff6ccc2b76"/>
    <w:p>
      <w:pPr>
        <w:pStyle w:val="Heading2"/>
      </w:pPr>
      <w:r>
        <w:t xml:space="preserve">13. Comunicação com pacientes, acessibilidade e acesso linguístico</w:t>
      </w:r>
    </w:p>
    <w:p>
      <w:pPr>
        <w:pStyle w:val="FirstParagraph"/>
      </w:pPr>
      <w:r>
        <w:t xml:space="preserve">Use linguagem clara para instruções administrativas; repita datas e endereços exatamente como aprovados; use serviços de interpretação qualificados quando exigidos; proteja privacidade na recepção; ofereça formulários, portais e canais acessíveis quando disponíveis; documente solicitações; e escale questões de adaptação, intérprete, segurança, clínica ou jurídico fora da sua autoridade.</w:t>
      </w:r>
    </w:p>
    <w:p>
      <w:pPr>
        <w:pStyle w:val="BodyText"/>
      </w:pPr>
      <w:r>
        <w:t xml:space="preserve">Habilidade de comunicação não autoriza interpretar sintomas, diagnósticos, planos de tratamento, resultados ou necessidade médica.</w:t>
      </w:r>
    </w:p>
    <w:bookmarkEnd w:id="38"/>
    <w:bookmarkStart w:id="39" w:name="X3529e46c702cbb9002370aef3fb4b1b1063ca05"/>
    <w:p>
      <w:pPr>
        <w:pStyle w:val="Heading2"/>
      </w:pPr>
      <w:r>
        <w:t xml:space="preserve">14. Privacidade, cibersegurança, HIPAA e IA responsável</w:t>
      </w:r>
    </w:p>
    <w:p>
      <w:pPr>
        <w:pStyle w:val="FirstParagraph"/>
      </w:pPr>
      <w:r>
        <w:t xml:space="preserve">Para organizações dos EUA sujeitas à HIPAA, o HHS informa que a Security Rule exige salvaguardas</w:t>
      </w:r>
      <w:r>
        <w:t xml:space="preserve"> </w:t>
      </w:r>
      <w:r>
        <w:rPr>
          <w:bCs/>
          <w:b/>
        </w:rPr>
        <w:t xml:space="preserve">administrativas, físicas e técnicas</w:t>
      </w:r>
      <w:r>
        <w:t xml:space="preserve"> </w:t>
      </w:r>
      <w:r>
        <w:t xml:space="preserve">para proteger a confidencialidade, integridade e disponibilidade de informações eletrônicas de saúde protegidas.</w:t>
      </w:r>
    </w:p>
    <w:p>
      <w:pPr>
        <w:pStyle w:val="BodyText"/>
      </w:pPr>
      <w:r>
        <w:t xml:space="preserve">https://www.hhs.gov/hipaa/for-professionals/security/index.html</w:t>
      </w:r>
    </w:p>
    <w:p>
      <w:pPr>
        <w:pStyle w:val="BodyText"/>
      </w:pPr>
      <w:r>
        <w:t xml:space="preserve">O HHS explica que o padrão de mínimo necessário da Privacy Rule geralmente exige esforços razoáveis para limitar usos, divulgações e solicitações de PHI ao necessário para o propósito pretendido. Existem exceções importantes, incluindo certas divulgações/solicitações para tratamento e usos ou divulgações autorizados pelo indivíduo. Siga políticas aprovadas da organização.</w:t>
      </w:r>
    </w:p>
    <w:p>
      <w:pPr>
        <w:pStyle w:val="BodyText"/>
      </w:pPr>
      <w:r>
        <w:t xml:space="preserve">https://www.hhs.gov/hipaa/for-professionals/privacy/guidance/minimum-necessary-requirement/index.html</w:t>
      </w:r>
    </w:p>
    <w:p>
      <w:pPr>
        <w:pStyle w:val="BodyText"/>
      </w:pPr>
      <w:r>
        <w:t xml:space="preserve">A IA pode apoiar tarefas fictícias ou não relacionadas a pacientes. Não envie nomes, números de prontuário, diagnósticos, consultas, seguros, mensagens, notas clínicas ou pagamentos de pacientes para ferramenta de IA não aprovada.</w:t>
      </w:r>
    </w:p>
    <w:bookmarkEnd w:id="39"/>
    <w:bookmarkStart w:id="40" w:name="Xc6111cb6cdc1ab838a4cdcd0d850f5d93890c35"/>
    <w:p>
      <w:pPr>
        <w:pStyle w:val="Heading2"/>
      </w:pPr>
      <w:r>
        <w:t xml:space="preserve">15. Construir evidências de capacidade com segurança</w:t>
      </w:r>
    </w:p>
    <w:p>
      <w:pPr>
        <w:pStyle w:val="FirstParagraph"/>
      </w:pPr>
      <w:r>
        <w:t xml:space="preserve">Use informações fictícias para criar agenda com regras de conflito, checklist de check-in, fluxo de verificação de identidade, rastreador de encaminhamentos, roteiro de recepção que proteja privacidade, guia de portal, fluxo de adaptação, checklist de conciliação de recibos ou mapa desde solicitação de consulta até check-out. Explique problema, fluxo, controles e pontos de escalonamento. Nunca publique dados reais de pacientes.</w:t>
      </w:r>
    </w:p>
    <w:bookmarkEnd w:id="40"/>
    <w:bookmarkStart w:id="41" w:name="preparação-para-entrevistas"/>
    <w:p>
      <w:pPr>
        <w:pStyle w:val="Heading2"/>
      </w:pPr>
      <w:r>
        <w:t xml:space="preserve">16. Preparação para entrevistas</w:t>
      </w:r>
    </w:p>
    <w:p>
      <w:pPr>
        <w:pStyle w:val="FirstParagraph"/>
      </w:pPr>
      <w:r>
        <w:t xml:space="preserve">Pratique como responder se alguém pedir informações de outro adulto, se paciente relatar sintomas urgentes durante agendamento, se houver dois pacientes com nomes semelhantes, se o seguro não puder ser verificado, se houver disputa de pagamento, pedido de adaptação ou intérprete, se colega quiser consultar celebridade por curiosidade ou se propuserem usar IA com informações de paciente. Respostas fortes mostram verificação de identidade, privacidade, documentação, empatia, escopo e escalonamento.</w:t>
      </w:r>
    </w:p>
    <w:bookmarkEnd w:id="41"/>
    <w:bookmarkStart w:id="48" w:name="plano-inicial-prático-de-12-semanas"/>
    <w:p>
      <w:pPr>
        <w:pStyle w:val="Heading2"/>
      </w:pPr>
      <w:r>
        <w:t xml:space="preserve">17. Plano inicial prático de 12 semanas</w:t>
      </w:r>
    </w:p>
    <w:bookmarkStart w:id="42" w:name="semanas-12"/>
    <w:p>
      <w:pPr>
        <w:pStyle w:val="Heading3"/>
      </w:pPr>
      <w:r>
        <w:t xml:space="preserve">Semanas 1–2</w:t>
      </w:r>
    </w:p>
    <w:p>
      <w:pPr>
        <w:pStyle w:val="FirstParagraph"/>
      </w:pPr>
      <w:r>
        <w:t xml:space="preserve">Revise 20–30 vagas e registre títulos, atribuições, sistemas, terminologia, educação, horário, idiomas e privacidade.</w:t>
      </w:r>
    </w:p>
    <w:bookmarkEnd w:id="42"/>
    <w:bookmarkStart w:id="43" w:name="semanas-34"/>
    <w:p>
      <w:pPr>
        <w:pStyle w:val="Heading3"/>
      </w:pPr>
      <w:r>
        <w:t xml:space="preserve">Semanas 3–4</w:t>
      </w:r>
    </w:p>
    <w:p>
      <w:pPr>
        <w:pStyle w:val="FirstParagraph"/>
      </w:pPr>
      <w:r>
        <w:t xml:space="preserve">Fortaleça redação, telefone, entrada de dados, planilhas, agendamento e terminologia médica.</w:t>
      </w:r>
    </w:p>
    <w:bookmarkEnd w:id="43"/>
    <w:bookmarkStart w:id="44" w:name="semanas-56"/>
    <w:p>
      <w:pPr>
        <w:pStyle w:val="Heading3"/>
      </w:pPr>
      <w:r>
        <w:t xml:space="preserve">Semanas 5–6</w:t>
      </w:r>
    </w:p>
    <w:p>
      <w:pPr>
        <w:pStyle w:val="FirstParagraph"/>
      </w:pPr>
      <w:r>
        <w:t xml:space="preserve">Conclua atividade gratuita ou de baixo custo e crie exercícios fictícios de cadastro e agendamento.</w:t>
      </w:r>
    </w:p>
    <w:bookmarkEnd w:id="44"/>
    <w:bookmarkStart w:id="45" w:name="semanas-78"/>
    <w:p>
      <w:pPr>
        <w:pStyle w:val="Heading3"/>
      </w:pPr>
      <w:r>
        <w:t xml:space="preserve">Semanas 7–8</w:t>
      </w:r>
    </w:p>
    <w:p>
      <w:pPr>
        <w:pStyle w:val="FirstParagraph"/>
      </w:pPr>
      <w:r>
        <w:t xml:space="preserve">Pratique comunicação, identidade, encaminhamentos e escalonamento não clínico; crie fluxo de portfólio seguro.</w:t>
      </w:r>
    </w:p>
    <w:bookmarkEnd w:id="45"/>
    <w:bookmarkStart w:id="46" w:name="semanas-910"/>
    <w:p>
      <w:pPr>
        <w:pStyle w:val="Heading3"/>
      </w:pPr>
      <w:r>
        <w:t xml:space="preserve">Semanas 9–10</w:t>
      </w:r>
    </w:p>
    <w:p>
      <w:pPr>
        <w:pStyle w:val="FirstParagraph"/>
      </w:pPr>
      <w:r>
        <w:t xml:space="preserve">Revise cibersegurança, privacidade, acessibilidade, emergências e IA responsável; verifique financiamento antes de pagar.</w:t>
      </w:r>
    </w:p>
    <w:bookmarkEnd w:id="46"/>
    <w:bookmarkStart w:id="47" w:name="semanas-1112"/>
    <w:p>
      <w:pPr>
        <w:pStyle w:val="Heading3"/>
      </w:pPr>
      <w:r>
        <w:t xml:space="preserve">Semanas 11–12</w:t>
      </w:r>
    </w:p>
    <w:p>
      <w:pPr>
        <w:pStyle w:val="FirstParagraph"/>
      </w:pPr>
      <w:r>
        <w:t xml:space="preserve">Adapte seu currículo com veracidade, pratique entrevistas e candidate-se seletivamente.</w:t>
      </w:r>
    </w:p>
    <w:bookmarkEnd w:id="47"/>
    <w:bookmarkEnd w:id="48"/>
    <w:bookmarkStart w:id="49" w:name="progressão-de-carreira"/>
    <w:p>
      <w:pPr>
        <w:pStyle w:val="Heading2"/>
      </w:pPr>
      <w:r>
        <w:t xml:space="preserve">18. Progressão de carreira</w:t>
      </w:r>
    </w:p>
    <w:p>
      <w:pPr>
        <w:pStyle w:val="FirstParagraph"/>
      </w:pPr>
      <w:r>
        <w:t xml:space="preserve">Possíveis rotas: Senior Patient Services Representative, Senior Patient Access Representative, Medical Office Coordinator, Clinic Coordinator, Referral Coordinator, Scheduling Coordinator, Patient Access Lead/Supervisor, Medical Administrative Assistant e Practice Operations Coordinator. Codificação, faturamento, informação em saúde, enfermagem, assistência médica, coordenação de cuidados, gestão, compliance ou funções clínicas podem exigir educação, certificação, licença ou experiência diferente.</w:t>
      </w:r>
    </w:p>
    <w:bookmarkEnd w:id="49"/>
    <w:bookmarkStart w:id="51" w:name="X71508ba6fb8154fd0f47e51fed11b03cebc26f7"/>
    <w:p>
      <w:pPr>
        <w:pStyle w:val="Heading2"/>
      </w:pPr>
      <w:r>
        <w:t xml:space="preserve">19. Quando pausar, adiar ou escolher outro caminho — e fontes atuais</w:t>
      </w:r>
    </w:p>
    <w:p>
      <w:pPr>
        <w:pStyle w:val="FirstParagraph"/>
      </w:pPr>
      <w:r>
        <w:t xml:space="preserve">Pause se o empregador exigir julgamento clínico, diagnóstico, medicamentos, triagem independente, codificação ou liberação de registros além das suas qualificações; se procedimentos de privacidade ou identidade não estiverem claros; se fornecedor prometer emprego ou salário; se credencial cara não aparecer nas vagas-alvo; se condições de reembolso forem incertas; se exigências do ambiente não forem viáveis sem adaptação; ou se houver pressão para alterar registros, contornar privacidade, deturpar cobertura ou ignorar escalonamento.</w:t>
      </w:r>
    </w:p>
    <w:bookmarkStart w:id="50" w:name="fontes-atuais"/>
    <w:p>
      <w:pPr>
        <w:pStyle w:val="Heading3"/>
      </w:pPr>
      <w:r>
        <w:t xml:space="preserve">Fontes atuais</w:t>
      </w:r>
    </w:p>
    <w:p>
      <w:pPr>
        <w:numPr>
          <w:ilvl w:val="0"/>
          <w:numId w:val="1006"/>
        </w:numPr>
        <w:pStyle w:val="Compact"/>
      </w:pPr>
      <w:r>
        <w:t xml:space="preserve">U.S. BLS May 2025 OEWS: https://www.bls.gov/news.release/ocwage.t01.htm</w:t>
      </w:r>
    </w:p>
    <w:p>
      <w:pPr>
        <w:numPr>
          <w:ilvl w:val="0"/>
          <w:numId w:val="1006"/>
        </w:numPr>
        <w:pStyle w:val="Compact"/>
      </w:pPr>
      <w:r>
        <w:t xml:space="preserve">BLS OOH: https://www.bls.gov/ooh/office-and-administrative-support/secretaries-and-administrative-assistants.htm</w:t>
      </w:r>
    </w:p>
    <w:p>
      <w:pPr>
        <w:numPr>
          <w:ilvl w:val="0"/>
          <w:numId w:val="1006"/>
        </w:numPr>
        <w:pStyle w:val="Compact"/>
      </w:pPr>
      <w:r>
        <w:t xml:space="preserve">ZipRecruiter: https://www.ziprecruiter.com/Salaries/Patient-Services-Representative-Salary</w:t>
      </w:r>
    </w:p>
    <w:p>
      <w:pPr>
        <w:numPr>
          <w:ilvl w:val="0"/>
          <w:numId w:val="1006"/>
        </w:numPr>
        <w:pStyle w:val="Compact"/>
      </w:pPr>
      <w:r>
        <w:t xml:space="preserve">Canada Job Bank: https://www.jobbank.gc.ca/wagereport/occupation/12598</w:t>
      </w:r>
    </w:p>
    <w:p>
      <w:pPr>
        <w:numPr>
          <w:ilvl w:val="0"/>
          <w:numId w:val="1006"/>
        </w:numPr>
        <w:pStyle w:val="Compact"/>
      </w:pPr>
      <w:r>
        <w:t xml:space="preserve">SENA: https://betowa.sena.edu.co/oferta/apoyo-administrativo-en-salud?location=57011001&amp;modality=P&amp;offertype=open&amp;programId=212936</w:t>
      </w:r>
    </w:p>
    <w:p>
      <w:pPr>
        <w:numPr>
          <w:ilvl w:val="0"/>
          <w:numId w:val="1006"/>
        </w:numPr>
        <w:pStyle w:val="Compact"/>
      </w:pPr>
      <w:r>
        <w:t xml:space="preserve">SENA company view: https://betowa.sena.edu.co/oferta/apoyo-administrativo-en-salud?level=2&amp;location=57025307&amp;modality=P&amp;offertype=company&amp;programId=212936</w:t>
      </w:r>
    </w:p>
    <w:p>
      <w:pPr>
        <w:numPr>
          <w:ilvl w:val="0"/>
          <w:numId w:val="1006"/>
        </w:numPr>
        <w:pStyle w:val="Compact"/>
      </w:pPr>
      <w:r>
        <w:t xml:space="preserve">HHS Security Rule: https://www.hhs.gov/hipaa/for-professionals/security/index.html</w:t>
      </w:r>
    </w:p>
    <w:p>
      <w:pPr>
        <w:numPr>
          <w:ilvl w:val="0"/>
          <w:numId w:val="1006"/>
        </w:numPr>
        <w:pStyle w:val="Compact"/>
      </w:pPr>
      <w:r>
        <w:t xml:space="preserve">HHS Minimum Necessary: https://www.hhs.gov/hipaa/for-professionals/privacy/guidance/minimum-necessary-requirement/index.html</w:t>
      </w:r>
    </w:p>
    <w:p>
      <w:pPr>
        <w:numPr>
          <w:ilvl w:val="0"/>
          <w:numId w:val="1006"/>
        </w:numPr>
        <w:pStyle w:val="Compact"/>
      </w:pPr>
      <w:r>
        <w:t xml:space="preserve">Federal Student Aid: https://studentaid.gov/articles/fafsa-student-steps/</w:t>
      </w:r>
    </w:p>
    <w:p>
      <w:pPr>
        <w:numPr>
          <w:ilvl w:val="0"/>
          <w:numId w:val="1006"/>
        </w:numPr>
        <w:pStyle w:val="Compact"/>
      </w:pPr>
      <w:r>
        <w:t xml:space="preserve">U.S. DOL: https://www.dol.gov/general/topic/training/adulttraining</w:t>
      </w:r>
    </w:p>
    <w:p>
      <w:pPr>
        <w:numPr>
          <w:ilvl w:val="0"/>
          <w:numId w:val="1006"/>
        </w:numPr>
        <w:pStyle w:val="Compact"/>
      </w:pPr>
      <w:r>
        <w:t xml:space="preserve">Apprenticeship.gov: https://www.apprenticeship.gov/career-seekers</w:t>
      </w:r>
    </w:p>
    <w:p>
      <w:pPr>
        <w:numPr>
          <w:ilvl w:val="0"/>
          <w:numId w:val="1006"/>
        </w:numPr>
        <w:pStyle w:val="Compact"/>
      </w:pPr>
      <w:r>
        <w:t xml:space="preserve">IRS Section 127: https://www.irs.gov/newsroom/irs-updates-frequently-asked-questions-about-section-127-educational-assistance-programs</w:t>
      </w:r>
    </w:p>
    <w:p>
      <w:pPr>
        <w:numPr>
          <w:ilvl w:val="0"/>
          <w:numId w:val="1006"/>
        </w:numPr>
        <w:pStyle w:val="Compact"/>
      </w:pPr>
      <w:r>
        <w:t xml:space="preserve">U.S. Department of Education: https://www.ed.gov/accreditation</w:t>
      </w:r>
    </w:p>
    <w:p>
      <w:pPr>
        <w:numPr>
          <w:ilvl w:val="0"/>
          <w:numId w:val="1006"/>
        </w:numPr>
        <w:pStyle w:val="Compact"/>
      </w:pPr>
      <w:r>
        <w:t xml:space="preserve">EEOC: https://www.eeoc.gov/disability-discrimination</w:t>
      </w:r>
    </w:p>
    <w:p>
      <w:pPr>
        <w:pStyle w:val="FirstParagraph"/>
      </w:pPr>
      <w:r>
        <w:rPr>
          <w:bCs/>
          <w:b/>
        </w:rPr>
        <w:t xml:space="preserve">Regra de publicação:</w:t>
      </w:r>
      <w:r>
        <w:t xml:space="preserve"> </w:t>
      </w:r>
      <w:r>
        <w:t xml:space="preserve">Verifique novamente fatos e links sensíveis ao tempo antes da publicação. Este guia não garante emprego, remuneração, admissão, financiamento, certificação, acreditação, licença, cobertura de seguro, adaptação, resultados clínicos ou qualquer outro resultado.</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2026-08-09T00:08:25Z</dcterms:created>
  <dcterms:modified xsi:type="dcterms:W3CDTF">2026-08-09T00:08:25Z</dcterms:modified>
</cp:coreProperties>
</file>

<file path=docProps/custom.xml><?xml version="1.0" encoding="utf-8"?>
<Properties xmlns="http://schemas.openxmlformats.org/officeDocument/2006/custom-properties" xmlns:vt="http://schemas.openxmlformats.org/officeDocument/2006/docPropsVTypes"/>
</file>