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8" w:name="Xcfb653242d95dab0550c38a5fefc5d771dea5a2"/>
    <w:p>
      <w:pPr>
        <w:pStyle w:val="Heading1"/>
      </w:pPr>
      <w:r>
        <w:t xml:space="preserve">Guía 17 — Cajero bancario y representante de servicios para miembros</w:t>
      </w:r>
    </w:p>
    <w:p>
      <w:pPr>
        <w:pStyle w:val="FirstParagraph"/>
      </w:pPr>
      <w:r>
        <w:rPr>
          <w:bCs/>
          <w:b/>
        </w:rPr>
        <w:t xml:space="preserve">Maestro de trabajo controlado en español latinoamericano (es-419), versión 2</w:t>
      </w:r>
      <w:r>
        <w:br/>
      </w:r>
      <w:r>
        <w:rPr>
          <w:bCs/>
          <w:b/>
        </w:rPr>
        <w:t xml:space="preserve">Fecha de revisión:</w:t>
      </w:r>
      <w:r>
        <w:t xml:space="preserve"> </w:t>
      </w:r>
      <w:r>
        <w:t xml:space="preserve">2026-08-09</w:t>
      </w:r>
      <w:r>
        <w:br/>
      </w:r>
      <w:r>
        <w:rPr>
          <w:bCs/>
          <w:b/>
        </w:rPr>
        <w:t xml:space="preserve">Fuente de localización:</w:t>
      </w:r>
      <w:r>
        <w:t xml:space="preserve"> </w:t>
      </w:r>
      <w:r>
        <w:t xml:space="preserve">maestro inglés v2 congelado para localización</w:t>
      </w:r>
      <w:r>
        <w:br/>
      </w:r>
      <w:r>
        <w:rPr>
          <w:bCs/>
          <w:b/>
        </w:rPr>
        <w:t xml:space="preserve">Estado:</w:t>
      </w:r>
      <w:r>
        <w:t xml:space="preserve"> </w:t>
      </w:r>
      <w:r>
        <w:t xml:space="preserve">MAESTRO DE LOCALIZACIÓN — pendiente de QA técnico y publicación</w:t>
      </w:r>
    </w:p>
    <w:p>
      <w:pPr>
        <w:pStyle w:val="BodyText"/>
      </w:pPr>
      <w:r>
        <w:t xml:space="preserve">Esta guía es material de exploración y planificación profesional. No ofrece asesoría legal, financiera, de inversión, regulatoria, migratoria, tributaria ni laboral. Los requisitos, salarios, disponibilidad de formación, prácticas de los empleadores y programas públicos cambian. Verifique la información vigente con el empleador, regulador, institución educativa, agencia de empleo o programa oficial correspondiente antes de tomar una decisión o pagar por formación.</w:t>
      </w:r>
    </w:p>
    <w:p>
      <w:pPr>
        <w:pStyle w:val="BodyText"/>
      </w:pPr>
      <w:r>
        <w:t xml:space="preserve">Esta edición se localizó a partir de la fuente inglesa v2 congelada y controlada de la Guía 17. No afirma haber recibido revisión humana independiente, certificación profesional de traducción, certificación de accesibilidad, acreditación, revisión legal, aprobación regulatoria ni garantiza empleo.</w:t>
      </w:r>
    </w:p>
    <w:p>
      <w:r>
        <w:pict>
          <v:rect style="width:0;height:1.5pt" o:hralign="center" o:hrstd="t" o:hr="t"/>
        </w:pict>
      </w:r>
    </w:p>
    <w:bookmarkStart w:id="20" w:name="Xd0cf40091e9167ab7272f5b791f284e859ca0ee"/>
    <w:p>
      <w:pPr>
        <w:pStyle w:val="Heading2"/>
      </w:pPr>
      <w:r>
        <w:t xml:space="preserve">1. Propósito y alcance</w:t>
      </w:r>
    </w:p>
    <w:p>
      <w:pPr>
        <w:pStyle w:val="FirstParagraph"/>
      </w:pPr>
      <w:r>
        <w:t xml:space="preserve">Un cajero bancario o un representante de servicios para miembros con funciones similares a las de caja suele ser una de las primeras personas con las que interactúa un cliente o miembro de una cooperativa de crédito cuando necesita ayuda con transacciones financieras cotidianas. El puesto puede ofrecer una vía de entrada accesible a la banca, los servicios de cooperativas de crédito, las operaciones financieras, la atención al cliente, la concientización sobre fraude y otras carreras en servicios financieros.</w:t>
      </w:r>
    </w:p>
    <w:p>
      <w:pPr>
        <w:pStyle w:val="BodyText"/>
      </w:pPr>
      <w:r>
        <w:t xml:space="preserve">El trabajo implica mucho más que contar efectivo. El personal moderno de primera línea de servicios financieros puede utilizar sistemas transaccionales, verificar identidad, explicar servicios aprobados por la institución, seguir procedimientos de privacidad y seguridad, identificar actividad inusual, remitir clientes a especialistas, cuadrar registros y ayudar a las personas a utilizar herramientas de banca digital. Las funciones exactas dependen del empleador.</w:t>
      </w:r>
    </w:p>
    <w:p>
      <w:pPr>
        <w:pStyle w:val="BodyText"/>
      </w:pPr>
      <w:r>
        <w:t xml:space="preserve">Esta guía está dirigida a personas que exploran trabajos de nivel inicial o de primera etapa profesional en servicios financieros en Estados Unidos, Canadá, Colombia u otros países de América Latina. Hace énfasis en una estrategia de aprendizaje que empieza por opciones gratuitas, en verificar cuidadosamente antes de pagar por formación y en desarrollar competencias transferibles que sigan siendo útiles incluso cuando el empleo tradicional de cajeros cambie por la automatización y la banca digital.</w:t>
      </w:r>
    </w:p>
    <w:p>
      <w:pPr>
        <w:pStyle w:val="BodyText"/>
      </w:pPr>
      <w:r>
        <w:t xml:space="preserve">Debe entenderse una realidad desde el principio: el trabajo de cajero sigue siendo una vía real de entrada, pero en Estados Unidos se proyecta una disminución de esta ocupación. Por eso, un buen plan profesional trata el puesto tanto como una oportunidad laboral como una plataforma para desarrollar competencias más amplias en servicio al cliente, banca digital, operaciones, prevención del fraude, conocimiento de cumplimiento, servicio de cuentas, gestión de relaciones y administración financiera.</w:t>
      </w:r>
    </w:p>
    <w:p>
      <w:r>
        <w:pict>
          <v:rect style="width:0;height:1.5pt" o:hralign="center" o:hrstd="t" o:hr="t"/>
        </w:pict>
      </w:r>
    </w:p>
    <w:bookmarkEnd w:id="20"/>
    <w:bookmarkStart w:id="24" w:name="Xe9b6b1fff54afc4ff400b94f170953dd85db295"/>
    <w:p>
      <w:pPr>
        <w:pStyle w:val="Heading2"/>
      </w:pPr>
      <w:r>
        <w:t xml:space="preserve">2. Definición del puesto y límites</w:t>
      </w:r>
    </w:p>
    <w:bookmarkStart w:id="21" w:name="X62c2e8f06aae6129e3eef6be6c7b8a94ca6e3eb"/>
    <w:p>
      <w:pPr>
        <w:pStyle w:val="Heading3"/>
      </w:pPr>
      <w:r>
        <w:t xml:space="preserve">Correspondencia ocupacional en Estados Unidos</w:t>
      </w:r>
    </w:p>
    <w:p>
      <w:pPr>
        <w:pStyle w:val="FirstParagraph"/>
      </w:pPr>
      <w:r>
        <w:t xml:space="preserve">La principal referencia ocupacional estadounidense de esta guía es</w:t>
      </w:r>
      <w:r>
        <w:t xml:space="preserve"> </w:t>
      </w:r>
      <w:r>
        <w:rPr>
          <w:bCs/>
          <w:b/>
        </w:rPr>
        <w:t xml:space="preserve">O*NET 43-3071.00 — Tellers</w:t>
      </w:r>
      <w:r>
        <w:t xml:space="preserve">. O*NET describe la ocupación alrededor de recibir y entregar dinero y mantener registros de transacciones de instituciones financieras. Entre los títulos de puesto reportados actualmente aparecen</w:t>
      </w:r>
      <w:r>
        <w:t xml:space="preserve"> </w:t>
      </w:r>
      <w:r>
        <w:rPr>
          <w:bCs/>
          <w:b/>
        </w:rPr>
        <w:t xml:space="preserve">Bank Teller</w:t>
      </w:r>
      <w:r>
        <w:t xml:space="preserve">,</w:t>
      </w:r>
      <w:r>
        <w:t xml:space="preserve"> </w:t>
      </w:r>
      <w:r>
        <w:rPr>
          <w:bCs/>
          <w:b/>
        </w:rPr>
        <w:t xml:space="preserve">Credit Union Teller</w:t>
      </w:r>
      <w:r>
        <w:t xml:space="preserve">,</w:t>
      </w:r>
      <w:r>
        <w:t xml:space="preserve"> </w:t>
      </w:r>
      <w:r>
        <w:rPr>
          <w:bCs/>
          <w:b/>
        </w:rPr>
        <w:t xml:space="preserve">Member Services Representative</w:t>
      </w:r>
      <w:r>
        <w:t xml:space="preserve">,</w:t>
      </w:r>
      <w:r>
        <w:t xml:space="preserve"> </w:t>
      </w:r>
      <w:r>
        <w:rPr>
          <w:bCs/>
          <w:b/>
        </w:rPr>
        <w:t xml:space="preserve">Financial Services Representative</w:t>
      </w:r>
      <w:r>
        <w:t xml:space="preserve"> </w:t>
      </w:r>
      <w:r>
        <w:t xml:space="preserve">y otros títulos relacionados.</w:t>
      </w:r>
    </w:p>
    <w:p>
      <w:pPr>
        <w:pStyle w:val="BodyText"/>
      </w:pPr>
      <w:r>
        <w:t xml:space="preserve">Los títulos no están estandarizados. Un empleador puede usar “Member Services Representative” para un puesto muy parecido al de cajero. Otro puede usar el mismo título para funciones más amplias de servicio de cuentas, centro de contacto, apoyo a préstamos, ventas o relaciones con clientes. Lea la descripción real del puesto en lugar de suponer que el título explica por sí solo todas las funciones.</w:t>
      </w:r>
    </w:p>
    <w:bookmarkEnd w:id="21"/>
    <w:bookmarkStart w:id="22" w:name="X7c088187c5759c20d7f8d65fe83fbf9d064e624"/>
    <w:p>
      <w:pPr>
        <w:pStyle w:val="Heading3"/>
      </w:pPr>
      <w:r>
        <w:t xml:space="preserve">Lo que normalmente puede incluir el puesto</w:t>
      </w:r>
    </w:p>
    <w:p>
      <w:pPr>
        <w:pStyle w:val="FirstParagraph"/>
      </w:pPr>
      <w:r>
        <w:t xml:space="preserve">Según la institución y la autoridad asignada, el personal de primera línea puede:</w:t>
      </w:r>
    </w:p>
    <w:p>
      <w:pPr>
        <w:numPr>
          <w:ilvl w:val="0"/>
          <w:numId w:val="1001"/>
        </w:numPr>
        <w:pStyle w:val="Compact"/>
      </w:pPr>
      <w:r>
        <w:t xml:space="preserve">recibir depósitos y procesar retiros;</w:t>
      </w:r>
    </w:p>
    <w:p>
      <w:pPr>
        <w:numPr>
          <w:ilvl w:val="0"/>
          <w:numId w:val="1001"/>
        </w:numPr>
        <w:pStyle w:val="Compact"/>
      </w:pPr>
      <w:r>
        <w:t xml:space="preserve">cobrar cheques cuando la política de la institución lo permita;</w:t>
      </w:r>
    </w:p>
    <w:p>
      <w:pPr>
        <w:numPr>
          <w:ilvl w:val="0"/>
          <w:numId w:val="1001"/>
        </w:numPr>
        <w:pStyle w:val="Compact"/>
      </w:pPr>
      <w:r>
        <w:t xml:space="preserve">procesar pagos o transferencias;</w:t>
      </w:r>
    </w:p>
    <w:p>
      <w:pPr>
        <w:numPr>
          <w:ilvl w:val="0"/>
          <w:numId w:val="1001"/>
        </w:numPr>
        <w:pStyle w:val="Compact"/>
      </w:pPr>
      <w:r>
        <w:t xml:space="preserve">contar y cuadrar efectivo y registros de transacciones;</w:t>
      </w:r>
    </w:p>
    <w:p>
      <w:pPr>
        <w:numPr>
          <w:ilvl w:val="0"/>
          <w:numId w:val="1001"/>
        </w:numPr>
        <w:pStyle w:val="Compact"/>
      </w:pPr>
      <w:r>
        <w:t xml:space="preserve">responder preguntas rutinarias sobre cuentas;</w:t>
      </w:r>
    </w:p>
    <w:p>
      <w:pPr>
        <w:numPr>
          <w:ilvl w:val="0"/>
          <w:numId w:val="1001"/>
        </w:numPr>
        <w:pStyle w:val="Compact"/>
      </w:pPr>
      <w:r>
        <w:t xml:space="preserve">explicar productos o características de servicios aprobados por la institución dentro del alcance de su formación;</w:t>
      </w:r>
    </w:p>
    <w:p>
      <w:pPr>
        <w:numPr>
          <w:ilvl w:val="0"/>
          <w:numId w:val="1001"/>
        </w:numPr>
        <w:pStyle w:val="Compact"/>
      </w:pPr>
      <w:r>
        <w:t xml:space="preserve">ayudar a clientes a comprender formularios o pasos rutinarios de servicio;</w:t>
      </w:r>
    </w:p>
    <w:p>
      <w:pPr>
        <w:numPr>
          <w:ilvl w:val="0"/>
          <w:numId w:val="1001"/>
        </w:numPr>
        <w:pStyle w:val="Compact"/>
      </w:pPr>
      <w:r>
        <w:t xml:space="preserve">identificar necesidades del cliente y remitirlo a un especialista autorizado;</w:t>
      </w:r>
    </w:p>
    <w:p>
      <w:pPr>
        <w:numPr>
          <w:ilvl w:val="0"/>
          <w:numId w:val="1001"/>
        </w:numPr>
        <w:pStyle w:val="Compact"/>
      </w:pPr>
      <w:r>
        <w:t xml:space="preserve">apoyar consultas básicas sobre banca digital;</w:t>
      </w:r>
    </w:p>
    <w:p>
      <w:pPr>
        <w:numPr>
          <w:ilvl w:val="0"/>
          <w:numId w:val="1001"/>
        </w:numPr>
        <w:pStyle w:val="Compact"/>
      </w:pPr>
      <w:r>
        <w:t xml:space="preserve">seguir procedimientos de verificación de identidad, prevención del fraude, privacidad, control de efectivo y seguridad;</w:t>
      </w:r>
    </w:p>
    <w:p>
      <w:pPr>
        <w:numPr>
          <w:ilvl w:val="0"/>
          <w:numId w:val="1001"/>
        </w:numPr>
        <w:pStyle w:val="Compact"/>
      </w:pPr>
      <w:r>
        <w:t xml:space="preserve">documentar o escalar excepciones transaccionales y preocupaciones de clientes.</w:t>
      </w:r>
    </w:p>
    <w:bookmarkEnd w:id="22"/>
    <w:bookmarkStart w:id="23" w:name="X553649277d8979ab4f1d54516673adae385a786"/>
    <w:p>
      <w:pPr>
        <w:pStyle w:val="Heading3"/>
      </w:pPr>
      <w:r>
        <w:t xml:space="preserve">Lo que el puesto no autoriza automáticamente</w:t>
      </w:r>
    </w:p>
    <w:p>
      <w:pPr>
        <w:pStyle w:val="FirstParagraph"/>
      </w:pPr>
      <w:r>
        <w:t xml:space="preserve">El título de cajero o representante de servicios para miembros</w:t>
      </w:r>
      <w:r>
        <w:t xml:space="preserve"> </w:t>
      </w:r>
      <w:r>
        <w:rPr>
          <w:bCs/>
          <w:b/>
        </w:rPr>
        <w:t xml:space="preserve">no</w:t>
      </w:r>
      <w:r>
        <w:t xml:space="preserve"> </w:t>
      </w:r>
      <w:r>
        <w:t xml:space="preserve">autoriza automáticamente a una persona a:</w:t>
      </w:r>
    </w:p>
    <w:p>
      <w:pPr>
        <w:numPr>
          <w:ilvl w:val="0"/>
          <w:numId w:val="1002"/>
        </w:numPr>
        <w:pStyle w:val="Compact"/>
      </w:pPr>
      <w:r>
        <w:t xml:space="preserve">aprobar préstamos u otros créditos;</w:t>
      </w:r>
    </w:p>
    <w:p>
      <w:pPr>
        <w:numPr>
          <w:ilvl w:val="0"/>
          <w:numId w:val="1002"/>
        </w:numPr>
        <w:pStyle w:val="Compact"/>
      </w:pPr>
      <w:r>
        <w:t xml:space="preserve">originar préstamos hipotecarios regulados;</w:t>
      </w:r>
    </w:p>
    <w:p>
      <w:pPr>
        <w:numPr>
          <w:ilvl w:val="0"/>
          <w:numId w:val="1002"/>
        </w:numPr>
        <w:pStyle w:val="Compact"/>
      </w:pPr>
      <w:r>
        <w:t xml:space="preserve">brindar asesoría de inversiones, legal o tributaria;</w:t>
      </w:r>
    </w:p>
    <w:p>
      <w:pPr>
        <w:numPr>
          <w:ilvl w:val="0"/>
          <w:numId w:val="1002"/>
        </w:numPr>
        <w:pStyle w:val="Compact"/>
      </w:pPr>
      <w:r>
        <w:t xml:space="preserve">realizar de forma independiente determinaciones sobre lavado de activos, sanciones o asuntos legales fuera de la autoridad asignada;</w:t>
      </w:r>
    </w:p>
    <w:p>
      <w:pPr>
        <w:numPr>
          <w:ilvl w:val="0"/>
          <w:numId w:val="1002"/>
        </w:numPr>
        <w:pStyle w:val="Compact"/>
      </w:pPr>
      <w:r>
        <w:t xml:space="preserve">anular controles de fraude, autenticación, privacidad, límites transaccionales o alertas del sistema;</w:t>
      </w:r>
    </w:p>
    <w:p>
      <w:pPr>
        <w:numPr>
          <w:ilvl w:val="0"/>
          <w:numId w:val="1002"/>
        </w:numPr>
        <w:pStyle w:val="Compact"/>
      </w:pPr>
      <w:r>
        <w:t xml:space="preserve">divulgar información protegida de clientes a personas no autorizadas;</w:t>
      </w:r>
    </w:p>
    <w:p>
      <w:pPr>
        <w:numPr>
          <w:ilvl w:val="0"/>
          <w:numId w:val="1002"/>
        </w:numPr>
        <w:pStyle w:val="Compact"/>
      </w:pPr>
      <w:r>
        <w:t xml:space="preserve">prometer resultados sobre cuentas, crédito, inversiones o asuntos regulatorios.</w:t>
      </w:r>
    </w:p>
    <w:p>
      <w:pPr>
        <w:pStyle w:val="FirstParagraph"/>
      </w:pPr>
      <w:r>
        <w:t xml:space="preserve">El principio seguro es sencillo:</w:t>
      </w:r>
      <w:r>
        <w:t xml:space="preserve"> </w:t>
      </w:r>
      <w:r>
        <w:rPr>
          <w:bCs/>
          <w:b/>
        </w:rPr>
        <w:t xml:space="preserve">cuando una transacción, una inquietud de identidad, un indicador de fraude, un asunto de privacidad, una preocupación sobre sanciones o lavado de activos, una alerta del sistema, una vulnerabilidad del cliente o una excepción de política exceda su autoridad asignada, deténgase y use el proceso de escalamiento aprobado por el empleador.</w:t>
      </w:r>
    </w:p>
    <w:p>
      <w:r>
        <w:pict>
          <v:rect style="width:0;height:1.5pt" o:hralign="center" o:hrstd="t" o:hr="t"/>
        </w:pict>
      </w:r>
    </w:p>
    <w:bookmarkEnd w:id="23"/>
    <w:bookmarkEnd w:id="24"/>
    <w:bookmarkStart w:id="25" w:name="X09e267cabff91aa0b5225792e324872e58d76bd"/>
    <w:p>
      <w:pPr>
        <w:pStyle w:val="Heading2"/>
      </w:pPr>
      <w:r>
        <w:t xml:space="preserve">3. Títulos comunes y entornos de empleo</w:t>
      </w:r>
    </w:p>
    <w:p>
      <w:pPr>
        <w:pStyle w:val="FirstParagraph"/>
      </w:pPr>
      <w:r>
        <w:t xml:space="preserve">Algunos títulos posibles son:</w:t>
      </w:r>
    </w:p>
    <w:p>
      <w:pPr>
        <w:numPr>
          <w:ilvl w:val="0"/>
          <w:numId w:val="1003"/>
        </w:numPr>
        <w:pStyle w:val="Compact"/>
      </w:pPr>
      <w:r>
        <w:t xml:space="preserve">Bank Teller / Cajero bancario</w:t>
      </w:r>
    </w:p>
    <w:p>
      <w:pPr>
        <w:numPr>
          <w:ilvl w:val="0"/>
          <w:numId w:val="1003"/>
        </w:numPr>
        <w:pStyle w:val="Compact"/>
      </w:pPr>
      <w:r>
        <w:t xml:space="preserve">Credit Union Teller / Cajero de cooperativa de crédito</w:t>
      </w:r>
    </w:p>
    <w:p>
      <w:pPr>
        <w:numPr>
          <w:ilvl w:val="0"/>
          <w:numId w:val="1003"/>
        </w:numPr>
        <w:pStyle w:val="Compact"/>
      </w:pPr>
      <w:r>
        <w:t xml:space="preserve">Teller Trainee / Cajero en formación</w:t>
      </w:r>
    </w:p>
    <w:p>
      <w:pPr>
        <w:numPr>
          <w:ilvl w:val="0"/>
          <w:numId w:val="1003"/>
        </w:numPr>
        <w:pStyle w:val="Compact"/>
      </w:pPr>
      <w:r>
        <w:t xml:space="preserve">Member Services Representative / Representante de servicios para miembros</w:t>
      </w:r>
    </w:p>
    <w:p>
      <w:pPr>
        <w:numPr>
          <w:ilvl w:val="0"/>
          <w:numId w:val="1003"/>
        </w:numPr>
        <w:pStyle w:val="Compact"/>
      </w:pPr>
      <w:r>
        <w:t xml:space="preserve">Member Service Representative</w:t>
      </w:r>
    </w:p>
    <w:p>
      <w:pPr>
        <w:numPr>
          <w:ilvl w:val="0"/>
          <w:numId w:val="1003"/>
        </w:numPr>
        <w:pStyle w:val="Compact"/>
      </w:pPr>
      <w:r>
        <w:t xml:space="preserve">Financial Services Representative / Representante de servicios financieros</w:t>
      </w:r>
    </w:p>
    <w:p>
      <w:pPr>
        <w:numPr>
          <w:ilvl w:val="0"/>
          <w:numId w:val="1003"/>
        </w:numPr>
        <w:pStyle w:val="Compact"/>
      </w:pPr>
      <w:r>
        <w:t xml:space="preserve">Customer Service Representative — Financial Institution</w:t>
      </w:r>
    </w:p>
    <w:p>
      <w:pPr>
        <w:numPr>
          <w:ilvl w:val="0"/>
          <w:numId w:val="1003"/>
        </w:numPr>
        <w:pStyle w:val="Compact"/>
      </w:pPr>
      <w:r>
        <w:t xml:space="preserve">Customer Relationship Specialist</w:t>
      </w:r>
    </w:p>
    <w:p>
      <w:pPr>
        <w:numPr>
          <w:ilvl w:val="0"/>
          <w:numId w:val="1003"/>
        </w:numPr>
        <w:pStyle w:val="Compact"/>
      </w:pPr>
      <w:r>
        <w:t xml:space="preserve">Universal Banker o Universal Associate, cuando las funciones de caja se combinan con responsabilidades más amplias</w:t>
      </w:r>
    </w:p>
    <w:p>
      <w:pPr>
        <w:pStyle w:val="FirstParagraph"/>
      </w:pPr>
      <w:r>
        <w:t xml:space="preserve">Estos títulos son ejemplos, no equivalencias exactas. “Universal Banker”, por ejemplo, puede incluir una combinación más amplia de apertura de cuentas, ventas, servicio, remisiones u otras funciones. Algunas tareas pueden requerir autorización específica del empleador, registro, licencia o formación adicional.</w:t>
      </w:r>
    </w:p>
    <w:p>
      <w:pPr>
        <w:pStyle w:val="BodyText"/>
      </w:pPr>
      <w:r>
        <w:t xml:space="preserve">Los entornos de empleo comunes incluyen:</w:t>
      </w:r>
    </w:p>
    <w:p>
      <w:pPr>
        <w:numPr>
          <w:ilvl w:val="0"/>
          <w:numId w:val="1004"/>
        </w:numPr>
        <w:pStyle w:val="Compact"/>
      </w:pPr>
      <w:r>
        <w:t xml:space="preserve">sucursales bancarias minoristas;</w:t>
      </w:r>
    </w:p>
    <w:p>
      <w:pPr>
        <w:numPr>
          <w:ilvl w:val="0"/>
          <w:numId w:val="1004"/>
        </w:numPr>
        <w:pStyle w:val="Compact"/>
      </w:pPr>
      <w:r>
        <w:t xml:space="preserve">cooperativas de crédito;</w:t>
      </w:r>
    </w:p>
    <w:p>
      <w:pPr>
        <w:numPr>
          <w:ilvl w:val="0"/>
          <w:numId w:val="1004"/>
        </w:numPr>
        <w:pStyle w:val="Compact"/>
      </w:pPr>
      <w:r>
        <w:t xml:space="preserve">bancos comunitarios;</w:t>
      </w:r>
    </w:p>
    <w:p>
      <w:pPr>
        <w:numPr>
          <w:ilvl w:val="0"/>
          <w:numId w:val="1004"/>
        </w:numPr>
        <w:pStyle w:val="Compact"/>
      </w:pPr>
      <w:r>
        <w:t xml:space="preserve">instituciones financieras regionales o nacionales;</w:t>
      </w:r>
    </w:p>
    <w:p>
      <w:pPr>
        <w:numPr>
          <w:ilvl w:val="0"/>
          <w:numId w:val="1004"/>
        </w:numPr>
        <w:pStyle w:val="Compact"/>
      </w:pPr>
      <w:r>
        <w:t xml:space="preserve">centros de contacto o servicio financiero donde se brinda apoyo transaccional;</w:t>
      </w:r>
    </w:p>
    <w:p>
      <w:pPr>
        <w:numPr>
          <w:ilvl w:val="0"/>
          <w:numId w:val="1004"/>
        </w:numPr>
        <w:pStyle w:val="Compact"/>
      </w:pPr>
      <w:r>
        <w:t xml:space="preserve">instituciones que combinan atención presencial y digital.</w:t>
      </w:r>
    </w:p>
    <w:p>
      <w:pPr>
        <w:pStyle w:val="FirstParagraph"/>
      </w:pPr>
      <w:r>
        <w:t xml:space="preserve">El trabajo puede implicar largos periodos de pie o sentado, tareas informáticas repetitivas, manejo de efectivo, comunicación con clientes, procedimientos de seguridad y periodos de alta actividad en determinados momentos del día o del mes. Según el empleador, los horarios pueden incluir fines de semana u horarios extendidos de sucursal.</w:t>
      </w:r>
    </w:p>
    <w:p>
      <w:r>
        <w:pict>
          <v:rect style="width:0;height:1.5pt" o:hralign="center" o:hrstd="t" o:hr="t"/>
        </w:pict>
      </w:r>
    </w:p>
    <w:bookmarkEnd w:id="25"/>
    <w:bookmarkStart w:id="31" w:name="X3e0f1949029729f0cbf5b65963cf80e329f398e"/>
    <w:p>
      <w:pPr>
        <w:pStyle w:val="Heading2"/>
      </w:pPr>
      <w:r>
        <w:t xml:space="preserve">4. Trabajo diario y responsabilidades</w:t>
      </w:r>
    </w:p>
    <w:p>
      <w:pPr>
        <w:pStyle w:val="FirstParagraph"/>
      </w:pPr>
      <w:r>
        <w:t xml:space="preserve">Un día típico puede combinar servicio al cliente, procesamiento de transacciones, exactitud de registros y controles de riesgo.</w:t>
      </w:r>
    </w:p>
    <w:bookmarkStart w:id="26" w:name="trabajo-transaccional"/>
    <w:p>
      <w:pPr>
        <w:pStyle w:val="Heading3"/>
      </w:pPr>
      <w:r>
        <w:t xml:space="preserve">Trabajo transaccional</w:t>
      </w:r>
    </w:p>
    <w:p>
      <w:pPr>
        <w:pStyle w:val="FirstParagraph"/>
      </w:pPr>
      <w:r>
        <w:t xml:space="preserve">Puede recibir efectivo o cheques, procesar depósitos y retiros, manejar pagos o transferencias permitidas, emitir comprobantes y utilizar un sistema transaccional de la institución financiera. La exactitud es fundamental porque incluso errores pequeños pueden afectar a clientes, saldos de caja, registros contables e investigaciones de fraude.</w:t>
      </w:r>
    </w:p>
    <w:bookmarkEnd w:id="26"/>
    <w:bookmarkStart w:id="27" w:name="servicio-al-cliente"/>
    <w:p>
      <w:pPr>
        <w:pStyle w:val="Heading3"/>
      </w:pPr>
      <w:r>
        <w:t xml:space="preserve">Servicio al cliente</w:t>
      </w:r>
    </w:p>
    <w:p>
      <w:pPr>
        <w:pStyle w:val="FirstParagraph"/>
      </w:pPr>
      <w:r>
        <w:t xml:space="preserve">Los clientes pueden necesitar explicaciones claras sobre servicios rutinarios, procedimientos de cuenta, herramientas digitales, tarifas o pasos siguientes. Un buen servicio implica escuchar con atención, comunicarse sin jerga innecesaria, confirmar la comprensión y remitir al cliente cuando la consulta exceda su autoridad.</w:t>
      </w:r>
    </w:p>
    <w:bookmarkEnd w:id="27"/>
    <w:bookmarkStart w:id="28" w:name="cuadre-y-registros"/>
    <w:p>
      <w:pPr>
        <w:pStyle w:val="Heading3"/>
      </w:pPr>
      <w:r>
        <w:t xml:space="preserve">Cuadre y registros</w:t>
      </w:r>
    </w:p>
    <w:p>
      <w:pPr>
        <w:pStyle w:val="FirstParagraph"/>
      </w:pPr>
      <w:r>
        <w:t xml:space="preserve">Puede contar una caja, conciliar transacciones, investigar una discrepancia sencilla siguiendo procedimientos aprobados y documentar excepciones. Los empleadores suelen tener reglas estrictas sobre doble control, límites de efectivo, anulaciones y cuadre de fin de día.</w:t>
      </w:r>
    </w:p>
    <w:bookmarkEnd w:id="28"/>
    <w:bookmarkStart w:id="29" w:name="Xb8eb203a370e46f1c478bfe29cb444dbbde6f1b"/>
    <w:p>
      <w:pPr>
        <w:pStyle w:val="Heading3"/>
      </w:pPr>
      <w:r>
        <w:t xml:space="preserve">Procedimientos de identidad, fraude y seguridad</w:t>
      </w:r>
    </w:p>
    <w:p>
      <w:pPr>
        <w:pStyle w:val="FirstParagraph"/>
      </w:pPr>
      <w:r>
        <w:t xml:space="preserve">El personal financiero de primera línea suele estar expuesto a intentos de estafa, ingeniería social, elementos falsificados, toma de control de cuentas, comportamientos transaccionales sospechosos o problemas de identidad. Su función no es improvisar una investigación. Su función es reconocer señales de alerta, seguir los procedimientos de la institución, proteger la información y escalar adecuadamente.</w:t>
      </w:r>
    </w:p>
    <w:bookmarkEnd w:id="29"/>
    <w:bookmarkStart w:id="30" w:name="apoyo-a-servicios-digitales"/>
    <w:p>
      <w:pPr>
        <w:pStyle w:val="Heading3"/>
      </w:pPr>
      <w:r>
        <w:t xml:space="preserve">Apoyo a servicios digitales</w:t>
      </w:r>
    </w:p>
    <w:p>
      <w:pPr>
        <w:pStyle w:val="FirstParagraph"/>
      </w:pPr>
      <w:r>
        <w:t xml:space="preserve">A medida que los servicios financieros se vuelven más digitales, un puesto similar al de cajero puede incluir ayudar a clientes a navegar procesos aprobados de banca móvil o en línea. No pida a los clientes que revelen contraseñas o factores de autenticación que, según la política, deben mantenerse privados, y nunca eluda controles solo para facilitar una transacción.</w:t>
      </w:r>
    </w:p>
    <w:p>
      <w:r>
        <w:pict>
          <v:rect style="width:0;height:1.5pt" o:hralign="center" o:hrstd="t" o:hr="t"/>
        </w:pict>
      </w:r>
    </w:p>
    <w:bookmarkEnd w:id="30"/>
    <w:bookmarkEnd w:id="31"/>
    <w:bookmarkStart w:id="35" w:name="X4d4df30df56dc4fa172b9e28ac97a459fc241cc"/>
    <w:p>
      <w:pPr>
        <w:pStyle w:val="Heading2"/>
      </w:pPr>
      <w:r>
        <w:t xml:space="preserve">5. Competencias y herramientas</w:t>
      </w:r>
    </w:p>
    <w:bookmarkStart w:id="32" w:name="competencias-principales"/>
    <w:p>
      <w:pPr>
        <w:pStyle w:val="Heading3"/>
      </w:pPr>
      <w:r>
        <w:t xml:space="preserve">Competencias principales</w:t>
      </w:r>
    </w:p>
    <w:p>
      <w:pPr>
        <w:pStyle w:val="FirstParagraph"/>
      </w:pPr>
      <w:r>
        <w:t xml:space="preserve">Son útiles, entre otras:</w:t>
      </w:r>
    </w:p>
    <w:p>
      <w:pPr>
        <w:numPr>
          <w:ilvl w:val="0"/>
          <w:numId w:val="1005"/>
        </w:numPr>
        <w:pStyle w:val="Compact"/>
      </w:pPr>
      <w:r>
        <w:t xml:space="preserve">servicio al cliente y escucha activa;</w:t>
      </w:r>
    </w:p>
    <w:p>
      <w:pPr>
        <w:numPr>
          <w:ilvl w:val="0"/>
          <w:numId w:val="1005"/>
        </w:numPr>
        <w:pStyle w:val="Compact"/>
      </w:pPr>
      <w:r>
        <w:t xml:space="preserve">comunicación oral y escrita clara;</w:t>
      </w:r>
    </w:p>
    <w:p>
      <w:pPr>
        <w:numPr>
          <w:ilvl w:val="0"/>
          <w:numId w:val="1005"/>
        </w:numPr>
        <w:pStyle w:val="Compact"/>
      </w:pPr>
      <w:r>
        <w:t xml:space="preserve">precisión aritmética y al contar dinero;</w:t>
      </w:r>
    </w:p>
    <w:p>
      <w:pPr>
        <w:numPr>
          <w:ilvl w:val="0"/>
          <w:numId w:val="1005"/>
        </w:numPr>
        <w:pStyle w:val="Compact"/>
      </w:pPr>
      <w:r>
        <w:t xml:space="preserve">atención al detalle;</w:t>
      </w:r>
    </w:p>
    <w:p>
      <w:pPr>
        <w:numPr>
          <w:ilvl w:val="0"/>
          <w:numId w:val="1005"/>
        </w:numPr>
        <w:pStyle w:val="Compact"/>
      </w:pPr>
      <w:r>
        <w:t xml:space="preserve">resolución básica de problemas;</w:t>
      </w:r>
    </w:p>
    <w:p>
      <w:pPr>
        <w:numPr>
          <w:ilvl w:val="0"/>
          <w:numId w:val="1005"/>
        </w:numPr>
        <w:pStyle w:val="Compact"/>
      </w:pPr>
      <w:r>
        <w:t xml:space="preserve">mantenimiento de registros;</w:t>
      </w:r>
    </w:p>
    <w:p>
      <w:pPr>
        <w:numPr>
          <w:ilvl w:val="0"/>
          <w:numId w:val="1005"/>
        </w:numPr>
        <w:pStyle w:val="Compact"/>
      </w:pPr>
      <w:r>
        <w:t xml:space="preserve">comodidad con computadores y sistemas transaccionales;</w:t>
      </w:r>
    </w:p>
    <w:p>
      <w:pPr>
        <w:numPr>
          <w:ilvl w:val="0"/>
          <w:numId w:val="1005"/>
        </w:numPr>
        <w:pStyle w:val="Compact"/>
      </w:pPr>
      <w:r>
        <w:t xml:space="preserve">capacidad de seguir procedimientos de forma constante;</w:t>
      </w:r>
    </w:p>
    <w:p>
      <w:pPr>
        <w:numPr>
          <w:ilvl w:val="0"/>
          <w:numId w:val="1005"/>
        </w:numPr>
        <w:pStyle w:val="Compact"/>
      </w:pPr>
      <w:r>
        <w:t xml:space="preserve">conciencia sobre privacidad y confidencialidad;</w:t>
      </w:r>
    </w:p>
    <w:p>
      <w:pPr>
        <w:numPr>
          <w:ilvl w:val="0"/>
          <w:numId w:val="1005"/>
        </w:numPr>
        <w:pStyle w:val="Compact"/>
      </w:pPr>
      <w:r>
        <w:t xml:space="preserve">conocimiento de fraude e ingeniería social;</w:t>
      </w:r>
    </w:p>
    <w:p>
      <w:pPr>
        <w:numPr>
          <w:ilvl w:val="0"/>
          <w:numId w:val="1005"/>
        </w:numPr>
        <w:pStyle w:val="Compact"/>
      </w:pPr>
      <w:r>
        <w:t xml:space="preserve">criterio profesional para saber cuándo escalar;</w:t>
      </w:r>
    </w:p>
    <w:p>
      <w:pPr>
        <w:numPr>
          <w:ilvl w:val="0"/>
          <w:numId w:val="1005"/>
        </w:numPr>
        <w:pStyle w:val="Compact"/>
      </w:pPr>
      <w:r>
        <w:t xml:space="preserve">trabajo en equipo y comunicación respetuosa.</w:t>
      </w:r>
    </w:p>
    <w:bookmarkEnd w:id="32"/>
    <w:bookmarkStart w:id="33" w:name="competencias-digitales"/>
    <w:p>
      <w:pPr>
        <w:pStyle w:val="Heading3"/>
      </w:pPr>
      <w:r>
        <w:t xml:space="preserve">Competencias digitales</w:t>
      </w:r>
    </w:p>
    <w:p>
      <w:pPr>
        <w:pStyle w:val="FirstParagraph"/>
      </w:pPr>
      <w:r>
        <w:t xml:space="preserve">No necesita ser programador. Entre los fundamentos digitales útiles se incluyen:</w:t>
      </w:r>
    </w:p>
    <w:p>
      <w:pPr>
        <w:numPr>
          <w:ilvl w:val="0"/>
          <w:numId w:val="1006"/>
        </w:numPr>
        <w:pStyle w:val="Compact"/>
      </w:pPr>
      <w:r>
        <w:t xml:space="preserve">digitación y entrada precisa de datos;</w:t>
      </w:r>
    </w:p>
    <w:p>
      <w:pPr>
        <w:numPr>
          <w:ilvl w:val="0"/>
          <w:numId w:val="1006"/>
        </w:numPr>
        <w:pStyle w:val="Compact"/>
      </w:pPr>
      <w:r>
        <w:t xml:space="preserve">uso básico de hojas de cálculo;</w:t>
      </w:r>
    </w:p>
    <w:p>
      <w:pPr>
        <w:numPr>
          <w:ilvl w:val="0"/>
          <w:numId w:val="1006"/>
        </w:numPr>
        <w:pStyle w:val="Compact"/>
      </w:pPr>
      <w:r>
        <w:t xml:space="preserve">correo electrónico y comunicación laboral;</w:t>
      </w:r>
    </w:p>
    <w:p>
      <w:pPr>
        <w:numPr>
          <w:ilvl w:val="0"/>
          <w:numId w:val="1006"/>
        </w:numPr>
        <w:pStyle w:val="Compact"/>
      </w:pPr>
      <w:r>
        <w:t xml:space="preserve">prácticas seguras de contraseñas y autenticación;</w:t>
      </w:r>
    </w:p>
    <w:p>
      <w:pPr>
        <w:numPr>
          <w:ilvl w:val="0"/>
          <w:numId w:val="1006"/>
        </w:numPr>
        <w:pStyle w:val="Compact"/>
      </w:pPr>
      <w:r>
        <w:t xml:space="preserve">navegación en sistemas del empleador sin eludir controles;</w:t>
      </w:r>
    </w:p>
    <w:p>
      <w:pPr>
        <w:numPr>
          <w:ilvl w:val="0"/>
          <w:numId w:val="1006"/>
        </w:numPr>
        <w:pStyle w:val="Compact"/>
      </w:pPr>
      <w:r>
        <w:t xml:space="preserve">comprensión básica de terminología de banca en línea y móvil;</w:t>
      </w:r>
    </w:p>
    <w:p>
      <w:pPr>
        <w:numPr>
          <w:ilvl w:val="0"/>
          <w:numId w:val="1006"/>
        </w:numPr>
        <w:pStyle w:val="Compact"/>
      </w:pPr>
      <w:r>
        <w:t xml:space="preserve">reconocimiento de phishing y mensajes sospechosos.</w:t>
      </w:r>
    </w:p>
    <w:bookmarkEnd w:id="33"/>
    <w:bookmarkStart w:id="34" w:name="las-competencias-humanas-importan"/>
    <w:p>
      <w:pPr>
        <w:pStyle w:val="Heading3"/>
      </w:pPr>
      <w:r>
        <w:t xml:space="preserve">Las competencias humanas importan</w:t>
      </w:r>
    </w:p>
    <w:p>
      <w:pPr>
        <w:pStyle w:val="FirstParagraph"/>
      </w:pPr>
      <w:r>
        <w:t xml:space="preserve">La automatización puede realizar muchas transacciones rutinarias, pero los clientes siguen necesitando personas capaces de explicar, escuchar, reconocer confusión o riesgo y responder adecuadamente. La empatía no significa ignorar las políticas. Un empleado sólido puede ser a la vez servicial y disciplinado respecto a seguridad, privacidad y límites de autorización.</w:t>
      </w:r>
    </w:p>
    <w:p>
      <w:r>
        <w:pict>
          <v:rect style="width:0;height:1.5pt" o:hralign="center" o:hrstd="t" o:hr="t"/>
        </w:pict>
      </w:r>
    </w:p>
    <w:bookmarkEnd w:id="34"/>
    <w:bookmarkEnd w:id="35"/>
    <w:bookmarkStart w:id="40" w:name="Xa7dab1ea25b54efec1790d788ccadc6d5eddc6e"/>
    <w:p>
      <w:pPr>
        <w:pStyle w:val="Heading2"/>
      </w:pPr>
      <w:r>
        <w:t xml:space="preserve">6. Requisitos de entrada</w:t>
      </w:r>
    </w:p>
    <w:bookmarkStart w:id="36" w:name="estados-unidos"/>
    <w:p>
      <w:pPr>
        <w:pStyle w:val="Heading3"/>
      </w:pPr>
      <w:r>
        <w:t xml:space="preserve">Estados Unidos</w:t>
      </w:r>
    </w:p>
    <w:p>
      <w:pPr>
        <w:pStyle w:val="FirstParagraph"/>
      </w:pPr>
      <w:r>
        <w:t xml:space="preserve">La Oficina de Estadísticas Laborales de Estados Unidos (BLS) informa que los cajeros normalmente necesitan</w:t>
      </w:r>
      <w:r>
        <w:t xml:space="preserve"> </w:t>
      </w:r>
      <w:r>
        <w:rPr>
          <w:bCs/>
          <w:b/>
        </w:rPr>
        <w:t xml:space="preserve">diploma de secundaria o equivalente</w:t>
      </w:r>
      <w:r>
        <w:t xml:space="preserve"> </w:t>
      </w:r>
      <w:r>
        <w:t xml:space="preserve">y suelen recibir</w:t>
      </w:r>
      <w:r>
        <w:t xml:space="preserve"> </w:t>
      </w:r>
      <w:r>
        <w:rPr>
          <w:bCs/>
          <w:b/>
        </w:rPr>
        <w:t xml:space="preserve">formación de corto plazo en el trabajo</w:t>
      </w:r>
      <w:r>
        <w:t xml:space="preserve">. BLS también señala que un empleador puede exigir una verificación de antecedentes.</w:t>
      </w:r>
    </w:p>
    <w:p>
      <w:pPr>
        <w:pStyle w:val="BodyText"/>
      </w:pPr>
      <w:r>
        <w:t xml:space="preserve">Los empleadores individuales pueden añadir requisitos como:</w:t>
      </w:r>
    </w:p>
    <w:p>
      <w:pPr>
        <w:numPr>
          <w:ilvl w:val="0"/>
          <w:numId w:val="1007"/>
        </w:numPr>
        <w:pStyle w:val="Compact"/>
      </w:pPr>
      <w:r>
        <w:t xml:space="preserve">experiencia previa en servicio al cliente o manejo de efectivo;</w:t>
      </w:r>
    </w:p>
    <w:p>
      <w:pPr>
        <w:numPr>
          <w:ilvl w:val="0"/>
          <w:numId w:val="1007"/>
        </w:numPr>
        <w:pStyle w:val="Compact"/>
      </w:pPr>
      <w:r>
        <w:t xml:space="preserve">disponibilidad de horario;</w:t>
      </w:r>
    </w:p>
    <w:p>
      <w:pPr>
        <w:numPr>
          <w:ilvl w:val="0"/>
          <w:numId w:val="1007"/>
        </w:numPr>
        <w:pStyle w:val="Compact"/>
      </w:pPr>
      <w:r>
        <w:t xml:space="preserve">competencias informáticas básicas;</w:t>
      </w:r>
    </w:p>
    <w:p>
      <w:pPr>
        <w:numPr>
          <w:ilvl w:val="0"/>
          <w:numId w:val="1007"/>
        </w:numPr>
        <w:pStyle w:val="Compact"/>
      </w:pPr>
      <w:r>
        <w:t xml:space="preserve">idiomas útiles para la base de clientes;</w:t>
      </w:r>
    </w:p>
    <w:p>
      <w:pPr>
        <w:numPr>
          <w:ilvl w:val="0"/>
          <w:numId w:val="1007"/>
        </w:numPr>
        <w:pStyle w:val="Compact"/>
      </w:pPr>
      <w:r>
        <w:t xml:space="preserve">completar satisfactoriamente los procesos de selección del empleador;</w:t>
      </w:r>
    </w:p>
    <w:p>
      <w:pPr>
        <w:numPr>
          <w:ilvl w:val="0"/>
          <w:numId w:val="1007"/>
        </w:numPr>
        <w:pStyle w:val="Compact"/>
      </w:pPr>
      <w:r>
        <w:t xml:space="preserve">capacidad de cumplir procedimientos específicos de manejo de efectivo o seguridad.</w:t>
      </w:r>
    </w:p>
    <w:p>
      <w:pPr>
        <w:pStyle w:val="FirstParagraph"/>
      </w:pPr>
      <w:r>
        <w:t xml:space="preserve">Estos requisitos dependen del empleador y no son universales.</w:t>
      </w:r>
    </w:p>
    <w:bookmarkEnd w:id="36"/>
    <w:bookmarkStart w:id="37" w:name="canadá"/>
    <w:p>
      <w:pPr>
        <w:pStyle w:val="Heading3"/>
      </w:pPr>
      <w:r>
        <w:t xml:space="preserve">Canadá</w:t>
      </w:r>
    </w:p>
    <w:p>
      <w:pPr>
        <w:pStyle w:val="FirstParagraph"/>
      </w:pPr>
      <w:r>
        <w:t xml:space="preserve">Para</w:t>
      </w:r>
      <w:r>
        <w:t xml:space="preserve"> </w:t>
      </w:r>
      <w:r>
        <w:rPr>
          <w:bCs/>
          <w:b/>
        </w:rPr>
        <w:t xml:space="preserve">NOC 64400 — Customer services representatives - financial institutions</w:t>
      </w:r>
      <w:r>
        <w:t xml:space="preserve">, la Clasificación Nacional de Ocupaciones indica que se requiere haber completado la educación secundaria; que puede requerirse un diploma universitario o técnico en administración de empresas; y que se proporciona formación en el trabajo. Los requisitos reales varían por empleador y provincia.</w:t>
      </w:r>
    </w:p>
    <w:bookmarkEnd w:id="37"/>
    <w:bookmarkStart w:id="38" w:name="colombia-y-américa-latina"/>
    <w:p>
      <w:pPr>
        <w:pStyle w:val="Heading3"/>
      </w:pPr>
      <w:r>
        <w:t xml:space="preserve">Colombia y América Latina</w:t>
      </w:r>
    </w:p>
    <w:p>
      <w:pPr>
        <w:pStyle w:val="FirstParagraph"/>
      </w:pPr>
      <w:r>
        <w:t xml:space="preserve">Los requisitos varían considerablemente por país, empleador, familia de puestos y prácticas locales del sector financiero. En Colombia, la formación pertinente del SENA en servicios financieros puede fortalecer la preparación cuando exista una oferta vigente aplicable. Participar en SENA no garantiza empleo bancario, y un curso individual no debe considerarse sustituto de la selección del empleador ni un requisito salvo que un empleador específico así lo indique.</w:t>
      </w:r>
    </w:p>
    <w:bookmarkEnd w:id="38"/>
    <w:bookmarkStart w:id="39" w:name="antes-de-pagar-por-una-credencial"/>
    <w:p>
      <w:pPr>
        <w:pStyle w:val="Heading3"/>
      </w:pPr>
      <w:r>
        <w:t xml:space="preserve">Antes de pagar por una credencial</w:t>
      </w:r>
    </w:p>
    <w:p>
      <w:pPr>
        <w:pStyle w:val="FirstParagraph"/>
      </w:pPr>
      <w:r>
        <w:t xml:space="preserve">Busque ofertas reales de sus empleadores objetivo. Anote las cualificaciones que se repiten. Pague por formación solo cuando cierre una brecha real y verificada que no pueda cubrirse razonablemente con capacitación del empleador, programas públicos, aprendizaje gratuito u opciones de menor costo.</w:t>
      </w:r>
    </w:p>
    <w:p>
      <w:r>
        <w:pict>
          <v:rect style="width:0;height:1.5pt" o:hralign="center" o:hrstd="t" o:hr="t"/>
        </w:pict>
      </w:r>
    </w:p>
    <w:bookmarkEnd w:id="39"/>
    <w:bookmarkEnd w:id="40"/>
    <w:bookmarkStart w:id="47" w:name="X62970a13fb4f186077860586d4fb996941c4b38"/>
    <w:p>
      <w:pPr>
        <w:pStyle w:val="Heading2"/>
      </w:pPr>
      <w:r>
        <w:t xml:space="preserve">7. Ruta en Estados Unidos</w:t>
      </w:r>
    </w:p>
    <w:p>
      <w:pPr>
        <w:pStyle w:val="FirstParagraph"/>
      </w:pPr>
      <w:r>
        <w:t xml:space="preserve">Una ruta práctica en Estados Unidos puede ser sencilla.</w:t>
      </w:r>
    </w:p>
    <w:bookmarkStart w:id="41" w:name="paso-1--desarrolle-fundamentos"/>
    <w:p>
      <w:pPr>
        <w:pStyle w:val="Heading3"/>
      </w:pPr>
      <w:r>
        <w:t xml:space="preserve">Paso 1 — Desarrolle fundamentos</w:t>
      </w:r>
    </w:p>
    <w:p>
      <w:pPr>
        <w:pStyle w:val="FirstParagraph"/>
      </w:pPr>
      <w:r>
        <w:t xml:space="preserve">Fortalezca la comunicación de servicio al cliente, la aritmética precisa, la confianza con computadores, la conciencia de privacidad y el registro cuidadoso de información. Practique explicar procesos rutinarios en lenguaje claro.</w:t>
      </w:r>
    </w:p>
    <w:bookmarkEnd w:id="41"/>
    <w:bookmarkStart w:id="42" w:name="paso-2--estudie-la-ocupación-real"/>
    <w:p>
      <w:pPr>
        <w:pStyle w:val="Heading3"/>
      </w:pPr>
      <w:r>
        <w:t xml:space="preserve">Paso 2 — Estudie la ocupación real</w:t>
      </w:r>
    </w:p>
    <w:p>
      <w:pPr>
        <w:pStyle w:val="FirstParagraph"/>
      </w:pPr>
      <w:r>
        <w:t xml:space="preserve">Use el Occupational Outlook Handbook de BLS y O*NET para comprender funciones, competencias, contexto de trabajo, expectativas de entrada y tendencias del mercado laboral. No se base únicamente en publicidad de proveedores de formación.</w:t>
      </w:r>
    </w:p>
    <w:bookmarkEnd w:id="42"/>
    <w:bookmarkStart w:id="43" w:name="paso-3--aprenda-de-empleadores-reales"/>
    <w:p>
      <w:pPr>
        <w:pStyle w:val="Heading3"/>
      </w:pPr>
      <w:r>
        <w:t xml:space="preserve">Paso 3 — Aprenda de empleadores reales</w:t>
      </w:r>
    </w:p>
    <w:p>
      <w:pPr>
        <w:pStyle w:val="FirstParagraph"/>
      </w:pPr>
      <w:r>
        <w:t xml:space="preserve">Revise las páginas de empleo de bancos y cooperativas de crédito de su zona. Compare puestos de teller, member service, universal banker y financial service representative. Los títulos varían; compare funciones y no solo nombres.</w:t>
      </w:r>
    </w:p>
    <w:bookmarkEnd w:id="43"/>
    <w:bookmarkStart w:id="44" w:name="Xd10bfd8ecbff3d23965fbd53e1a22f285017729"/>
    <w:p>
      <w:pPr>
        <w:pStyle w:val="Heading3"/>
      </w:pPr>
      <w:r>
        <w:t xml:space="preserve">Paso 4 — Postúlese a empleadores que capaciten</w:t>
      </w:r>
    </w:p>
    <w:p>
      <w:pPr>
        <w:pStyle w:val="FirstParagraph"/>
      </w:pPr>
      <w:r>
        <w:t xml:space="preserve">Dado que la formación de corto plazo en el trabajo es típica para cajeros en Estados Unidos, la capacitación del empleador puede ser más valiosa que comprar un certificado privado de cajero sin valor de contratación demostrado.</w:t>
      </w:r>
    </w:p>
    <w:bookmarkEnd w:id="44"/>
    <w:bookmarkStart w:id="45" w:name="Xe89735a7b838ed7d4928047c79f6293ddf11c8b"/>
    <w:p>
      <w:pPr>
        <w:pStyle w:val="Heading3"/>
      </w:pPr>
      <w:r>
        <w:t xml:space="preserve">Paso 5 — Desarrolle competencias transferibles desde el primer día</w:t>
      </w:r>
    </w:p>
    <w:p>
      <w:pPr>
        <w:pStyle w:val="FirstParagraph"/>
      </w:pPr>
      <w:r>
        <w:t xml:space="preserve">Aprenda exactitud transaccional, banca digital, comunicación con clientes, escalamiento de fraude, seguridad, privacidad, servicio de cuentas y procedimientos institucionales. Estas competencias pueden apoyar una progresión hacia servicio más amplio, operaciones, prevención de fraude, supervisión o trabajo administrativo.</w:t>
      </w:r>
    </w:p>
    <w:bookmarkEnd w:id="45"/>
    <w:bookmarkStart w:id="46" w:name="realidad-del-mercado-laboral"/>
    <w:p>
      <w:pPr>
        <w:pStyle w:val="Heading3"/>
      </w:pPr>
      <w:r>
        <w:t xml:space="preserve">Realidad del mercado laboral</w:t>
      </w:r>
    </w:p>
    <w:p>
      <w:pPr>
        <w:pStyle w:val="FirstParagraph"/>
      </w:pPr>
      <w:r>
        <w:t xml:space="preserve">BLS reporta un</w:t>
      </w:r>
      <w:r>
        <w:t xml:space="preserve"> </w:t>
      </w:r>
      <w:r>
        <w:rPr>
          <w:bCs/>
          <w:b/>
        </w:rPr>
        <w:t xml:space="preserve">salario mediano de mayo de 2024 de USD 39,340 al año (USD 18.91 por hora)</w:t>
      </w:r>
      <w:r>
        <w:t xml:space="preserve"> </w:t>
      </w:r>
      <w:r>
        <w:t xml:space="preserve">para cajeros. Proyecta una disminución del empleo de</w:t>
      </w:r>
      <w:r>
        <w:t xml:space="preserve"> </w:t>
      </w:r>
      <w:r>
        <w:rPr>
          <w:bCs/>
          <w:b/>
        </w:rPr>
        <w:t xml:space="preserve">13% entre 2024 y 2034</w:t>
      </w:r>
      <w:r>
        <w:t xml:space="preserve">, aunque estima alrededor de</w:t>
      </w:r>
      <w:r>
        <w:t xml:space="preserve"> </w:t>
      </w:r>
      <w:r>
        <w:rPr>
          <w:bCs/>
          <w:b/>
        </w:rPr>
        <w:t xml:space="preserve">29,800 vacantes por año en promedio</w:t>
      </w:r>
      <w:r>
        <w:t xml:space="preserve">, principalmente porque algunas personas dejan la ocupación o la fuerza laboral y deben ser reemplazadas.</w:t>
      </w:r>
    </w:p>
    <w:p>
      <w:pPr>
        <w:pStyle w:val="BodyText"/>
      </w:pPr>
      <w:r>
        <w:t xml:space="preserve">No interprete esas vacantes anuales como señal de crecimiento de la ocupación. No está creciendo. Use el puesto estratégicamente: ingrese a un costo razonable, aprenda con rapidez y desarrolle competencias que puedan transferirse a trabajos financieros menos rutinarios.</w:t>
      </w:r>
    </w:p>
    <w:p>
      <w:r>
        <w:pict>
          <v:rect style="width:0;height:1.5pt" o:hralign="center" o:hrstd="t" o:hr="t"/>
        </w:pict>
      </w:r>
    </w:p>
    <w:bookmarkEnd w:id="46"/>
    <w:bookmarkEnd w:id="47"/>
    <w:bookmarkStart w:id="48" w:name="X18928a1777ae4b38ce90411fbbc1897a35ce38f"/>
    <w:p>
      <w:pPr>
        <w:pStyle w:val="Heading2"/>
      </w:pPr>
      <w:r>
        <w:t xml:space="preserve">8. Ruta en Canadá</w:t>
      </w:r>
    </w:p>
    <w:p>
      <w:pPr>
        <w:pStyle w:val="FirstParagraph"/>
      </w:pPr>
      <w:r>
        <w:t xml:space="preserve">La principal correspondencia ocupacional canadiense de esta guía es</w:t>
      </w:r>
      <w:r>
        <w:t xml:space="preserve"> </w:t>
      </w:r>
      <w:r>
        <w:rPr>
          <w:bCs/>
          <w:b/>
        </w:rPr>
        <w:t xml:space="preserve">NOC 64400 — Customer services representatives - financial institutions</w:t>
      </w:r>
      <w:r>
        <w:t xml:space="preserve">. Algunos ejemplos de títulos son bank teller, credit union teller, financial customer service representative y teller trainee.</w:t>
      </w:r>
    </w:p>
    <w:p>
      <w:pPr>
        <w:pStyle w:val="BodyText"/>
      </w:pPr>
      <w:r>
        <w:t xml:space="preserve">La ocupación puede incluir procesamiento de depósitos, retiros, transferencias y otras transacciones; obtención de información necesaria para prestar servicios; respuesta a preguntas sobre cuentas; resolución de discrepancias dentro de procedimientos asignados; e información a clientes sobre productos y servicios de la institución financiera.</w:t>
      </w:r>
    </w:p>
    <w:p>
      <w:pPr>
        <w:pStyle w:val="BodyText"/>
      </w:pPr>
      <w:r>
        <w:t xml:space="preserve">Una ruta práctica en Canadá consiste en:</w:t>
      </w:r>
    </w:p>
    <w:p>
      <w:pPr>
        <w:numPr>
          <w:ilvl w:val="0"/>
          <w:numId w:val="1008"/>
        </w:numPr>
        <w:pStyle w:val="Compact"/>
      </w:pPr>
      <w:r>
        <w:t xml:space="preserve">revisar NOC 64400 para comprender la ocupación y sus límites;</w:t>
      </w:r>
    </w:p>
    <w:p>
      <w:pPr>
        <w:numPr>
          <w:ilvl w:val="0"/>
          <w:numId w:val="1008"/>
        </w:numPr>
        <w:pStyle w:val="Compact"/>
      </w:pPr>
      <w:r>
        <w:t xml:space="preserve">revisar Job Bank del Gobierno de Canadá para salarios e información regional vigente;</w:t>
      </w:r>
    </w:p>
    <w:p>
      <w:pPr>
        <w:numPr>
          <w:ilvl w:val="0"/>
          <w:numId w:val="1008"/>
        </w:numPr>
        <w:pStyle w:val="Compact"/>
      </w:pPr>
      <w:r>
        <w:t xml:space="preserve">comparar ofertas actuales de bancos y cooperativas de crédito en su provincia o territorio;</w:t>
      </w:r>
    </w:p>
    <w:p>
      <w:pPr>
        <w:numPr>
          <w:ilvl w:val="0"/>
          <w:numId w:val="1008"/>
        </w:numPr>
        <w:pStyle w:val="Compact"/>
      </w:pPr>
      <w:r>
        <w:t xml:space="preserve">identificar si los empleadores piden solo secundaria o si se repiten un diploma relacionado con negocios o experiencia previa;</w:t>
      </w:r>
    </w:p>
    <w:p>
      <w:pPr>
        <w:numPr>
          <w:ilvl w:val="0"/>
          <w:numId w:val="1008"/>
        </w:numPr>
        <w:pStyle w:val="Compact"/>
      </w:pPr>
      <w:r>
        <w:t xml:space="preserve">priorizar formación del empleador y aprendizaje de bajo costo antes de pagar por una credencial privada;</w:t>
      </w:r>
    </w:p>
    <w:p>
      <w:pPr>
        <w:numPr>
          <w:ilvl w:val="0"/>
          <w:numId w:val="1008"/>
        </w:numPr>
        <w:pStyle w:val="Compact"/>
      </w:pPr>
      <w:r>
        <w:t xml:space="preserve">verificar cualquier requisito provincial específico de empleo o formación aplicable a un puesto más amplio.</w:t>
      </w:r>
    </w:p>
    <w:p>
      <w:pPr>
        <w:pStyle w:val="FirstParagraph"/>
      </w:pPr>
      <w:r>
        <w:t xml:space="preserve">El referente salarial nacional vigente de Job Bank revisado para esta edición es</w:t>
      </w:r>
      <w:r>
        <w:t xml:space="preserve"> </w:t>
      </w:r>
      <w:r>
        <w:rPr>
          <w:bCs/>
          <w:b/>
        </w:rPr>
        <w:t xml:space="preserve">C</w:t>
      </w:r>
      <m:oMath>
        <m:r>
          <m:t>18.00</m:t>
        </m:r>
        <m:r>
          <m:rPr>
            <m:sty m:val="p"/>
          </m:rPr>
          <m:t>/</m:t>
        </m:r>
        <m:r>
          <m:t>h</m:t>
        </m:r>
        <m:r>
          <m:t>o</m:t>
        </m:r>
        <m:r>
          <m:t>r</m:t>
        </m:r>
        <m:r>
          <m:t>a</m:t>
        </m:r>
        <m:r>
          <m:t>c</m:t>
        </m:r>
        <m:r>
          <m:t>o</m:t>
        </m:r>
        <m:r>
          <m:t>m</m:t>
        </m:r>
        <m:r>
          <m:t>o</m:t>
        </m:r>
        <m:r>
          <m:t>b</m:t>
        </m:r>
        <m:r>
          <m:t>a</m:t>
        </m:r>
        <m:r>
          <m:t>j</m:t>
        </m:r>
        <m:r>
          <m:t>o</m:t>
        </m:r>
        <m:r>
          <m:rPr>
            <m:sty m:val="p"/>
          </m:rPr>
          <m:t>,</m:t>
        </m:r>
        <m:r>
          <m:t>C</m:t>
        </m:r>
      </m:oMath>
      <w:r>
        <w:rPr>
          <w:bCs/>
          <w:b/>
        </w:rPr>
        <w:t xml:space="preserve">22.50/hora como mediano y C$30.67/hora como alto</w:t>
      </w:r>
      <w:r>
        <w:t xml:space="preserve">. La página salarial fue modificada el 2 de junio de 2026 e indica que los salarios se actualizaron el 19 de noviembre de 2025 utilizando como periodo de referencia la Labour Force Survey 2023-2024.</w:t>
      </w:r>
    </w:p>
    <w:p>
      <w:pPr>
        <w:pStyle w:val="BodyText"/>
      </w:pPr>
      <w:r>
        <w:t xml:space="preserve">Son referencias nacionales, no promesas de salario. Provincia, empleador, antigüedad, funciones, horas, convenios colectivos cuando correspondan y condiciones locales del mercado pueden producir resultados diferentes.</w:t>
      </w:r>
    </w:p>
    <w:p>
      <w:r>
        <w:pict>
          <v:rect style="width:0;height:1.5pt" o:hralign="center" o:hrstd="t" o:hr="t"/>
        </w:pict>
      </w:r>
    </w:p>
    <w:bookmarkEnd w:id="48"/>
    <w:bookmarkStart w:id="51" w:name="X4a723b734275d151c205c50990e87a88174a118"/>
    <w:p>
      <w:pPr>
        <w:pStyle w:val="Heading2"/>
      </w:pPr>
      <w:r>
        <w:t xml:space="preserve">9. Ruta en América Latina y Colombia</w:t>
      </w:r>
    </w:p>
    <w:p>
      <w:pPr>
        <w:pStyle w:val="FirstParagraph"/>
      </w:pPr>
      <w:r>
        <w:t xml:space="preserve">No existe una única credencial latinoamericana de cajero, un estándar salarial único, un sistema único de licencias ni una sola ruta formativa. La regulación bancaria, prácticas de empleadores, sistemas educativos, títulos de puesto y compensación difieren por país.</w:t>
      </w:r>
    </w:p>
    <w:p>
      <w:pPr>
        <w:pStyle w:val="BodyText"/>
      </w:pPr>
      <w:r>
        <w:t xml:space="preserve">Para cualquier país de la región:</w:t>
      </w:r>
    </w:p>
    <w:p>
      <w:pPr>
        <w:numPr>
          <w:ilvl w:val="0"/>
          <w:numId w:val="1009"/>
        </w:numPr>
        <w:pStyle w:val="Compact"/>
      </w:pPr>
      <w:r>
        <w:t xml:space="preserve">identifique al supervisor financiero o regulador bancario nacional;</w:t>
      </w:r>
    </w:p>
    <w:p>
      <w:pPr>
        <w:numPr>
          <w:ilvl w:val="0"/>
          <w:numId w:val="1009"/>
        </w:numPr>
        <w:pStyle w:val="Compact"/>
      </w:pPr>
      <w:r>
        <w:t xml:space="preserve">revise recursos oficiales de empleo o educación;</w:t>
      </w:r>
    </w:p>
    <w:p>
      <w:pPr>
        <w:numPr>
          <w:ilvl w:val="0"/>
          <w:numId w:val="1009"/>
        </w:numPr>
        <w:pStyle w:val="Compact"/>
      </w:pPr>
      <w:r>
        <w:t xml:space="preserve">compare descripciones de puestos vigentes de empleadores;</w:t>
      </w:r>
    </w:p>
    <w:p>
      <w:pPr>
        <w:numPr>
          <w:ilvl w:val="0"/>
          <w:numId w:val="1009"/>
        </w:numPr>
        <w:pStyle w:val="Compact"/>
      </w:pPr>
      <w:r>
        <w:t xml:space="preserve">verifique si el puesto exacto tiene requisitos locales de registro, educación, selección o experiencia;</w:t>
      </w:r>
    </w:p>
    <w:p>
      <w:pPr>
        <w:numPr>
          <w:ilvl w:val="0"/>
          <w:numId w:val="1009"/>
        </w:numPr>
        <w:pStyle w:val="Compact"/>
      </w:pPr>
      <w:r>
        <w:t xml:space="preserve">no suponga que una credencial reconocida en un país es requerida o valorada en otro.</w:t>
      </w:r>
    </w:p>
    <w:bookmarkStart w:id="49" w:name="colombia-ruta-gratuita-primero-con-sena"/>
    <w:p>
      <w:pPr>
        <w:pStyle w:val="Heading3"/>
      </w:pPr>
      <w:r>
        <w:t xml:space="preserve">Colombia: ruta gratuita primero con SENA</w:t>
      </w:r>
    </w:p>
    <w:p>
      <w:pPr>
        <w:pStyle w:val="FirstParagraph"/>
      </w:pPr>
      <w:r>
        <w:t xml:space="preserve">Las ofertas actuales de SENA Betowa revisadas para esta edición muestran formación relevante en servicios financieros mediante el</w:t>
      </w:r>
      <w:r>
        <w:t xml:space="preserve"> </w:t>
      </w:r>
      <w:r>
        <w:rPr>
          <w:bCs/>
          <w:b/>
        </w:rPr>
        <w:t xml:space="preserve">Centro de Servicios Financieros</w:t>
      </w:r>
      <w:r>
        <w:t xml:space="preserve">, incluidos ejemplos como:</w:t>
      </w:r>
    </w:p>
    <w:p>
      <w:pPr>
        <w:numPr>
          <w:ilvl w:val="0"/>
          <w:numId w:val="1010"/>
        </w:numPr>
        <w:pStyle w:val="Compact"/>
      </w:pPr>
      <w:r>
        <w:rPr>
          <w:bCs/>
          <w:b/>
        </w:rPr>
        <w:t xml:space="preserve">Suministro de información y asesoría para el consumidor financiero</w:t>
      </w:r>
      <w:r>
        <w:t xml:space="preserve">;</w:t>
      </w:r>
    </w:p>
    <w:p>
      <w:pPr>
        <w:numPr>
          <w:ilvl w:val="0"/>
          <w:numId w:val="1010"/>
        </w:numPr>
        <w:pStyle w:val="Compact"/>
      </w:pPr>
      <w:r>
        <w:rPr>
          <w:bCs/>
          <w:b/>
        </w:rPr>
        <w:t xml:space="preserve">Registro contable de operaciones comerciales</w:t>
      </w:r>
      <w:r>
        <w:t xml:space="preserve">;</w:t>
      </w:r>
    </w:p>
    <w:p>
      <w:pPr>
        <w:numPr>
          <w:ilvl w:val="0"/>
          <w:numId w:val="1010"/>
        </w:numPr>
        <w:pStyle w:val="Compact"/>
      </w:pPr>
      <w:r>
        <w:rPr>
          <w:bCs/>
          <w:b/>
        </w:rPr>
        <w:t xml:space="preserve">Ingresos y gastos personales</w:t>
      </w:r>
      <w:r>
        <w:t xml:space="preserve">.</w:t>
      </w:r>
    </w:p>
    <w:p>
      <w:pPr>
        <w:pStyle w:val="FirstParagraph"/>
      </w:pPr>
      <w:r>
        <w:t xml:space="preserve">Estos ejemplos pueden ayudar a desarrollar vocabulario de servicios financieros, conciencia del consumidor, registros transaccionales, presupuestos y otros conocimientos fundamentales relacionados.</w:t>
      </w:r>
    </w:p>
    <w:p>
      <w:pPr>
        <w:pStyle w:val="BodyText"/>
      </w:pPr>
      <w:r>
        <w:t xml:space="preserve">Las ofertas de SENA son dinámicas. Disponibilidad, fechas de inscripción, ubicación, modalidad, admisión y estado del programa pueden cambiar. Busque el catálogo vigente de Betowa antes de depender de un curso. No pague a un tercero solo porque afirma tener acceso a una ruta de SENA; verifique directamente la oferta oficial.</w:t>
      </w:r>
    </w:p>
    <w:bookmarkEnd w:id="49"/>
    <w:bookmarkStart w:id="50" w:name="X3a95bc25633dfed21869e67fd20df62edc03fd1"/>
    <w:p>
      <w:pPr>
        <w:pStyle w:val="Heading3"/>
      </w:pPr>
      <w:r>
        <w:t xml:space="preserve">Estrategia de búsqueda de empleo en Colombia</w:t>
      </w:r>
    </w:p>
    <w:p>
      <w:pPr>
        <w:pStyle w:val="FirstParagraph"/>
      </w:pPr>
      <w:r>
        <w:t xml:space="preserve">Busque páginas de empleo actuales de bancos, cooperativas, instituciones financieras y operaciones de servicio al cliente. Compare títulos como cajero, auxiliar de caja, asesor de servicios, asesor financiero, servicio al cliente u otros puestos relacionados de sucursal, pero lea las funciones cuidadosamente. Algunos títulos pueden incluir ventas, crédito, cobranzas u otras responsabilidades más allá de caja.</w:t>
      </w:r>
    </w:p>
    <w:p>
      <w:r>
        <w:pict>
          <v:rect style="width:0;height:1.5pt" o:hralign="center" o:hrstd="t" o:hr="t"/>
        </w:pict>
      </w:r>
    </w:p>
    <w:bookmarkEnd w:id="50"/>
    <w:bookmarkEnd w:id="51"/>
    <w:bookmarkStart w:id="54" w:name="X39282f3efceaf01ddbfdc363664bf353d4d6025"/>
    <w:p>
      <w:pPr>
        <w:pStyle w:val="Heading2"/>
      </w:pPr>
      <w:r>
        <w:t xml:space="preserve">10. Aprendizaje gratuito y de bajo costo</w:t>
      </w:r>
    </w:p>
    <w:p>
      <w:pPr>
        <w:pStyle w:val="FirstParagraph"/>
      </w:pPr>
      <w:r>
        <w:t xml:space="preserve">Empiece por lo gratuito o financiado por el empleador.</w:t>
      </w:r>
    </w:p>
    <w:bookmarkStart w:id="52" w:name="secuencia-gratuita-primero"/>
    <w:p>
      <w:pPr>
        <w:pStyle w:val="Heading3"/>
      </w:pPr>
      <w:r>
        <w:t xml:space="preserve">Secuencia gratuita primero</w:t>
      </w:r>
    </w:p>
    <w:p>
      <w:pPr>
        <w:numPr>
          <w:ilvl w:val="0"/>
          <w:numId w:val="1011"/>
        </w:numPr>
        <w:pStyle w:val="Compact"/>
      </w:pPr>
      <w:r>
        <w:rPr>
          <w:bCs/>
          <w:b/>
        </w:rPr>
        <w:t xml:space="preserve">Inducción y formación en el trabajo del empleador.</w:t>
      </w:r>
      <w:r>
        <w:t xml:space="preserve"> </w:t>
      </w:r>
      <w:r>
        <w:t xml:space="preserve">Para funciones de caja suele ser la formación más directamente relevante porque enseña los sistemas, controles, productos y procedimientos reales de la institución.</w:t>
      </w:r>
    </w:p>
    <w:p>
      <w:pPr>
        <w:numPr>
          <w:ilvl w:val="0"/>
          <w:numId w:val="1011"/>
        </w:numPr>
        <w:pStyle w:val="Compact"/>
      </w:pPr>
      <w:r>
        <w:rPr>
          <w:bCs/>
          <w:b/>
        </w:rPr>
        <w:t xml:space="preserve">Bibliotecas públicas y recursos comunitarios.</w:t>
      </w:r>
      <w:r>
        <w:t xml:space="preserve"> </w:t>
      </w:r>
      <w:r>
        <w:t xml:space="preserve">Utilice recursos gratuitos de competencias digitales, hojas de cálculo, aritmética, alfabetización financiera, currículo y entrevistas cuando estén disponibles.</w:t>
      </w:r>
    </w:p>
    <w:p>
      <w:pPr>
        <w:numPr>
          <w:ilvl w:val="0"/>
          <w:numId w:val="1011"/>
        </w:numPr>
        <w:pStyle w:val="Compact"/>
      </w:pPr>
      <w:r>
        <w:rPr>
          <w:bCs/>
          <w:b/>
        </w:rPr>
        <w:t xml:space="preserve">Recursos ocupacionales oficiales.</w:t>
      </w:r>
      <w:r>
        <w:t xml:space="preserve"> </w:t>
      </w:r>
      <w:r>
        <w:t xml:space="preserve">BLS, O*NET, NOC de Canadá, Job Bank, SENA y sitios gubernamentales de empleo ayudan a comprender requisitos sin comprar un curso.</w:t>
      </w:r>
    </w:p>
    <w:p>
      <w:pPr>
        <w:numPr>
          <w:ilvl w:val="0"/>
          <w:numId w:val="1011"/>
        </w:numPr>
        <w:pStyle w:val="Compact"/>
      </w:pPr>
      <w:r>
        <w:rPr>
          <w:bCs/>
          <w:b/>
        </w:rPr>
        <w:t xml:space="preserve">SENA en Colombia.</w:t>
      </w:r>
      <w:r>
        <w:t xml:space="preserve"> </w:t>
      </w:r>
      <w:r>
        <w:t xml:space="preserve">Use formación pública gratuita aplicable cuando exista una oferta pertinente y abierta.</w:t>
      </w:r>
    </w:p>
    <w:p>
      <w:pPr>
        <w:numPr>
          <w:ilvl w:val="0"/>
          <w:numId w:val="1011"/>
        </w:numPr>
        <w:pStyle w:val="Compact"/>
      </w:pPr>
      <w:r>
        <w:rPr>
          <w:bCs/>
          <w:b/>
        </w:rPr>
        <w:t xml:space="preserve">Community college o escuela profesional.</w:t>
      </w:r>
      <w:r>
        <w:t xml:space="preserve"> </w:t>
      </w:r>
      <w:r>
        <w:t xml:space="preserve">Considérelo cuando las ofertas de empleo demuestren un beneficio real y estén verificados el costo, reconocimiento, resultados y financiación.</w:t>
      </w:r>
    </w:p>
    <w:p>
      <w:pPr>
        <w:numPr>
          <w:ilvl w:val="0"/>
          <w:numId w:val="1011"/>
        </w:numPr>
        <w:pStyle w:val="Compact"/>
      </w:pPr>
      <w:r>
        <w:rPr>
          <w:bCs/>
          <w:b/>
        </w:rPr>
        <w:t xml:space="preserve">Credenciales privadas pagadas.</w:t>
      </w:r>
      <w:r>
        <w:t xml:space="preserve"> </w:t>
      </w:r>
      <w:r>
        <w:t xml:space="preserve">Trátelas como opcionales salvo que los empleadores a los que desea postularse las exijan repetidamente o les otorguen un valor material.</w:t>
      </w:r>
    </w:p>
    <w:bookmarkEnd w:id="52"/>
    <w:bookmarkStart w:id="53" w:name="temas-útiles-para-practicar"/>
    <w:p>
      <w:pPr>
        <w:pStyle w:val="Heading3"/>
      </w:pPr>
      <w:r>
        <w:t xml:space="preserve">Temas útiles para practicar</w:t>
      </w:r>
    </w:p>
    <w:p>
      <w:pPr>
        <w:pStyle w:val="FirstParagraph"/>
      </w:pPr>
      <w:r>
        <w:t xml:space="preserve">Puede practicar con poco o ningún costo:</w:t>
      </w:r>
    </w:p>
    <w:p>
      <w:pPr>
        <w:numPr>
          <w:ilvl w:val="0"/>
          <w:numId w:val="1012"/>
        </w:numPr>
        <w:pStyle w:val="Compact"/>
      </w:pPr>
      <w:r>
        <w:t xml:space="preserve">porcentajes, decimales y aritmética básica;</w:t>
      </w:r>
    </w:p>
    <w:p>
      <w:pPr>
        <w:numPr>
          <w:ilvl w:val="0"/>
          <w:numId w:val="1012"/>
        </w:numPr>
        <w:pStyle w:val="Compact"/>
      </w:pPr>
      <w:r>
        <w:t xml:space="preserve">simulaciones de conteo de efectivo con montos ficticios;</w:t>
      </w:r>
    </w:p>
    <w:p>
      <w:pPr>
        <w:numPr>
          <w:ilvl w:val="0"/>
          <w:numId w:val="1012"/>
        </w:numPr>
        <w:pStyle w:val="Compact"/>
      </w:pPr>
      <w:r>
        <w:t xml:space="preserve">fundamentos de hojas de cálculo;</w:t>
      </w:r>
    </w:p>
    <w:p>
      <w:pPr>
        <w:numPr>
          <w:ilvl w:val="0"/>
          <w:numId w:val="1012"/>
        </w:numPr>
        <w:pStyle w:val="Compact"/>
      </w:pPr>
      <w:r>
        <w:t xml:space="preserve">escenarios de atención al cliente;</w:t>
      </w:r>
    </w:p>
    <w:p>
      <w:pPr>
        <w:numPr>
          <w:ilvl w:val="0"/>
          <w:numId w:val="1012"/>
        </w:numPr>
        <w:pStyle w:val="Compact"/>
      </w:pPr>
      <w:r>
        <w:t xml:space="preserve">explicaciones claras de terminología bancaria;</w:t>
      </w:r>
    </w:p>
    <w:p>
      <w:pPr>
        <w:numPr>
          <w:ilvl w:val="0"/>
          <w:numId w:val="1012"/>
        </w:numPr>
        <w:pStyle w:val="Compact"/>
      </w:pPr>
      <w:r>
        <w:t xml:space="preserve">concientización sobre phishing e ingeniería social;</w:t>
      </w:r>
    </w:p>
    <w:p>
      <w:pPr>
        <w:numPr>
          <w:ilvl w:val="0"/>
          <w:numId w:val="1012"/>
        </w:numPr>
        <w:pStyle w:val="Compact"/>
      </w:pPr>
      <w:r>
        <w:t xml:space="preserve">preguntas de entrevista;</w:t>
      </w:r>
    </w:p>
    <w:p>
      <w:pPr>
        <w:numPr>
          <w:ilvl w:val="0"/>
          <w:numId w:val="1012"/>
        </w:numPr>
        <w:pStyle w:val="Compact"/>
      </w:pPr>
      <w:r>
        <w:t xml:space="preserve">vocabulario bilingüe de servicio si es relevante para su mercado.</w:t>
      </w:r>
    </w:p>
    <w:p>
      <w:pPr>
        <w:pStyle w:val="FirstParagraph"/>
      </w:pPr>
      <w:r>
        <w:t xml:space="preserve">Nunca use información real de cuentas de clientes en un ejercicio de práctica.</w:t>
      </w:r>
    </w:p>
    <w:p>
      <w:r>
        <w:pict>
          <v:rect style="width:0;height:1.5pt" o:hralign="center" o:hrstd="t" o:hr="t"/>
        </w:pict>
      </w:r>
    </w:p>
    <w:bookmarkEnd w:id="53"/>
    <w:bookmarkEnd w:id="54"/>
    <w:bookmarkStart w:id="60" w:name="X6dd3a86aaa24278d4c349e4177dd04e3fa89ec9"/>
    <w:p>
      <w:pPr>
        <w:pStyle w:val="Heading2"/>
      </w:pPr>
      <w:r>
        <w:t xml:space="preserve">11. Financiación, becas y apoyo del empleador</w:t>
      </w:r>
    </w:p>
    <w:bookmarkStart w:id="55" w:name="X89f7db316d163c21cac365609eaa55649fb1371"/>
    <w:p>
      <w:pPr>
        <w:pStyle w:val="Heading3"/>
      </w:pPr>
      <w:r>
        <w:t xml:space="preserve">Ayuda Federal para Estudiantes de Estados Unidos</w:t>
      </w:r>
    </w:p>
    <w:p>
      <w:pPr>
        <w:pStyle w:val="FirstParagraph"/>
      </w:pPr>
      <w:r>
        <w:t xml:space="preserve">La</w:t>
      </w:r>
      <w:r>
        <w:t xml:space="preserve"> </w:t>
      </w:r>
      <w:r>
        <w:rPr>
          <w:bCs/>
          <w:b/>
        </w:rPr>
        <w:t xml:space="preserve">Free Application for Federal Student Aid (FAFSA)</w:t>
      </w:r>
      <w:r>
        <w:t xml:space="preserve"> </w:t>
      </w:r>
      <w:r>
        <w:t xml:space="preserve">puede ser pertinente si se inscribe en un programa elegible de una institución universitaria o escuela profesional participante y cumple las reglas aplicables. La ayuda federal puede incluir subvenciones, Federal Work-Study y préstamos federales para estudiantes, según elegibilidad y programa.</w:t>
      </w:r>
    </w:p>
    <w:p>
      <w:pPr>
        <w:pStyle w:val="BodyText"/>
      </w:pPr>
      <w:r>
        <w:t xml:space="preserve">No suponga que un curso corto de cajero sea elegible para ayuda federal. Verifique la institución, el programa y su elegibilidad mediante información oficial de Federal Student Aid antes de inscribirse.</w:t>
      </w:r>
    </w:p>
    <w:bookmarkEnd w:id="55"/>
    <w:bookmarkStart w:id="56" w:name="becas"/>
    <w:p>
      <w:pPr>
        <w:pStyle w:val="Heading3"/>
      </w:pPr>
      <w:r>
        <w:t xml:space="preserve">Becas</w:t>
      </w:r>
    </w:p>
    <w:p>
      <w:pPr>
        <w:pStyle w:val="FirstParagraph"/>
      </w:pPr>
      <w:r>
        <w:t xml:space="preserve">Puede haber becas mediante instituciones educativas, organizaciones comunitarias, empleadores, agencias estatales de educación superior, organizaciones profesionales o cívicas y otras fuentes verificadas. La disponibilidad es competitiva y variable. Ninguna beca debe considerarse garantizada.</w:t>
      </w:r>
    </w:p>
    <w:p>
      <w:pPr>
        <w:pStyle w:val="BodyText"/>
      </w:pPr>
      <w:r>
        <w:t xml:space="preserve">Desconfíe si un servicio de becas solicita información sensible innecesaria, promete dinero garantizado o cobra tarifas dudosas. Use fuentes oficiales o establecidas y verifique la organización.</w:t>
      </w:r>
    </w:p>
    <w:bookmarkEnd w:id="56"/>
    <w:bookmarkStart w:id="57" w:name="wioa-y-american-job-centers"/>
    <w:p>
      <w:pPr>
        <w:pStyle w:val="Heading3"/>
      </w:pPr>
      <w:r>
        <w:t xml:space="preserve">WIOA y American Job Centers</w:t>
      </w:r>
    </w:p>
    <w:p>
      <w:pPr>
        <w:pStyle w:val="FirstParagraph"/>
      </w:pPr>
      <w:r>
        <w:t xml:space="preserve">La Workforce Innovation and Opportunity Act de Estados Unidos puede apoyar modalidades elegibles de formación en competencias ocupacionales, formación en el trabajo, formación para trabajadores actuales, capacitación laboral con instrucción relacionada, actualización de competencias, reconversión y formación personalizada. La elegibilidad depende de la persona, las reglas locales de empleo, el proveedor y el programa.</w:t>
      </w:r>
    </w:p>
    <w:p>
      <w:pPr>
        <w:pStyle w:val="BodyText"/>
      </w:pPr>
      <w:r>
        <w:t xml:space="preserve">Antes de pagar por un programa porque alguien afirma que “WIOA lo cubrirá”, contacte un</w:t>
      </w:r>
      <w:r>
        <w:t xml:space="preserve"> </w:t>
      </w:r>
      <w:r>
        <w:rPr>
          <w:bCs/>
          <w:b/>
        </w:rPr>
        <w:t xml:space="preserve">American Job Center</w:t>
      </w:r>
      <w:r>
        <w:t xml:space="preserve"> </w:t>
      </w:r>
      <w:r>
        <w:t xml:space="preserve">y verifique el programa y proveedor exactos.</w:t>
      </w:r>
    </w:p>
    <w:bookmarkEnd w:id="57"/>
    <w:bookmarkStart w:id="58" w:name="asistencia-educativa-del-empleador"/>
    <w:p>
      <w:pPr>
        <w:pStyle w:val="Heading3"/>
      </w:pPr>
      <w:r>
        <w:t xml:space="preserve">Asistencia educativa del empleador</w:t>
      </w:r>
    </w:p>
    <w:p>
      <w:pPr>
        <w:pStyle w:val="FirstParagraph"/>
      </w:pPr>
      <w:r>
        <w:t xml:space="preserve">Algunos empleadores ofrecen reembolso de matrícula u otros beneficios educativos. Bajo un programa de asistencia educativa que cumpla con</w:t>
      </w:r>
      <w:r>
        <w:t xml:space="preserve"> </w:t>
      </w:r>
      <w:r>
        <w:rPr>
          <w:bCs/>
          <w:b/>
        </w:rPr>
        <w:t xml:space="preserve">Internal Revenue Code Section 127</w:t>
      </w:r>
      <w:r>
        <w:t xml:space="preserve">, hasta</w:t>
      </w:r>
      <w:r>
        <w:t xml:space="preserve"> </w:t>
      </w:r>
      <w:r>
        <w:rPr>
          <w:bCs/>
          <w:b/>
        </w:rPr>
        <w:t xml:space="preserve">USD 5,250</w:t>
      </w:r>
      <w:r>
        <w:t xml:space="preserve"> </w:t>
      </w:r>
      <w:r>
        <w:t xml:space="preserve">de asistencia educativa elegible proporcionada por el empleador puede excluirse del ingreso bruto del empleado durante los años calendario 2025 y 2026, sujeto a las reglas aplicables y a los términos del plan.</w:t>
      </w:r>
    </w:p>
    <w:p>
      <w:pPr>
        <w:pStyle w:val="BodyText"/>
      </w:pPr>
      <w:r>
        <w:t xml:space="preserve">Esto</w:t>
      </w:r>
      <w:r>
        <w:t xml:space="preserve"> </w:t>
      </w:r>
      <w:r>
        <w:rPr>
          <w:bCs/>
          <w:b/>
        </w:rPr>
        <w:t xml:space="preserve">no</w:t>
      </w:r>
      <w:r>
        <w:t xml:space="preserve"> </w:t>
      </w:r>
      <w:r>
        <w:t xml:space="preserve">significa que todo empleador ofrezca USD 5,250, que todo curso sea elegible ni que todo empleado cumpla los requisitos. Solicite al empleador los términos escritos del plan antes de inscribirse o asumir un reembolso.</w:t>
      </w:r>
    </w:p>
    <w:bookmarkEnd w:id="58"/>
    <w:bookmarkStart w:id="59" w:name="canadá-y-américa-latina"/>
    <w:p>
      <w:pPr>
        <w:pStyle w:val="Heading3"/>
      </w:pPr>
      <w:r>
        <w:t xml:space="preserve">Canadá y América Latina</w:t>
      </w:r>
    </w:p>
    <w:p>
      <w:pPr>
        <w:pStyle w:val="FirstParagraph"/>
      </w:pPr>
      <w:r>
        <w:t xml:space="preserve">Los sistemas de financiación varían por jurisdicción. Revise recursos provinciales, territoriales, nacionales, de instituciones educativas, agencias de empleo, empleadores y comunidades. En Colombia, SENA puede reducir o eliminar la necesidad de pagar por formación fundamental cuando exista una oferta oficial adecuada.</w:t>
      </w:r>
    </w:p>
    <w:p>
      <w:r>
        <w:pict>
          <v:rect style="width:0;height:1.5pt" o:hralign="center" o:hrstd="t" o:hr="t"/>
        </w:pict>
      </w:r>
    </w:p>
    <w:bookmarkEnd w:id="59"/>
    <w:bookmarkEnd w:id="60"/>
    <w:bookmarkStart w:id="62" w:name="X54b770ad8850ed4e6ef2e8587cfc2c3f4efe0bb"/>
    <w:p>
      <w:pPr>
        <w:pStyle w:val="Heading2"/>
      </w:pPr>
      <w:r>
        <w:t xml:space="preserve">12. Aprendizaje y formación basada en el trabajo</w:t>
      </w:r>
    </w:p>
    <w:p>
      <w:pPr>
        <w:pStyle w:val="FirstParagraph"/>
      </w:pPr>
      <w:r>
        <w:t xml:space="preserve">El aprendizaje en el trabajo es muy relevante para servicios financieros, pero la evidencia federal actual de Estados Unidos exige redactar con cautela cualquier afirmación sobre Registered Apprenticeship específico para cajeros.</w:t>
      </w:r>
    </w:p>
    <w:p>
      <w:pPr>
        <w:pStyle w:val="BodyText"/>
      </w:pPr>
      <w:r>
        <w:t xml:space="preserve">En el momento de esta revisión,</w:t>
      </w:r>
      <w:r>
        <w:t xml:space="preserve"> </w:t>
      </w:r>
      <w:r>
        <w:rPr>
          <w:bCs/>
          <w:b/>
        </w:rPr>
        <w:t xml:space="preserve">Apprenticeship.gov contiene señales contradictorias respecto a cajeros</w:t>
      </w:r>
      <w:r>
        <w:t xml:space="preserve">:</w:t>
      </w:r>
    </w:p>
    <w:p>
      <w:pPr>
        <w:numPr>
          <w:ilvl w:val="0"/>
          <w:numId w:val="1013"/>
        </w:numPr>
        <w:pStyle w:val="Compact"/>
      </w:pPr>
      <w:r>
        <w:t xml:space="preserve">su página Occupation Finder para</w:t>
      </w:r>
      <w:r>
        <w:t xml:space="preserve"> </w:t>
      </w:r>
      <w:r>
        <w:rPr>
          <w:bCs/>
          <w:b/>
        </w:rPr>
        <w:t xml:space="preserve">43-3071.00 Tellers</w:t>
      </w:r>
      <w:r>
        <w:t xml:space="preserve"> </w:t>
      </w:r>
      <w:r>
        <w:t xml:space="preserve">indica que la ocupación</w:t>
      </w:r>
      <w:r>
        <w:t xml:space="preserve"> </w:t>
      </w:r>
      <w:r>
        <w:rPr>
          <w:bCs/>
          <w:b/>
        </w:rPr>
        <w:t xml:space="preserve">no está aprobada actualmente para uso en un Registered Apprenticeship Program</w:t>
      </w:r>
      <w:r>
        <w:t xml:space="preserve">;</w:t>
      </w:r>
    </w:p>
    <w:p>
      <w:pPr>
        <w:numPr>
          <w:ilvl w:val="0"/>
          <w:numId w:val="1013"/>
        </w:numPr>
        <w:pStyle w:val="Compact"/>
      </w:pPr>
      <w:r>
        <w:t xml:space="preserve">su página de la industria Financial Services incluye</w:t>
      </w:r>
      <w:r>
        <w:t xml:space="preserve"> </w:t>
      </w:r>
      <w:r>
        <w:rPr>
          <w:bCs/>
          <w:b/>
        </w:rPr>
        <w:t xml:space="preserve">Bank Teller</w:t>
      </w:r>
      <w:r>
        <w:t xml:space="preserve"> </w:t>
      </w:r>
      <w:r>
        <w:t xml:space="preserve">entre ocupaciones de alta demanda para apprenticeship;</w:t>
      </w:r>
    </w:p>
    <w:p>
      <w:pPr>
        <w:numPr>
          <w:ilvl w:val="0"/>
          <w:numId w:val="1013"/>
        </w:numPr>
        <w:pStyle w:val="Compact"/>
      </w:pPr>
      <w:r>
        <w:t xml:space="preserve">un evento de National Apprenticeship Week de 2026 describió un apprenticeship de cajero que involucraba a Elgin Community College y Consumers Credit Union.</w:t>
      </w:r>
    </w:p>
    <w:p>
      <w:pPr>
        <w:pStyle w:val="FirstParagraph"/>
      </w:pPr>
      <w:r>
        <w:t xml:space="preserve">Debido a que esas páginas federales no están completamente alineadas, no se base en una afirmación genérica de que “bank teller es una ocupación Registered Apprenticeship”, ni suponga lo contrario para todos los programas actuales.</w:t>
      </w:r>
    </w:p>
    <w:bookmarkStart w:id="61" w:name="qué-hacer-en-su-lugar"/>
    <w:p>
      <w:pPr>
        <w:pStyle w:val="Heading3"/>
      </w:pPr>
      <w:r>
        <w:t xml:space="preserve">Qué hacer en su lugar</w:t>
      </w:r>
    </w:p>
    <w:p>
      <w:pPr>
        <w:pStyle w:val="FirstParagraph"/>
      </w:pPr>
      <w:r>
        <w:t xml:space="preserve">Si un empleador, institución educativa o intermediario anuncia un apprenticeship de cajero:</w:t>
      </w:r>
    </w:p>
    <w:p>
      <w:pPr>
        <w:numPr>
          <w:ilvl w:val="0"/>
          <w:numId w:val="1014"/>
        </w:numPr>
        <w:pStyle w:val="Compact"/>
      </w:pPr>
      <w:r>
        <w:t xml:space="preserve">solicite el nombre exacto del programa y del patrocinador;</w:t>
      </w:r>
    </w:p>
    <w:p>
      <w:pPr>
        <w:numPr>
          <w:ilvl w:val="0"/>
          <w:numId w:val="1014"/>
        </w:numPr>
        <w:pStyle w:val="Compact"/>
      </w:pPr>
      <w:r>
        <w:t xml:space="preserve">verifique si el programa está registrado;</w:t>
      </w:r>
    </w:p>
    <w:p>
      <w:pPr>
        <w:numPr>
          <w:ilvl w:val="0"/>
          <w:numId w:val="1014"/>
        </w:numPr>
        <w:pStyle w:val="Compact"/>
      </w:pPr>
      <w:r>
        <w:t xml:space="preserve">verifique la ocupación bajo la cual está registrado el aprendiz;</w:t>
      </w:r>
    </w:p>
    <w:p>
      <w:pPr>
        <w:numPr>
          <w:ilvl w:val="0"/>
          <w:numId w:val="1014"/>
        </w:numPr>
        <w:pStyle w:val="Compact"/>
      </w:pPr>
      <w:r>
        <w:t xml:space="preserve">confirme la oficina estatal o federal de apprenticeship responsable;</w:t>
      </w:r>
    </w:p>
    <w:p>
      <w:pPr>
        <w:numPr>
          <w:ilvl w:val="0"/>
          <w:numId w:val="1014"/>
        </w:numPr>
        <w:pStyle w:val="Compact"/>
      </w:pPr>
      <w:r>
        <w:t xml:space="preserve">obtenga información escrita sobre salarios, formación, duración, costos y obligaciones antes de comprometerse.</w:t>
      </w:r>
    </w:p>
    <w:p>
      <w:pPr>
        <w:pStyle w:val="FirstParagraph"/>
      </w:pPr>
      <w:r>
        <w:t xml:space="preserve">Aunque un puesto no sea Registered Apprenticeship, una inducción estructurada del empleador, capacitación pagada, observación laboral, mentoría y otras formas de aprendizaje en el trabajo pueden ser valiosas. La etiqueta importa porque Registered Apprenticeship tiene un estatus específico; no use ese término de forma informal.</w:t>
      </w:r>
    </w:p>
    <w:p>
      <w:r>
        <w:pict>
          <v:rect style="width:0;height:1.5pt" o:hralign="center" o:hrstd="t" o:hr="t"/>
        </w:pict>
      </w:r>
    </w:p>
    <w:bookmarkEnd w:id="61"/>
    <w:bookmarkEnd w:id="62"/>
    <w:bookmarkStart w:id="67" w:name="Xb66f4bf274e65b986b23048f8074e0ae5b8416f"/>
    <w:p>
      <w:pPr>
        <w:pStyle w:val="Heading2"/>
      </w:pPr>
      <w:r>
        <w:t xml:space="preserve">13. Investigación de ingresos y mercado laboral</w:t>
      </w:r>
    </w:p>
    <w:p>
      <w:pPr>
        <w:pStyle w:val="FirstParagraph"/>
      </w:pPr>
      <w:r>
        <w:t xml:space="preserve">Las cifras de ingresos son referencias de investigación, no garantías salariales. Distinga siempre estadísticas oficiales de estimaciones privadas.</w:t>
      </w:r>
    </w:p>
    <w:bookmarkStart w:id="63" w:name="estados-unidos--referencia-oficial"/>
    <w:p>
      <w:pPr>
        <w:pStyle w:val="Heading3"/>
      </w:pPr>
      <w:r>
        <w:t xml:space="preserve">Estados Unidos — referencia oficial</w:t>
      </w:r>
    </w:p>
    <w:p>
      <w:pPr>
        <w:pStyle w:val="FirstParagraph"/>
      </w:pPr>
      <w:r>
        <w:t xml:space="preserve">El Occupational Outlook Handbook de BLS reporta para cajeros:</w:t>
      </w:r>
    </w:p>
    <w:p>
      <w:pPr>
        <w:numPr>
          <w:ilvl w:val="0"/>
          <w:numId w:val="1015"/>
        </w:numPr>
        <w:pStyle w:val="Compact"/>
      </w:pPr>
      <w:r>
        <w:rPr>
          <w:bCs/>
          <w:b/>
        </w:rPr>
        <w:t xml:space="preserve">salario mediano en mayo de 2024:</w:t>
      </w:r>
      <w:r>
        <w:t xml:space="preserve"> </w:t>
      </w:r>
      <w:r>
        <w:t xml:space="preserve">USD 39,340/año;</w:t>
      </w:r>
    </w:p>
    <w:p>
      <w:pPr>
        <w:numPr>
          <w:ilvl w:val="0"/>
          <w:numId w:val="1015"/>
        </w:numPr>
        <w:pStyle w:val="Compact"/>
      </w:pPr>
      <w:r>
        <w:rPr>
          <w:bCs/>
          <w:b/>
        </w:rPr>
        <w:t xml:space="preserve">salario mediano por hora en mayo de 2024:</w:t>
      </w:r>
      <w:r>
        <w:t xml:space="preserve"> </w:t>
      </w:r>
      <w:r>
        <w:t xml:space="preserve">USD 18.91/hora;</w:t>
      </w:r>
    </w:p>
    <w:p>
      <w:pPr>
        <w:numPr>
          <w:ilvl w:val="0"/>
          <w:numId w:val="1015"/>
        </w:numPr>
        <w:pStyle w:val="Compact"/>
      </w:pPr>
      <w:r>
        <w:rPr>
          <w:bCs/>
          <w:b/>
        </w:rPr>
        <w:t xml:space="preserve">empleo en 2024:</w:t>
      </w:r>
      <w:r>
        <w:t xml:space="preserve"> </w:t>
      </w:r>
      <w:r>
        <w:t xml:space="preserve">aproximadamente 347,400;</w:t>
      </w:r>
    </w:p>
    <w:p>
      <w:pPr>
        <w:numPr>
          <w:ilvl w:val="0"/>
          <w:numId w:val="1015"/>
        </w:numPr>
        <w:pStyle w:val="Compact"/>
      </w:pPr>
      <w:r>
        <w:rPr>
          <w:bCs/>
          <w:b/>
        </w:rPr>
        <w:t xml:space="preserve">cambio de empleo 2024-2034:</w:t>
      </w:r>
      <w:r>
        <w:t xml:space="preserve"> </w:t>
      </w:r>
      <w:r>
        <w:t xml:space="preserve">-13%;</w:t>
      </w:r>
    </w:p>
    <w:p>
      <w:pPr>
        <w:numPr>
          <w:ilvl w:val="0"/>
          <w:numId w:val="1015"/>
        </w:numPr>
        <w:pStyle w:val="Compact"/>
      </w:pPr>
      <w:r>
        <w:rPr>
          <w:bCs/>
          <w:b/>
        </w:rPr>
        <w:t xml:space="preserve">vacantes anuales promedio:</w:t>
      </w:r>
      <w:r>
        <w:t xml:space="preserve"> </w:t>
      </w:r>
      <w:r>
        <w:t xml:space="preserve">aproximadamente 29,800, principalmente por reemplazo.</w:t>
      </w:r>
    </w:p>
    <w:p>
      <w:pPr>
        <w:pStyle w:val="FirstParagraph"/>
      </w:pPr>
      <w:r>
        <w:t xml:space="preserve">La estructura ocupacional OEWS de BLS de mayo de 2025 confirma</w:t>
      </w:r>
      <w:r>
        <w:t xml:space="preserve"> </w:t>
      </w:r>
      <w:r>
        <w:rPr>
          <w:bCs/>
          <w:b/>
        </w:rPr>
        <w:t xml:space="preserve">43-3071 Tellers</w:t>
      </w:r>
      <w:r>
        <w:t xml:space="preserve"> </w:t>
      </w:r>
      <w:r>
        <w:t xml:space="preserve">como ocupación. Este maestro de trabajo deliberadamente</w:t>
      </w:r>
      <w:r>
        <w:t xml:space="preserve"> </w:t>
      </w:r>
      <w:r>
        <w:rPr>
          <w:bCs/>
          <w:b/>
        </w:rPr>
        <w:t xml:space="preserve">no</w:t>
      </w:r>
      <w:r>
        <w:t xml:space="preserve"> </w:t>
      </w:r>
      <w:r>
        <w:t xml:space="preserve">presenta un salario de cajero de mayo de 2025 como cifra ocupacional de BLS directamente verificada porque la fase de investigación controlada no capturó la tabla salarial directa de BLS. Esa omisión es intencional y no un error.</w:t>
      </w:r>
    </w:p>
    <w:bookmarkEnd w:id="63"/>
    <w:bookmarkStart w:id="64" w:name="X2fa199460019800431d86a173c3db54e4ad6f28"/>
    <w:p>
      <w:pPr>
        <w:pStyle w:val="Heading3"/>
      </w:pPr>
      <w:r>
        <w:t xml:space="preserve">Estados Unidos — estimaciones no gubernamentales actuales</w:t>
      </w:r>
    </w:p>
    <w:p>
      <w:pPr>
        <w:pStyle w:val="FirstParagraph"/>
      </w:pPr>
      <w:r>
        <w:t xml:space="preserve">Las siguientes cifras fueron revisadas como estimaciones privadas de mercado. Sus métodos son distintos, por lo que no deben promediarse ni presentarse como estadísticas gubernamentales.</w:t>
      </w:r>
    </w:p>
    <w:p>
      <w:pPr>
        <w:numPr>
          <w:ilvl w:val="0"/>
          <w:numId w:val="1016"/>
        </w:numPr>
        <w:pStyle w:val="Compact"/>
      </w:pPr>
      <w:r>
        <w:rPr>
          <w:bCs/>
          <w:b/>
        </w:rPr>
        <w:t xml:space="preserve">Indeed:</w:t>
      </w:r>
      <w:r>
        <w:t xml:space="preserve"> </w:t>
      </w:r>
      <w:r>
        <w:t xml:space="preserve">USD 19.25/hora de salario base promedio; página actualizada el 20 de julio de 2026 y basada en aproximadamente 15.2 mil salarios provenientes de ofertas durante los 36 meses anteriores.</w:t>
      </w:r>
    </w:p>
    <w:p>
      <w:pPr>
        <w:numPr>
          <w:ilvl w:val="0"/>
          <w:numId w:val="1016"/>
        </w:numPr>
        <w:pStyle w:val="Compact"/>
      </w:pPr>
      <w:r>
        <w:rPr>
          <w:bCs/>
          <w:b/>
        </w:rPr>
        <w:t xml:space="preserve">ZipRecruiter:</w:t>
      </w:r>
      <w:r>
        <w:t xml:space="preserve"> </w:t>
      </w:r>
      <w:r>
        <w:t xml:space="preserve">USD 36,351/año en promedio, aproximadamente USD 17.48/hora; estado de página revisado el 27 de julio de 2026, con un rango central reportado de aproximadamente USD 32,000-40,000.</w:t>
      </w:r>
    </w:p>
    <w:p>
      <w:pPr>
        <w:numPr>
          <w:ilvl w:val="0"/>
          <w:numId w:val="1016"/>
        </w:numPr>
        <w:pStyle w:val="Compact"/>
      </w:pPr>
      <w:r>
        <w:rPr>
          <w:bCs/>
          <w:b/>
        </w:rPr>
        <w:t xml:space="preserve">Salary.com:</w:t>
      </w:r>
      <w:r>
        <w:t xml:space="preserve"> </w:t>
      </w:r>
      <w:r>
        <w:t xml:space="preserve">USD 37,557/año en promedio, aproximadamente USD 18/hora; la fuente indica</w:t>
      </w:r>
      <w:r>
        <w:t xml:space="preserve"> </w:t>
      </w:r>
      <w:r>
        <w:rPr>
          <w:bCs/>
          <w:b/>
        </w:rPr>
        <w:t xml:space="preserve">As of July 01, 2026</w:t>
      </w:r>
      <w:r>
        <w:t xml:space="preserve">.</w:t>
      </w:r>
    </w:p>
    <w:p>
      <w:pPr>
        <w:pStyle w:val="FirstParagraph"/>
      </w:pPr>
      <w:r>
        <w:t xml:space="preserve">Las páginas privadas de salarios cambian con frecuencia. Vuelva a verificarlas antes de publicar o usarlas en una negociación individual.</w:t>
      </w:r>
    </w:p>
    <w:bookmarkEnd w:id="64"/>
    <w:bookmarkStart w:id="65" w:name="canadá--referencia-oficial"/>
    <w:p>
      <w:pPr>
        <w:pStyle w:val="Heading3"/>
      </w:pPr>
      <w:r>
        <w:t xml:space="preserve">Canadá — referencia oficial</w:t>
      </w:r>
    </w:p>
    <w:p>
      <w:pPr>
        <w:pStyle w:val="FirstParagraph"/>
      </w:pPr>
      <w:r>
        <w:t xml:space="preserve">Los datos de Job Bank del Gobierno de Canadá revisados para esta edición reportan salarios nacionales de cajeros bancarios de:</w:t>
      </w:r>
    </w:p>
    <w:p>
      <w:pPr>
        <w:numPr>
          <w:ilvl w:val="0"/>
          <w:numId w:val="1017"/>
        </w:numPr>
        <w:pStyle w:val="Compact"/>
      </w:pPr>
      <w:r>
        <w:rPr>
          <w:bCs/>
          <w:b/>
        </w:rPr>
        <w:t xml:space="preserve">C$18.00/hora bajo</w:t>
      </w:r>
      <w:r>
        <w:t xml:space="preserve">;</w:t>
      </w:r>
    </w:p>
    <w:p>
      <w:pPr>
        <w:numPr>
          <w:ilvl w:val="0"/>
          <w:numId w:val="1017"/>
        </w:numPr>
        <w:pStyle w:val="Compact"/>
      </w:pPr>
      <w:r>
        <w:rPr>
          <w:bCs/>
          <w:b/>
        </w:rPr>
        <w:t xml:space="preserve">C$22.50/hora mediano</w:t>
      </w:r>
      <w:r>
        <w:t xml:space="preserve">;</w:t>
      </w:r>
    </w:p>
    <w:p>
      <w:pPr>
        <w:numPr>
          <w:ilvl w:val="0"/>
          <w:numId w:val="1017"/>
        </w:numPr>
        <w:pStyle w:val="Compact"/>
      </w:pPr>
      <w:r>
        <w:rPr>
          <w:bCs/>
          <w:b/>
        </w:rPr>
        <w:t xml:space="preserve">C$30.67/hora alto</w:t>
      </w:r>
      <w:r>
        <w:t xml:space="preserve">.</w:t>
      </w:r>
    </w:p>
    <w:p>
      <w:pPr>
        <w:pStyle w:val="FirstParagraph"/>
      </w:pPr>
      <w:r>
        <w:t xml:space="preserve">La página salarial fue modificada el 2 de junio de 2026; identifica la actualización salarial como del 19 de noviembre de 2025 y el periodo de referencia como Labour Force Survey 2023-2024.</w:t>
      </w:r>
    </w:p>
    <w:bookmarkEnd w:id="65"/>
    <w:bookmarkStart w:id="66" w:name="cómo-usar-la-investigación-salarial"/>
    <w:p>
      <w:pPr>
        <w:pStyle w:val="Heading3"/>
      </w:pPr>
      <w:r>
        <w:t xml:space="preserve">Cómo usar la investigación salarial</w:t>
      </w:r>
    </w:p>
    <w:p>
      <w:pPr>
        <w:pStyle w:val="FirstParagraph"/>
      </w:pPr>
      <w:r>
        <w:t xml:space="preserve">Antes de aceptar una oferta, compare:</w:t>
      </w:r>
    </w:p>
    <w:p>
      <w:pPr>
        <w:numPr>
          <w:ilvl w:val="0"/>
          <w:numId w:val="1018"/>
        </w:numPr>
        <w:pStyle w:val="Compact"/>
      </w:pPr>
      <w:r>
        <w:t xml:space="preserve">salario base;</w:t>
      </w:r>
    </w:p>
    <w:p>
      <w:pPr>
        <w:numPr>
          <w:ilvl w:val="0"/>
          <w:numId w:val="1018"/>
        </w:numPr>
        <w:pStyle w:val="Compact"/>
      </w:pPr>
      <w:r>
        <w:t xml:space="preserve">horas garantizadas;</w:t>
      </w:r>
    </w:p>
    <w:p>
      <w:pPr>
        <w:numPr>
          <w:ilvl w:val="0"/>
          <w:numId w:val="1018"/>
        </w:numPr>
        <w:pStyle w:val="Compact"/>
      </w:pPr>
      <w:r>
        <w:t xml:space="preserve">horario;</w:t>
      </w:r>
    </w:p>
    <w:p>
      <w:pPr>
        <w:numPr>
          <w:ilvl w:val="0"/>
          <w:numId w:val="1018"/>
        </w:numPr>
        <w:pStyle w:val="Compact"/>
      </w:pPr>
      <w:r>
        <w:t xml:space="preserve">estructura de bonos o incentivos, si existe;</w:t>
      </w:r>
    </w:p>
    <w:p>
      <w:pPr>
        <w:numPr>
          <w:ilvl w:val="0"/>
          <w:numId w:val="1018"/>
        </w:numPr>
        <w:pStyle w:val="Compact"/>
      </w:pPr>
      <w:r>
        <w:t xml:space="preserve">beneficios;</w:t>
      </w:r>
    </w:p>
    <w:p>
      <w:pPr>
        <w:numPr>
          <w:ilvl w:val="0"/>
          <w:numId w:val="1018"/>
        </w:numPr>
        <w:pStyle w:val="Compact"/>
      </w:pPr>
      <w:r>
        <w:t xml:space="preserve">costos de transporte o trabajo remoto;</w:t>
      </w:r>
    </w:p>
    <w:p>
      <w:pPr>
        <w:numPr>
          <w:ilvl w:val="0"/>
          <w:numId w:val="1018"/>
        </w:numPr>
        <w:pStyle w:val="Compact"/>
      </w:pPr>
      <w:r>
        <w:t xml:space="preserve">costos de formación;</w:t>
      </w:r>
    </w:p>
    <w:p>
      <w:pPr>
        <w:numPr>
          <w:ilvl w:val="0"/>
          <w:numId w:val="1018"/>
        </w:numPr>
        <w:pStyle w:val="Compact"/>
      </w:pPr>
      <w:r>
        <w:t xml:space="preserve">oportunidades de progresión;</w:t>
      </w:r>
    </w:p>
    <w:p>
      <w:pPr>
        <w:numPr>
          <w:ilvl w:val="0"/>
          <w:numId w:val="1018"/>
        </w:numPr>
        <w:pStyle w:val="Compact"/>
      </w:pPr>
      <w:r>
        <w:t xml:space="preserve">responsabilidades adicionales al trabajo rutinario de caja.</w:t>
      </w:r>
    </w:p>
    <w:p>
      <w:pPr>
        <w:pStyle w:val="FirstParagraph"/>
      </w:pPr>
      <w:r>
        <w:t xml:space="preserve">Un salario por hora ligeramente mayor puede no ser la mejor oferta si las horas son inestables, la formación no es pagada o el puesto añade responsabilidades importantes sin progresión clara.</w:t>
      </w:r>
    </w:p>
    <w:p>
      <w:r>
        <w:pict>
          <v:rect style="width:0;height:1.5pt" o:hralign="center" o:hrstd="t" o:hr="t"/>
        </w:pict>
      </w:r>
    </w:p>
    <w:bookmarkEnd w:id="66"/>
    <w:bookmarkEnd w:id="67"/>
    <w:bookmarkStart w:id="71" w:name="Xa8ed5b4508596ab73740b1d11df34bcda62e935"/>
    <w:p>
      <w:pPr>
        <w:pStyle w:val="Heading2"/>
      </w:pPr>
      <w:r>
        <w:t xml:space="preserve">14. Accesibilidad y adaptaciones</w:t>
      </w:r>
    </w:p>
    <w:p>
      <w:pPr>
        <w:pStyle w:val="FirstParagraph"/>
      </w:pPr>
      <w:r>
        <w:t xml:space="preserve">Una carrera en servicios financieros no debe volverse innecesariamente difícil por un mal diseño del aprendizaje.</w:t>
      </w:r>
    </w:p>
    <w:bookmarkStart w:id="68" w:name="estrategias-de-aprendizaje-accesible"/>
    <w:p>
      <w:pPr>
        <w:pStyle w:val="Heading3"/>
      </w:pPr>
      <w:r>
        <w:t xml:space="preserve">Estrategias de aprendizaje accesible</w:t>
      </w:r>
    </w:p>
    <w:p>
      <w:pPr>
        <w:pStyle w:val="FirstParagraph"/>
      </w:pPr>
      <w:r>
        <w:t xml:space="preserve">Si le beneficia material más estructurado:</w:t>
      </w:r>
    </w:p>
    <w:p>
      <w:pPr>
        <w:numPr>
          <w:ilvl w:val="0"/>
          <w:numId w:val="1019"/>
        </w:numPr>
        <w:pStyle w:val="Compact"/>
      </w:pPr>
      <w:r>
        <w:t xml:space="preserve">divida los procedimientos en pasos numerados cortos;</w:t>
      </w:r>
    </w:p>
    <w:p>
      <w:pPr>
        <w:numPr>
          <w:ilvl w:val="0"/>
          <w:numId w:val="1019"/>
        </w:numPr>
        <w:pStyle w:val="Compact"/>
      </w:pPr>
      <w:r>
        <w:t xml:space="preserve">use listas de verificación para tareas repetidas;</w:t>
      </w:r>
    </w:p>
    <w:p>
      <w:pPr>
        <w:numPr>
          <w:ilvl w:val="0"/>
          <w:numId w:val="1019"/>
        </w:numPr>
        <w:pStyle w:val="Compact"/>
      </w:pPr>
      <w:r>
        <w:t xml:space="preserve">defina siglas antes de usarlas;</w:t>
      </w:r>
    </w:p>
    <w:p>
      <w:pPr>
        <w:numPr>
          <w:ilvl w:val="0"/>
          <w:numId w:val="1019"/>
        </w:numPr>
        <w:pStyle w:val="Compact"/>
      </w:pPr>
      <w:r>
        <w:t xml:space="preserve">practique un tipo de transacción a la vez con datos ficticios;</w:t>
      </w:r>
    </w:p>
    <w:p>
      <w:pPr>
        <w:numPr>
          <w:ilvl w:val="0"/>
          <w:numId w:val="1019"/>
        </w:numPr>
        <w:pStyle w:val="Compact"/>
      </w:pPr>
      <w:r>
        <w:t xml:space="preserve">use notas en lenguaje claro junto a la redacción formal de políticas;</w:t>
      </w:r>
    </w:p>
    <w:p>
      <w:pPr>
        <w:numPr>
          <w:ilvl w:val="0"/>
          <w:numId w:val="1019"/>
        </w:numPr>
        <w:pStyle w:val="Compact"/>
      </w:pPr>
      <w:r>
        <w:t xml:space="preserve">pida procedimientos por escrito cuando estén disponibles;</w:t>
      </w:r>
    </w:p>
    <w:p>
      <w:pPr>
        <w:numPr>
          <w:ilvl w:val="0"/>
          <w:numId w:val="1019"/>
        </w:numPr>
        <w:pStyle w:val="Compact"/>
      </w:pPr>
      <w:r>
        <w:t xml:space="preserve">use recordatorios de calendario y ayudas de tareas que cumplan las reglas de seguridad del empleador;</w:t>
      </w:r>
    </w:p>
    <w:p>
      <w:pPr>
        <w:numPr>
          <w:ilvl w:val="0"/>
          <w:numId w:val="1019"/>
        </w:numPr>
        <w:pStyle w:val="Compact"/>
      </w:pPr>
      <w:r>
        <w:t xml:space="preserve">ensaye explicaciones para clientes en voz alta antes de utilizarlas en el trabajo.</w:t>
      </w:r>
    </w:p>
    <w:bookmarkEnd w:id="68"/>
    <w:bookmarkStart w:id="69" w:name="adaptaciones-en-el-lugar-de-trabajo"/>
    <w:p>
      <w:pPr>
        <w:pStyle w:val="Heading3"/>
      </w:pPr>
      <w:r>
        <w:t xml:space="preserve">Adaptaciones en el lugar de trabajo</w:t>
      </w:r>
    </w:p>
    <w:p>
      <w:pPr>
        <w:pStyle w:val="FirstParagraph"/>
      </w:pPr>
      <w:r>
        <w:t xml:space="preserve">Los derechos y procesos de adaptación dependen de la jurisdicción y de las circunstancias individuales. Si necesita una adaptación, utilice el proceso formal del empleador o institución educativa y consulte a la autoridad oficial correspondiente de su jurisdicción. No suponga que una adaptación específica esté disponible automáticamente ni que deba revelar más información de la exigida por el proceso aplicable.</w:t>
      </w:r>
    </w:p>
    <w:bookmarkEnd w:id="69"/>
    <w:bookmarkStart w:id="70" w:name="control-de-accesibilidad-de-esta-guía"/>
    <w:p>
      <w:pPr>
        <w:pStyle w:val="Heading3"/>
      </w:pPr>
      <w:r>
        <w:t xml:space="preserve">Control de accesibilidad de esta guía</w:t>
      </w:r>
    </w:p>
    <w:p>
      <w:pPr>
        <w:pStyle w:val="FirstParagraph"/>
      </w:pPr>
      <w:r>
        <w:t xml:space="preserve">Las instrucciones críticas se expresan con palabras y no solo mediante color. Los encabezados son descriptivos, se limitan las abreviaturas, el material específico por país está identificado y las advertencias aparecen antes de decisiones que implican datos sensibles o costos.</w:t>
      </w:r>
    </w:p>
    <w:p>
      <w:r>
        <w:pict>
          <v:rect style="width:0;height:1.5pt" o:hralign="center" o:hrstd="t" o:hr="t"/>
        </w:pict>
      </w:r>
    </w:p>
    <w:bookmarkEnd w:id="70"/>
    <w:bookmarkEnd w:id="71"/>
    <w:bookmarkStart w:id="77" w:name="Xd2699675d297bc93d888bd6ce6dc08e72e1eb70"/>
    <w:p>
      <w:pPr>
        <w:pStyle w:val="Heading2"/>
      </w:pPr>
      <w:r>
        <w:t xml:space="preserve">15. Privacidad, ciberseguridad y concientización sobre fraude</w:t>
      </w:r>
    </w:p>
    <w:p>
      <w:pPr>
        <w:pStyle w:val="FirstParagraph"/>
      </w:pPr>
      <w:r>
        <w:t xml:space="preserve">El personal financiero de primera línea maneja información y sistemas que tienen valor para delincuentes. Un buen servicio al cliente también exige comportamiento de seguridad disciplinado.</w:t>
      </w:r>
    </w:p>
    <w:bookmarkStart w:id="72" w:name="proteja-la-información-del-cliente"/>
    <w:p>
      <w:pPr>
        <w:pStyle w:val="Heading3"/>
      </w:pPr>
      <w:r>
        <w:t xml:space="preserve">Proteja la información del cliente</w:t>
      </w:r>
    </w:p>
    <w:p>
      <w:pPr>
        <w:pStyle w:val="FirstParagraph"/>
      </w:pPr>
      <w:r>
        <w:t xml:space="preserve">Siga las reglas del empleador para nombres, direcciones, números de cuenta, saldos, registros de transacciones, documentos de identidad, información de contacto, datos de autenticación y demás información protegida. Acceda solo a lo que esté autorizado a consultar para fines legítimos de trabajo.</w:t>
      </w:r>
    </w:p>
    <w:bookmarkEnd w:id="72"/>
    <w:bookmarkStart w:id="73" w:name="autenticación"/>
    <w:p>
      <w:pPr>
        <w:pStyle w:val="Heading3"/>
      </w:pPr>
      <w:r>
        <w:t xml:space="preserve">Autenticación</w:t>
      </w:r>
    </w:p>
    <w:p>
      <w:pPr>
        <w:pStyle w:val="FirstParagraph"/>
      </w:pPr>
      <w:r>
        <w:t xml:space="preserve">Use el proceso aprobado por la institución. No debilite verificaciones de identidad porque un cliente tenga prisa, parezca conocido o se moleste. No solicite ni registre secretos de autenticación que, según la política, usted no deba conocer.</w:t>
      </w:r>
    </w:p>
    <w:bookmarkEnd w:id="73"/>
    <w:bookmarkStart w:id="74" w:name="ingeniería-social"/>
    <w:p>
      <w:pPr>
        <w:pStyle w:val="Heading3"/>
      </w:pPr>
      <w:r>
        <w:t xml:space="preserve">Ingeniería social</w:t>
      </w:r>
    </w:p>
    <w:p>
      <w:pPr>
        <w:pStyle w:val="FirstParagraph"/>
      </w:pPr>
      <w:r>
        <w:t xml:space="preserve">Esté atento a tácticas de presión, urgencia, suplantación, instrucciones inusuales, solicitudes para omitir procedimientos normales e intentos de obtener información confidencial. Escale según la política en lugar de confrontar o investigar más allá de su función.</w:t>
      </w:r>
    </w:p>
    <w:bookmarkEnd w:id="74"/>
    <w:bookmarkStart w:id="75" w:name="indicadores-de-fraude"/>
    <w:p>
      <w:pPr>
        <w:pStyle w:val="Heading3"/>
      </w:pPr>
      <w:r>
        <w:t xml:space="preserve">Indicadores de fraude</w:t>
      </w:r>
    </w:p>
    <w:p>
      <w:pPr>
        <w:pStyle w:val="FirstParagraph"/>
      </w:pPr>
      <w:r>
        <w:t xml:space="preserve">Puede encontrar transacciones o comportamientos que parezcan inusuales. Su responsabilidad es seguir los procedimientos del empleador, documentar adecuadamente y escalar. No prometa a un cliente que algo es o no es fraude cuando esa determinación corresponde a otra función.</w:t>
      </w:r>
    </w:p>
    <w:bookmarkEnd w:id="75"/>
    <w:bookmarkStart w:id="76" w:name="uso-seguro-de-sistemas"/>
    <w:p>
      <w:pPr>
        <w:pStyle w:val="Heading3"/>
      </w:pPr>
      <w:r>
        <w:t xml:space="preserve">Uso seguro de sistemas</w:t>
      </w:r>
    </w:p>
    <w:p>
      <w:pPr>
        <w:numPr>
          <w:ilvl w:val="0"/>
          <w:numId w:val="1020"/>
        </w:numPr>
        <w:pStyle w:val="Compact"/>
      </w:pPr>
      <w:r>
        <w:t xml:space="preserve">use únicamente dispositivos, software y canales de comunicación aprobados;</w:t>
      </w:r>
    </w:p>
    <w:p>
      <w:pPr>
        <w:numPr>
          <w:ilvl w:val="0"/>
          <w:numId w:val="1020"/>
        </w:numPr>
        <w:pStyle w:val="Compact"/>
      </w:pPr>
      <w:r>
        <w:t xml:space="preserve">bloquee su estación de trabajo cuando corresponda;</w:t>
      </w:r>
    </w:p>
    <w:p>
      <w:pPr>
        <w:numPr>
          <w:ilvl w:val="0"/>
          <w:numId w:val="1020"/>
        </w:numPr>
        <w:pStyle w:val="Compact"/>
      </w:pPr>
      <w:r>
        <w:t xml:space="preserve">proteja contraseñas y factores de autenticación;</w:t>
      </w:r>
    </w:p>
    <w:p>
      <w:pPr>
        <w:numPr>
          <w:ilvl w:val="0"/>
          <w:numId w:val="1020"/>
        </w:numPr>
        <w:pStyle w:val="Compact"/>
      </w:pPr>
      <w:r>
        <w:t xml:space="preserve">no instale software no aprobado;</w:t>
      </w:r>
    </w:p>
    <w:p>
      <w:pPr>
        <w:numPr>
          <w:ilvl w:val="0"/>
          <w:numId w:val="1020"/>
        </w:numPr>
        <w:pStyle w:val="Compact"/>
      </w:pPr>
      <w:r>
        <w:t xml:space="preserve">no envíe datos de clientes a correo o almacenamiento personal;</w:t>
      </w:r>
    </w:p>
    <w:p>
      <w:pPr>
        <w:numPr>
          <w:ilvl w:val="0"/>
          <w:numId w:val="1020"/>
        </w:numPr>
        <w:pStyle w:val="Compact"/>
      </w:pPr>
      <w:r>
        <w:t xml:space="preserve">reporte mensajes sospechosos e incidentes de seguridad por los canales aprobados;</w:t>
      </w:r>
    </w:p>
    <w:p>
      <w:pPr>
        <w:numPr>
          <w:ilvl w:val="0"/>
          <w:numId w:val="1020"/>
        </w:numPr>
        <w:pStyle w:val="Compact"/>
      </w:pPr>
      <w:r>
        <w:t xml:space="preserve">no fotografíe, copie ni conserve registros de clientes para uso personal.</w:t>
      </w:r>
    </w:p>
    <w:p>
      <w:r>
        <w:pict>
          <v:rect style="width:0;height:1.5pt" o:hralign="center" o:hrstd="t" o:hr="t"/>
        </w:pict>
      </w:r>
    </w:p>
    <w:bookmarkEnd w:id="76"/>
    <w:bookmarkEnd w:id="77"/>
    <w:bookmarkStart w:id="81" w:name="X7ce3b614b32410879da95db8126e8ac04e8526b"/>
    <w:p>
      <w:pPr>
        <w:pStyle w:val="Heading2"/>
      </w:pPr>
      <w:r>
        <w:t xml:space="preserve">16. Uso responsable de IA</w:t>
      </w:r>
    </w:p>
    <w:p>
      <w:pPr>
        <w:pStyle w:val="FirstParagraph"/>
      </w:pPr>
      <w:r>
        <w:t xml:space="preserve">La IA generativa puede ayudar al aprendizaje, pero el trabajo en servicios financieros impone límites estrictos de privacidad y confiabilidad.</w:t>
      </w:r>
    </w:p>
    <w:bookmarkStart w:id="78" w:name="Xb01786bf29474dc61b966ae0312cf5b08ed6080"/>
    <w:p>
      <w:pPr>
        <w:pStyle w:val="Heading3"/>
      </w:pPr>
      <w:r>
        <w:t xml:space="preserve">Usos de menor riesgo con información ficticia o pública</w:t>
      </w:r>
    </w:p>
    <w:p>
      <w:pPr>
        <w:pStyle w:val="FirstParagraph"/>
      </w:pPr>
      <w:r>
        <w:t xml:space="preserve">La IA puede ser útil para:</w:t>
      </w:r>
    </w:p>
    <w:p>
      <w:pPr>
        <w:numPr>
          <w:ilvl w:val="0"/>
          <w:numId w:val="1021"/>
        </w:numPr>
        <w:pStyle w:val="Compact"/>
      </w:pPr>
      <w:r>
        <w:t xml:space="preserve">practicar entrevistas;</w:t>
      </w:r>
    </w:p>
    <w:p>
      <w:pPr>
        <w:numPr>
          <w:ilvl w:val="0"/>
          <w:numId w:val="1021"/>
        </w:numPr>
        <w:pStyle w:val="Compact"/>
      </w:pPr>
      <w:r>
        <w:t xml:space="preserve">elaborar planes de estudio;</w:t>
      </w:r>
    </w:p>
    <w:p>
      <w:pPr>
        <w:numPr>
          <w:ilvl w:val="0"/>
          <w:numId w:val="1021"/>
        </w:numPr>
        <w:pStyle w:val="Compact"/>
      </w:pPr>
      <w:r>
        <w:t xml:space="preserve">explicar terminología bancaria general;</w:t>
      </w:r>
    </w:p>
    <w:p>
      <w:pPr>
        <w:numPr>
          <w:ilvl w:val="0"/>
          <w:numId w:val="1021"/>
        </w:numPr>
        <w:pStyle w:val="Compact"/>
      </w:pPr>
      <w:r>
        <w:t xml:space="preserve">practicar conversaciones de servicio al cliente usando datos ficticios;</w:t>
      </w:r>
    </w:p>
    <w:p>
      <w:pPr>
        <w:numPr>
          <w:ilvl w:val="0"/>
          <w:numId w:val="1021"/>
        </w:numPr>
        <w:pStyle w:val="Compact"/>
      </w:pPr>
      <w:r>
        <w:t xml:space="preserve">practicar gramática o escritura con texto no confidencial;</w:t>
      </w:r>
    </w:p>
    <w:p>
      <w:pPr>
        <w:numPr>
          <w:ilvl w:val="0"/>
          <w:numId w:val="1021"/>
        </w:numPr>
        <w:pStyle w:val="Compact"/>
      </w:pPr>
      <w:r>
        <w:t xml:space="preserve">generar ejercicios de aritmética;</w:t>
      </w:r>
    </w:p>
    <w:p>
      <w:pPr>
        <w:numPr>
          <w:ilvl w:val="0"/>
          <w:numId w:val="1021"/>
        </w:numPr>
        <w:pStyle w:val="Compact"/>
      </w:pPr>
      <w:r>
        <w:t xml:space="preserve">idear preguntas para un reclutador o proveedor de formación.</w:t>
      </w:r>
    </w:p>
    <w:bookmarkEnd w:id="78"/>
    <w:bookmarkStart w:id="79" w:name="X4d2b7aca85b21f46fe80912cbc1eb2bb9ddcde3"/>
    <w:p>
      <w:pPr>
        <w:pStyle w:val="Heading3"/>
      </w:pPr>
      <w:r>
        <w:t xml:space="preserve">No introduzca información protegida en herramientas públicas de IA</w:t>
      </w:r>
    </w:p>
    <w:p>
      <w:pPr>
        <w:pStyle w:val="FirstParagraph"/>
      </w:pPr>
      <w:r>
        <w:t xml:space="preserve">No copie ni cargue información real como:</w:t>
      </w:r>
    </w:p>
    <w:p>
      <w:pPr>
        <w:numPr>
          <w:ilvl w:val="0"/>
          <w:numId w:val="1022"/>
        </w:numPr>
        <w:pStyle w:val="Compact"/>
      </w:pPr>
      <w:r>
        <w:t xml:space="preserve">nombres o identificadores de clientes;</w:t>
      </w:r>
    </w:p>
    <w:p>
      <w:pPr>
        <w:numPr>
          <w:ilvl w:val="0"/>
          <w:numId w:val="1022"/>
        </w:numPr>
        <w:pStyle w:val="Compact"/>
      </w:pPr>
      <w:r>
        <w:t xml:space="preserve">números de cuenta;</w:t>
      </w:r>
    </w:p>
    <w:p>
      <w:pPr>
        <w:numPr>
          <w:ilvl w:val="0"/>
          <w:numId w:val="1022"/>
        </w:numPr>
        <w:pStyle w:val="Compact"/>
      </w:pPr>
      <w:r>
        <w:t xml:space="preserve">saldos;</w:t>
      </w:r>
    </w:p>
    <w:p>
      <w:pPr>
        <w:numPr>
          <w:ilvl w:val="0"/>
          <w:numId w:val="1022"/>
        </w:numPr>
        <w:pStyle w:val="Compact"/>
      </w:pPr>
      <w:r>
        <w:t xml:space="preserve">registros de transacciones;</w:t>
      </w:r>
    </w:p>
    <w:p>
      <w:pPr>
        <w:numPr>
          <w:ilvl w:val="0"/>
          <w:numId w:val="1022"/>
        </w:numPr>
        <w:pStyle w:val="Compact"/>
      </w:pPr>
      <w:r>
        <w:t xml:space="preserve">documentos de identificación;</w:t>
      </w:r>
    </w:p>
    <w:p>
      <w:pPr>
        <w:numPr>
          <w:ilvl w:val="0"/>
          <w:numId w:val="1022"/>
        </w:numPr>
        <w:pStyle w:val="Compact"/>
      </w:pPr>
      <w:r>
        <w:t xml:space="preserve">contraseñas o datos de autenticación;</w:t>
      </w:r>
    </w:p>
    <w:p>
      <w:pPr>
        <w:numPr>
          <w:ilvl w:val="0"/>
          <w:numId w:val="1022"/>
        </w:numPr>
        <w:pStyle w:val="Compact"/>
      </w:pPr>
      <w:r>
        <w:t xml:space="preserve">procedimientos internos bancarios que no sean públicos;</w:t>
      </w:r>
    </w:p>
    <w:p>
      <w:pPr>
        <w:numPr>
          <w:ilvl w:val="0"/>
          <w:numId w:val="1022"/>
        </w:numPr>
        <w:pStyle w:val="Compact"/>
      </w:pPr>
      <w:r>
        <w:t xml:space="preserve">detalles de actividad sospechosa;</w:t>
      </w:r>
    </w:p>
    <w:p>
      <w:pPr>
        <w:numPr>
          <w:ilvl w:val="0"/>
          <w:numId w:val="1022"/>
        </w:numPr>
        <w:pStyle w:val="Compact"/>
      </w:pPr>
      <w:r>
        <w:t xml:space="preserve">información confidencial del empleador;</w:t>
      </w:r>
    </w:p>
    <w:p>
      <w:pPr>
        <w:numPr>
          <w:ilvl w:val="0"/>
          <w:numId w:val="1022"/>
        </w:numPr>
        <w:pStyle w:val="Compact"/>
      </w:pPr>
      <w:r>
        <w:t xml:space="preserve">capturas de pantalla que contengan datos protegidos.</w:t>
      </w:r>
    </w:p>
    <w:bookmarkEnd w:id="79"/>
    <w:bookmarkStart w:id="80" w:name="Xb56451cc3995551b2ba2bb16dcc18e28208dfd7"/>
    <w:p>
      <w:pPr>
        <w:pStyle w:val="Heading3"/>
      </w:pPr>
      <w:r>
        <w:t xml:space="preserve">La IA no reemplaza políticas ni criterio autorizado</w:t>
      </w:r>
    </w:p>
    <w:p>
      <w:pPr>
        <w:pStyle w:val="FirstParagraph"/>
      </w:pPr>
      <w:r>
        <w:t xml:space="preserve">El contenido generado por IA puede estar incompleto, desactualizado o ser incorrecto. No debe reemplazar políticas del empleador, sistemas financieros aprobados, procesos de cumplimiento, revisión humana ni decisiones autorizadas. Nunca use IA para inventar una excepción de política ni justificar saltarse un control.</w:t>
      </w:r>
    </w:p>
    <w:p>
      <w:pPr>
        <w:pStyle w:val="BodyText"/>
      </w:pPr>
      <w:r>
        <w:t xml:space="preserve">Si el empleador proporciona un sistema empresarial de IA aprobado, siga sus requisitos de clasificación de datos, uso aceptable, privacidad, seguridad y revisión humana.</w:t>
      </w:r>
    </w:p>
    <w:p>
      <w:r>
        <w:pict>
          <v:rect style="width:0;height:1.5pt" o:hralign="center" o:hrstd="t" o:hr="t"/>
        </w:pict>
      </w:r>
    </w:p>
    <w:bookmarkEnd w:id="80"/>
    <w:bookmarkEnd w:id="81"/>
    <w:bookmarkStart w:id="86" w:name="X355b7d1a168b2c1b0f0100f0b7621193eaf5ed0"/>
    <w:p>
      <w:pPr>
        <w:pStyle w:val="Heading2"/>
      </w:pPr>
      <w:r>
        <w:t xml:space="preserve">17. Búsqueda de empleo y preparación para entrevistas</w:t>
      </w:r>
    </w:p>
    <w:bookmarkStart w:id="82" w:name="prepare-un-currículo-dirigido"/>
    <w:p>
      <w:pPr>
        <w:pStyle w:val="Heading3"/>
      </w:pPr>
      <w:r>
        <w:t xml:space="preserve">Prepare un currículo dirigido</w:t>
      </w:r>
    </w:p>
    <w:p>
      <w:pPr>
        <w:pStyle w:val="FirstParagraph"/>
      </w:pPr>
      <w:r>
        <w:t xml:space="preserve">Para un puesto inicial de cajero o servicios para miembros, destaque evidencia verdadera de:</w:t>
      </w:r>
    </w:p>
    <w:p>
      <w:pPr>
        <w:numPr>
          <w:ilvl w:val="0"/>
          <w:numId w:val="1023"/>
        </w:numPr>
        <w:pStyle w:val="Compact"/>
      </w:pPr>
      <w:r>
        <w:t xml:space="preserve">servicio al cliente;</w:t>
      </w:r>
    </w:p>
    <w:p>
      <w:pPr>
        <w:numPr>
          <w:ilvl w:val="0"/>
          <w:numId w:val="1023"/>
        </w:numPr>
        <w:pStyle w:val="Compact"/>
      </w:pPr>
      <w:r>
        <w:t xml:space="preserve">manejo de efectivo;</w:t>
      </w:r>
    </w:p>
    <w:p>
      <w:pPr>
        <w:numPr>
          <w:ilvl w:val="0"/>
          <w:numId w:val="1023"/>
        </w:numPr>
        <w:pStyle w:val="Compact"/>
      </w:pPr>
      <w:r>
        <w:t xml:space="preserve">cuadre o exactitud de registros;</w:t>
      </w:r>
    </w:p>
    <w:p>
      <w:pPr>
        <w:numPr>
          <w:ilvl w:val="0"/>
          <w:numId w:val="1023"/>
        </w:numPr>
        <w:pStyle w:val="Compact"/>
      </w:pPr>
      <w:r>
        <w:t xml:space="preserve">confidencialidad;</w:t>
      </w:r>
    </w:p>
    <w:p>
      <w:pPr>
        <w:numPr>
          <w:ilvl w:val="0"/>
          <w:numId w:val="1023"/>
        </w:numPr>
        <w:pStyle w:val="Compact"/>
      </w:pPr>
      <w:r>
        <w:t xml:space="preserve">confiabilidad y asistencia;</w:t>
      </w:r>
    </w:p>
    <w:p>
      <w:pPr>
        <w:numPr>
          <w:ilvl w:val="0"/>
          <w:numId w:val="1023"/>
        </w:numPr>
        <w:pStyle w:val="Compact"/>
      </w:pPr>
      <w:r>
        <w:t xml:space="preserve">competencias digitales;</w:t>
      </w:r>
    </w:p>
    <w:p>
      <w:pPr>
        <w:numPr>
          <w:ilvl w:val="0"/>
          <w:numId w:val="1023"/>
        </w:numPr>
        <w:pStyle w:val="Compact"/>
      </w:pPr>
      <w:r>
        <w:t xml:space="preserve">resolución de problemas;</w:t>
      </w:r>
    </w:p>
    <w:p>
      <w:pPr>
        <w:numPr>
          <w:ilvl w:val="0"/>
          <w:numId w:val="1023"/>
        </w:numPr>
        <w:pStyle w:val="Compact"/>
      </w:pPr>
      <w:r>
        <w:t xml:space="preserve">conocimiento de fraude o seguridad;</w:t>
      </w:r>
    </w:p>
    <w:p>
      <w:pPr>
        <w:numPr>
          <w:ilvl w:val="0"/>
          <w:numId w:val="1023"/>
        </w:numPr>
        <w:pStyle w:val="Compact"/>
      </w:pPr>
      <w:r>
        <w:t xml:space="preserve">comunicación bilingüe cuando sea pertinente;</w:t>
      </w:r>
    </w:p>
    <w:p>
      <w:pPr>
        <w:numPr>
          <w:ilvl w:val="0"/>
          <w:numId w:val="1023"/>
        </w:numPr>
        <w:pStyle w:val="Compact"/>
      </w:pPr>
      <w:r>
        <w:t xml:space="preserve">experiencia siguiendo procedimientos en un entorno controlado.</w:t>
      </w:r>
    </w:p>
    <w:p>
      <w:pPr>
        <w:pStyle w:val="FirstParagraph"/>
      </w:pPr>
      <w:r>
        <w:t xml:space="preserve">No afirme tener experiencia bancaria, credenciales, licencias, volúmenes de efectivo, tasas de error o resultados de desempeño que no pueda respaldar.</w:t>
      </w:r>
    </w:p>
    <w:bookmarkEnd w:id="82"/>
    <w:bookmarkStart w:id="83" w:name="busque-por-funciones-no-solo-por-títulos"/>
    <w:p>
      <w:pPr>
        <w:pStyle w:val="Heading3"/>
      </w:pPr>
      <w:r>
        <w:t xml:space="preserve">Busque por funciones, no solo por títulos</w:t>
      </w:r>
    </w:p>
    <w:p>
      <w:pPr>
        <w:pStyle w:val="FirstParagraph"/>
      </w:pPr>
      <w:r>
        <w:t xml:space="preserve">Use varios títulos. Compare “teller”, “member services representative”, “financial services representative”, “customer service representative — financial institution” y otros puestos relacionados de sucursal. Lea cuidadosamente las funciones para identificar expectativas de ventas, crédito, cobranzas, apertura de cuentas o licencias.</w:t>
      </w:r>
    </w:p>
    <w:bookmarkEnd w:id="83"/>
    <w:bookmarkStart w:id="84" w:name="práctica-de-entrevista"/>
    <w:p>
      <w:pPr>
        <w:pStyle w:val="Heading3"/>
      </w:pPr>
      <w:r>
        <w:t xml:space="preserve">Práctica de entrevista</w:t>
      </w:r>
    </w:p>
    <w:p>
      <w:pPr>
        <w:pStyle w:val="FirstParagraph"/>
      </w:pPr>
      <w:r>
        <w:t xml:space="preserve">Prepare ejemplos concisos para preguntas como:</w:t>
      </w:r>
    </w:p>
    <w:p>
      <w:pPr>
        <w:numPr>
          <w:ilvl w:val="0"/>
          <w:numId w:val="1024"/>
        </w:numPr>
        <w:pStyle w:val="Compact"/>
      </w:pPr>
      <w:r>
        <w:t xml:space="preserve">Cuénteme sobre una ocasión en que atendió una inquietud de un cliente.</w:t>
      </w:r>
    </w:p>
    <w:p>
      <w:pPr>
        <w:numPr>
          <w:ilvl w:val="0"/>
          <w:numId w:val="1024"/>
        </w:numPr>
        <w:pStyle w:val="Compact"/>
      </w:pPr>
      <w:r>
        <w:t xml:space="preserve">¿Cómo mantiene la exactitud cuando el trabajo se vuelve intenso?</w:t>
      </w:r>
    </w:p>
    <w:p>
      <w:pPr>
        <w:numPr>
          <w:ilvl w:val="0"/>
          <w:numId w:val="1024"/>
        </w:numPr>
        <w:pStyle w:val="Compact"/>
      </w:pPr>
      <w:r>
        <w:t xml:space="preserve">¿Qué haría si una transacción no pareciera correcta?</w:t>
      </w:r>
    </w:p>
    <w:p>
      <w:pPr>
        <w:numPr>
          <w:ilvl w:val="0"/>
          <w:numId w:val="1024"/>
        </w:numPr>
        <w:pStyle w:val="Compact"/>
      </w:pPr>
      <w:r>
        <w:t xml:space="preserve">¿Cómo respondería si un cliente le pidiera omitir un paso de seguridad?</w:t>
      </w:r>
    </w:p>
    <w:p>
      <w:pPr>
        <w:numPr>
          <w:ilvl w:val="0"/>
          <w:numId w:val="1024"/>
        </w:numPr>
        <w:pStyle w:val="Compact"/>
      </w:pPr>
      <w:r>
        <w:t xml:space="preserve">Cuénteme sobre una ocasión en que protegió información confidencial.</w:t>
      </w:r>
    </w:p>
    <w:p>
      <w:pPr>
        <w:numPr>
          <w:ilvl w:val="0"/>
          <w:numId w:val="1024"/>
        </w:numPr>
        <w:pStyle w:val="Compact"/>
      </w:pPr>
      <w:r>
        <w:t xml:space="preserve">¿Cómo maneja una discrepancia de efectivo o registros?</w:t>
      </w:r>
    </w:p>
    <w:p>
      <w:pPr>
        <w:numPr>
          <w:ilvl w:val="0"/>
          <w:numId w:val="1024"/>
        </w:numPr>
        <w:pStyle w:val="Compact"/>
      </w:pPr>
      <w:r>
        <w:t xml:space="preserve">¿Cómo aprende un nuevo sistema o procedimiento informático?</w:t>
      </w:r>
    </w:p>
    <w:p>
      <w:pPr>
        <w:pStyle w:val="FirstParagraph"/>
      </w:pPr>
      <w:r>
        <w:t xml:space="preserve">Una respuesta sólida demuestra atención al cliente</w:t>
      </w:r>
      <w:r>
        <w:t xml:space="preserve"> </w:t>
      </w:r>
      <w:r>
        <w:rPr>
          <w:bCs/>
          <w:b/>
        </w:rPr>
        <w:t xml:space="preserve">y</w:t>
      </w:r>
      <w:r>
        <w:t xml:space="preserve"> </w:t>
      </w:r>
      <w:r>
        <w:t xml:space="preserve">disciplina de procedimientos. Ante una excepción de seguridad, el instinto correcto suele ser detenerse, verificar y escalar, no improvisar.</w:t>
      </w:r>
    </w:p>
    <w:bookmarkEnd w:id="84"/>
    <w:bookmarkStart w:id="85" w:name="evalúe-también-al-empleador"/>
    <w:p>
      <w:pPr>
        <w:pStyle w:val="Heading3"/>
      </w:pPr>
      <w:r>
        <w:t xml:space="preserve">Evalúe también al empleador</w:t>
      </w:r>
    </w:p>
    <w:p>
      <w:pPr>
        <w:pStyle w:val="FirstParagraph"/>
      </w:pPr>
      <w:r>
        <w:t xml:space="preserve">Pregunte sobre:</w:t>
      </w:r>
    </w:p>
    <w:p>
      <w:pPr>
        <w:numPr>
          <w:ilvl w:val="0"/>
          <w:numId w:val="1025"/>
        </w:numPr>
        <w:pStyle w:val="Compact"/>
      </w:pPr>
      <w:r>
        <w:t xml:space="preserve">inducción y formación pagadas;</w:t>
      </w:r>
    </w:p>
    <w:p>
      <w:pPr>
        <w:numPr>
          <w:ilvl w:val="0"/>
          <w:numId w:val="1025"/>
        </w:numPr>
        <w:pStyle w:val="Compact"/>
      </w:pPr>
      <w:r>
        <w:t xml:space="preserve">horario esperado y horas garantizadas;</w:t>
      </w:r>
    </w:p>
    <w:p>
      <w:pPr>
        <w:numPr>
          <w:ilvl w:val="0"/>
          <w:numId w:val="1025"/>
        </w:numPr>
        <w:pStyle w:val="Compact"/>
      </w:pPr>
      <w:r>
        <w:t xml:space="preserve">métricas de desempeño;</w:t>
      </w:r>
    </w:p>
    <w:p>
      <w:pPr>
        <w:numPr>
          <w:ilvl w:val="0"/>
          <w:numId w:val="1025"/>
        </w:numPr>
        <w:pStyle w:val="Compact"/>
      </w:pPr>
      <w:r>
        <w:t xml:space="preserve">expectativas de manejo de efectivo;</w:t>
      </w:r>
    </w:p>
    <w:p>
      <w:pPr>
        <w:numPr>
          <w:ilvl w:val="0"/>
          <w:numId w:val="1025"/>
        </w:numPr>
        <w:pStyle w:val="Compact"/>
      </w:pPr>
      <w:r>
        <w:t xml:space="preserve">expectativas de ventas o remisiones;</w:t>
      </w:r>
    </w:p>
    <w:p>
      <w:pPr>
        <w:numPr>
          <w:ilvl w:val="0"/>
          <w:numId w:val="1025"/>
        </w:numPr>
        <w:pStyle w:val="Compact"/>
      </w:pPr>
      <w:r>
        <w:t xml:space="preserve">rutas de progresión;</w:t>
      </w:r>
    </w:p>
    <w:p>
      <w:pPr>
        <w:numPr>
          <w:ilvl w:val="0"/>
          <w:numId w:val="1025"/>
        </w:numPr>
        <w:pStyle w:val="Compact"/>
      </w:pPr>
      <w:r>
        <w:t xml:space="preserve">apoyo para matrícula o educación;</w:t>
      </w:r>
    </w:p>
    <w:p>
      <w:pPr>
        <w:numPr>
          <w:ilvl w:val="0"/>
          <w:numId w:val="1025"/>
        </w:numPr>
        <w:pStyle w:val="Compact"/>
      </w:pPr>
      <w:r>
        <w:t xml:space="preserve">requisitos de licencia o registro específicos del puesto;</w:t>
      </w:r>
    </w:p>
    <w:p>
      <w:pPr>
        <w:numPr>
          <w:ilvl w:val="0"/>
          <w:numId w:val="1025"/>
        </w:numPr>
        <w:pStyle w:val="Compact"/>
      </w:pPr>
      <w:r>
        <w:t xml:space="preserve">si los costos de formación deben reembolsarse si usted se retira.</w:t>
      </w:r>
    </w:p>
    <w:p>
      <w:pPr>
        <w:pStyle w:val="FirstParagraph"/>
      </w:pPr>
      <w:r>
        <w:t xml:space="preserve">Obtenga por escrito cualquier término importante de devolución o reembolso.</w:t>
      </w:r>
    </w:p>
    <w:p>
      <w:r>
        <w:pict>
          <v:rect style="width:0;height:1.5pt" o:hralign="center" o:hrstd="t" o:hr="t"/>
        </w:pict>
      </w:r>
    </w:p>
    <w:bookmarkEnd w:id="85"/>
    <w:bookmarkEnd w:id="86"/>
    <w:bookmarkStart w:id="94" w:name="X2ca97d81675675736572ac9f7f7c1ba0304981a"/>
    <w:p>
      <w:pPr>
        <w:pStyle w:val="Heading2"/>
      </w:pPr>
      <w:r>
        <w:t xml:space="preserve">18. Plan de entrada de doce semanas y opciones de progresión</w:t>
      </w:r>
    </w:p>
    <w:p>
      <w:pPr>
        <w:pStyle w:val="FirstParagraph"/>
      </w:pPr>
      <w:r>
        <w:t xml:space="preserve">Este es un plan de ejemplo, no una garantía de empleo.</w:t>
      </w:r>
    </w:p>
    <w:bookmarkStart w:id="87" w:name="semanas-1-2--comprenda-el-puesto"/>
    <w:p>
      <w:pPr>
        <w:pStyle w:val="Heading3"/>
      </w:pPr>
      <w:r>
        <w:t xml:space="preserve">Semanas 1-2 — Comprenda el puesto</w:t>
      </w:r>
    </w:p>
    <w:p>
      <w:pPr>
        <w:numPr>
          <w:ilvl w:val="0"/>
          <w:numId w:val="1026"/>
        </w:numPr>
        <w:pStyle w:val="Compact"/>
      </w:pPr>
      <w:r>
        <w:t xml:space="preserve">Lea O*NET 43-3071.00 y el perfil de cajeros de BLS.</w:t>
      </w:r>
    </w:p>
    <w:p>
      <w:pPr>
        <w:numPr>
          <w:ilvl w:val="0"/>
          <w:numId w:val="1026"/>
        </w:numPr>
        <w:pStyle w:val="Compact"/>
      </w:pPr>
      <w:r>
        <w:t xml:space="preserve">Lea entre 10 y 20 descripciones de puestos actuales en su ubicación objetivo.</w:t>
      </w:r>
    </w:p>
    <w:p>
      <w:pPr>
        <w:numPr>
          <w:ilvl w:val="0"/>
          <w:numId w:val="1026"/>
        </w:numPr>
        <w:pStyle w:val="Compact"/>
      </w:pPr>
      <w:r>
        <w:t xml:space="preserve">Anote requisitos y funciones repetidos.</w:t>
      </w:r>
    </w:p>
    <w:p>
      <w:pPr>
        <w:numPr>
          <w:ilvl w:val="0"/>
          <w:numId w:val="1026"/>
        </w:numPr>
        <w:pStyle w:val="Compact"/>
      </w:pPr>
      <w:r>
        <w:t xml:space="preserve">Identifique qué títulos son realmente similares a caja y cuáles son puestos más amplios.</w:t>
      </w:r>
    </w:p>
    <w:bookmarkEnd w:id="87"/>
    <w:bookmarkStart w:id="88" w:name="X2f02d1fddc27c4423b96b037b94c25d355cfcc3"/>
    <w:p>
      <w:pPr>
        <w:pStyle w:val="Heading3"/>
      </w:pPr>
      <w:r>
        <w:t xml:space="preserve">Semanas 3-4 — Desarrolle competencias básicas</w:t>
      </w:r>
    </w:p>
    <w:p>
      <w:pPr>
        <w:numPr>
          <w:ilvl w:val="0"/>
          <w:numId w:val="1027"/>
        </w:numPr>
        <w:pStyle w:val="Compact"/>
      </w:pPr>
      <w:r>
        <w:t xml:space="preserve">Repase porcentajes, decimales, suma, resta y cuadre.</w:t>
      </w:r>
    </w:p>
    <w:p>
      <w:pPr>
        <w:numPr>
          <w:ilvl w:val="0"/>
          <w:numId w:val="1027"/>
        </w:numPr>
        <w:pStyle w:val="Compact"/>
      </w:pPr>
      <w:r>
        <w:t xml:space="preserve">Practique comunicación de servicio al cliente.</w:t>
      </w:r>
    </w:p>
    <w:p>
      <w:pPr>
        <w:numPr>
          <w:ilvl w:val="0"/>
          <w:numId w:val="1027"/>
        </w:numPr>
        <w:pStyle w:val="Compact"/>
      </w:pPr>
      <w:r>
        <w:t xml:space="preserve">Mejore digitación, entrada de datos, hojas de cálculo y correo laboral.</w:t>
      </w:r>
    </w:p>
    <w:p>
      <w:pPr>
        <w:numPr>
          <w:ilvl w:val="0"/>
          <w:numId w:val="1027"/>
        </w:numPr>
        <w:pStyle w:val="Compact"/>
      </w:pPr>
      <w:r>
        <w:t xml:space="preserve">Estudie conceptos básicos de phishing, ingeniería social, privacidad y concientización sobre fraude.</w:t>
      </w:r>
    </w:p>
    <w:bookmarkEnd w:id="88"/>
    <w:bookmarkStart w:id="89" w:name="X708f6b15f2536d7b04cd8d1a58d528837b845bb"/>
    <w:p>
      <w:pPr>
        <w:pStyle w:val="Heading3"/>
      </w:pPr>
      <w:r>
        <w:t xml:space="preserve">Semanas 5-6 — Use primero formación gratuita</w:t>
      </w:r>
    </w:p>
    <w:p>
      <w:pPr>
        <w:numPr>
          <w:ilvl w:val="0"/>
          <w:numId w:val="1028"/>
        </w:numPr>
        <w:pStyle w:val="Compact"/>
      </w:pPr>
      <w:r>
        <w:t xml:space="preserve">Revise opciones de formación proporcionadas por empleadores.</w:t>
      </w:r>
    </w:p>
    <w:p>
      <w:pPr>
        <w:numPr>
          <w:ilvl w:val="0"/>
          <w:numId w:val="1028"/>
        </w:numPr>
        <w:pStyle w:val="Compact"/>
      </w:pPr>
      <w:r>
        <w:t xml:space="preserve">En Colombia, revise ofertas vigentes de servicios financieros en SENA Betowa.</w:t>
      </w:r>
    </w:p>
    <w:p>
      <w:pPr>
        <w:numPr>
          <w:ilvl w:val="0"/>
          <w:numId w:val="1028"/>
        </w:numPr>
        <w:pStyle w:val="Compact"/>
      </w:pPr>
      <w:r>
        <w:t xml:space="preserve">En Estados Unidos, explore recursos de American Job Centers si necesita apoyo para formación.</w:t>
      </w:r>
    </w:p>
    <w:p>
      <w:pPr>
        <w:numPr>
          <w:ilvl w:val="0"/>
          <w:numId w:val="1028"/>
        </w:numPr>
        <w:pStyle w:val="Compact"/>
      </w:pPr>
      <w:r>
        <w:t xml:space="preserve">Use bibliotecas o recursos comunitarios para competencias digitales y búsqueda de empleo.</w:t>
      </w:r>
    </w:p>
    <w:bookmarkEnd w:id="89"/>
    <w:bookmarkStart w:id="90" w:name="X1b7ec57240d59151dc841a94a3e50cf73e7dfe2"/>
    <w:p>
      <w:pPr>
        <w:pStyle w:val="Heading3"/>
      </w:pPr>
      <w:r>
        <w:t xml:space="preserve">Semanas 7-8 — Prepare materiales de postulación</w:t>
      </w:r>
    </w:p>
    <w:p>
      <w:pPr>
        <w:numPr>
          <w:ilvl w:val="0"/>
          <w:numId w:val="1029"/>
        </w:numPr>
        <w:pStyle w:val="Compact"/>
      </w:pPr>
      <w:r>
        <w:t xml:space="preserve">Cree un currículo dirigido utilizando únicamente evidencia verdadera.</w:t>
      </w:r>
    </w:p>
    <w:p>
      <w:pPr>
        <w:numPr>
          <w:ilvl w:val="0"/>
          <w:numId w:val="1029"/>
        </w:numPr>
        <w:pStyle w:val="Compact"/>
      </w:pPr>
      <w:r>
        <w:t xml:space="preserve">Prepare ejemplos breves que demuestren servicio al cliente, exactitud, confidencialidad y criterio de escalamiento.</w:t>
      </w:r>
    </w:p>
    <w:p>
      <w:pPr>
        <w:numPr>
          <w:ilvl w:val="0"/>
          <w:numId w:val="1029"/>
        </w:numPr>
        <w:pStyle w:val="Compact"/>
      </w:pPr>
      <w:r>
        <w:t xml:space="preserve">Configure un rastreador sencillo de postulaciones.</w:t>
      </w:r>
    </w:p>
    <w:p>
      <w:pPr>
        <w:numPr>
          <w:ilvl w:val="0"/>
          <w:numId w:val="1029"/>
        </w:numPr>
        <w:pStyle w:val="Compact"/>
      </w:pPr>
      <w:r>
        <w:t xml:space="preserve">Identifique empleadores con condiciones realistas de transporte, horario y compensación.</w:t>
      </w:r>
    </w:p>
    <w:bookmarkEnd w:id="90"/>
    <w:bookmarkStart w:id="91" w:name="Xd6c1c4ccd300d60e71f50602f35dffc9d3e788b"/>
    <w:p>
      <w:pPr>
        <w:pStyle w:val="Heading3"/>
      </w:pPr>
      <w:r>
        <w:t xml:space="preserve">Semanas 9-10 — Verifique financiación y condiciones</w:t>
      </w:r>
    </w:p>
    <w:p>
      <w:pPr>
        <w:pStyle w:val="FirstParagraph"/>
      </w:pPr>
      <w:r>
        <w:t xml:space="preserve">Antes de pagar por cualquier curso, verifique:</w:t>
      </w:r>
    </w:p>
    <w:p>
      <w:pPr>
        <w:numPr>
          <w:ilvl w:val="0"/>
          <w:numId w:val="1030"/>
        </w:numPr>
        <w:pStyle w:val="Compact"/>
      </w:pPr>
      <w:r>
        <w:t xml:space="preserve">costo total;</w:t>
      </w:r>
    </w:p>
    <w:p>
      <w:pPr>
        <w:numPr>
          <w:ilvl w:val="0"/>
          <w:numId w:val="1030"/>
        </w:numPr>
        <w:pStyle w:val="Compact"/>
      </w:pPr>
      <w:r>
        <w:t xml:space="preserve">si el empleador realmente lo valora;</w:t>
      </w:r>
    </w:p>
    <w:p>
      <w:pPr>
        <w:numPr>
          <w:ilvl w:val="0"/>
          <w:numId w:val="1030"/>
        </w:numPr>
        <w:pStyle w:val="Compact"/>
      </w:pPr>
      <w:r>
        <w:t xml:space="preserve">elegibilidad para becas;</w:t>
      </w:r>
    </w:p>
    <w:p>
      <w:pPr>
        <w:numPr>
          <w:ilvl w:val="0"/>
          <w:numId w:val="1030"/>
        </w:numPr>
        <w:pStyle w:val="Compact"/>
      </w:pPr>
      <w:r>
        <w:t xml:space="preserve">elegibilidad para FAFSA si se trata de un programa elegible de institución universitaria o escuela profesional;</w:t>
      </w:r>
    </w:p>
    <w:p>
      <w:pPr>
        <w:numPr>
          <w:ilvl w:val="0"/>
          <w:numId w:val="1030"/>
        </w:numPr>
        <w:pStyle w:val="Compact"/>
      </w:pPr>
      <w:r>
        <w:t xml:space="preserve">elegibilidad para WIOA cuando corresponda;</w:t>
      </w:r>
    </w:p>
    <w:p>
      <w:pPr>
        <w:numPr>
          <w:ilvl w:val="0"/>
          <w:numId w:val="1030"/>
        </w:numPr>
        <w:pStyle w:val="Compact"/>
      </w:pPr>
      <w:r>
        <w:t xml:space="preserve">asistencia de matrícula del empleador o Section 127 cuando se ofrezca;</w:t>
      </w:r>
    </w:p>
    <w:p>
      <w:pPr>
        <w:numPr>
          <w:ilvl w:val="0"/>
          <w:numId w:val="1030"/>
        </w:numPr>
        <w:pStyle w:val="Compact"/>
      </w:pPr>
      <w:r>
        <w:t xml:space="preserve">acuerdos de reembolso;</w:t>
      </w:r>
    </w:p>
    <w:p>
      <w:pPr>
        <w:numPr>
          <w:ilvl w:val="0"/>
          <w:numId w:val="1030"/>
        </w:numPr>
        <w:pStyle w:val="Compact"/>
      </w:pPr>
      <w:r>
        <w:t xml:space="preserve">requisitos de horario y asistencia;</w:t>
      </w:r>
    </w:p>
    <w:p>
      <w:pPr>
        <w:numPr>
          <w:ilvl w:val="0"/>
          <w:numId w:val="1030"/>
        </w:numPr>
        <w:pStyle w:val="Compact"/>
      </w:pPr>
      <w:r>
        <w:t xml:space="preserve">reglas de devolución y retiro del programa.</w:t>
      </w:r>
    </w:p>
    <w:bookmarkEnd w:id="91"/>
    <w:bookmarkStart w:id="92" w:name="semanas-11-12--postúlese-y-mejore"/>
    <w:p>
      <w:pPr>
        <w:pStyle w:val="Heading3"/>
      </w:pPr>
      <w:r>
        <w:t xml:space="preserve">Semanas 11-12 — Postúlese y mejore</w:t>
      </w:r>
    </w:p>
    <w:p>
      <w:pPr>
        <w:numPr>
          <w:ilvl w:val="0"/>
          <w:numId w:val="1031"/>
        </w:numPr>
        <w:pStyle w:val="Compact"/>
      </w:pPr>
      <w:r>
        <w:t xml:space="preserve">Postúlese a vacantes con buena correspondencia.</w:t>
      </w:r>
    </w:p>
    <w:p>
      <w:pPr>
        <w:numPr>
          <w:ilvl w:val="0"/>
          <w:numId w:val="1031"/>
        </w:numPr>
        <w:pStyle w:val="Compact"/>
      </w:pPr>
      <w:r>
        <w:t xml:space="preserve">Practique entrevistas utilizando escenarios ficticios.</w:t>
      </w:r>
    </w:p>
    <w:p>
      <w:pPr>
        <w:numPr>
          <w:ilvl w:val="0"/>
          <w:numId w:val="1031"/>
        </w:numPr>
        <w:pStyle w:val="Compact"/>
      </w:pPr>
      <w:r>
        <w:t xml:space="preserve">Revise rechazos o comentarios de reclutadores para detectar brechas recurrentes.</w:t>
      </w:r>
    </w:p>
    <w:p>
      <w:pPr>
        <w:numPr>
          <w:ilvl w:val="0"/>
          <w:numId w:val="1031"/>
        </w:numPr>
        <w:pStyle w:val="Compact"/>
      </w:pPr>
      <w:r>
        <w:t xml:space="preserve">Mejore una brecha verificada a la vez en lugar de comprar múltiples credenciales.</w:t>
      </w:r>
    </w:p>
    <w:bookmarkEnd w:id="92"/>
    <w:bookmarkStart w:id="93" w:name="opciones-de-progresión"/>
    <w:p>
      <w:pPr>
        <w:pStyle w:val="Heading3"/>
      </w:pPr>
      <w:r>
        <w:t xml:space="preserve">Opciones de progresión</w:t>
      </w:r>
    </w:p>
    <w:p>
      <w:pPr>
        <w:pStyle w:val="FirstParagraph"/>
      </w:pPr>
      <w:r>
        <w:t xml:space="preserve">Con experiencia y formación adicional, algunas rutas posibles incluyen:</w:t>
      </w:r>
    </w:p>
    <w:p>
      <w:pPr>
        <w:numPr>
          <w:ilvl w:val="0"/>
          <w:numId w:val="1032"/>
        </w:numPr>
        <w:pStyle w:val="Compact"/>
      </w:pPr>
      <w:r>
        <w:t xml:space="preserve">cajero sénior o líder de caja;</w:t>
      </w:r>
    </w:p>
    <w:p>
      <w:pPr>
        <w:numPr>
          <w:ilvl w:val="0"/>
          <w:numId w:val="1032"/>
        </w:numPr>
        <w:pStyle w:val="Compact"/>
      </w:pPr>
      <w:r>
        <w:t xml:space="preserve">especialista de servicios para miembros o clientes;</w:t>
      </w:r>
    </w:p>
    <w:p>
      <w:pPr>
        <w:numPr>
          <w:ilvl w:val="0"/>
          <w:numId w:val="1032"/>
        </w:numPr>
        <w:pStyle w:val="Compact"/>
      </w:pPr>
      <w:r>
        <w:t xml:space="preserve">universal banker u otros puestos más amplios de sucursal;</w:t>
      </w:r>
    </w:p>
    <w:p>
      <w:pPr>
        <w:numPr>
          <w:ilvl w:val="0"/>
          <w:numId w:val="1032"/>
        </w:numPr>
        <w:pStyle w:val="Compact"/>
      </w:pPr>
      <w:r>
        <w:t xml:space="preserve">operaciones de sucursal;</w:t>
      </w:r>
    </w:p>
    <w:p>
      <w:pPr>
        <w:numPr>
          <w:ilvl w:val="0"/>
          <w:numId w:val="1032"/>
        </w:numPr>
        <w:pStyle w:val="Compact"/>
      </w:pPr>
      <w:r>
        <w:t xml:space="preserve">prevención de fraude o soporte de operaciones de fraude;</w:t>
      </w:r>
    </w:p>
    <w:p>
      <w:pPr>
        <w:numPr>
          <w:ilvl w:val="0"/>
          <w:numId w:val="1032"/>
        </w:numPr>
        <w:pStyle w:val="Compact"/>
      </w:pPr>
      <w:r>
        <w:t xml:space="preserve">servicio de cuentas;</w:t>
      </w:r>
    </w:p>
    <w:p>
      <w:pPr>
        <w:numPr>
          <w:ilvl w:val="0"/>
          <w:numId w:val="1032"/>
        </w:numPr>
        <w:pStyle w:val="Compact"/>
      </w:pPr>
      <w:r>
        <w:t xml:space="preserve">operaciones financieras de back office;</w:t>
      </w:r>
    </w:p>
    <w:p>
      <w:pPr>
        <w:numPr>
          <w:ilvl w:val="0"/>
          <w:numId w:val="1032"/>
        </w:numPr>
        <w:pStyle w:val="Compact"/>
      </w:pPr>
      <w:r>
        <w:t xml:space="preserve">servicio financiero por centro de contacto;</w:t>
      </w:r>
    </w:p>
    <w:p>
      <w:pPr>
        <w:numPr>
          <w:ilvl w:val="0"/>
          <w:numId w:val="1032"/>
        </w:numPr>
        <w:pStyle w:val="Compact"/>
      </w:pPr>
      <w:r>
        <w:t xml:space="preserve">supervisión;</w:t>
      </w:r>
    </w:p>
    <w:p>
      <w:pPr>
        <w:numPr>
          <w:ilvl w:val="0"/>
          <w:numId w:val="1032"/>
        </w:numPr>
        <w:pStyle w:val="Compact"/>
      </w:pPr>
      <w:r>
        <w:t xml:space="preserve">apoyo de crédito o hipotecas cuando las cualificaciones y autorizaciones lo permitan;</w:t>
      </w:r>
    </w:p>
    <w:p>
      <w:pPr>
        <w:numPr>
          <w:ilvl w:val="0"/>
          <w:numId w:val="1032"/>
        </w:numPr>
        <w:pStyle w:val="Compact"/>
      </w:pPr>
      <w:r>
        <w:t xml:space="preserve">apoyo de cumplimiento u operaciones de riesgo con educación y experiencia adicionales.</w:t>
      </w:r>
    </w:p>
    <w:p>
      <w:pPr>
        <w:pStyle w:val="FirstParagraph"/>
      </w:pPr>
      <w:r>
        <w:t xml:space="preserve">La progresión no es automática. Algunos puestos requieren educación adicional, autorización del empleador, registro, licencia, experiencia o formación especializada.</w:t>
      </w:r>
    </w:p>
    <w:p>
      <w:r>
        <w:pict>
          <v:rect style="width:0;height:1.5pt" o:hralign="center" o:hrstd="t" o:hr="t"/>
        </w:pict>
      </w:r>
    </w:p>
    <w:bookmarkEnd w:id="93"/>
    <w:bookmarkEnd w:id="94"/>
    <w:bookmarkStart w:id="117" w:name="X2be3082ced5476166c6477dc68e1b60d857bcd4"/>
    <w:p>
      <w:pPr>
        <w:pStyle w:val="Heading2"/>
      </w:pPr>
      <w:r>
        <w:t xml:space="preserve">19. Lista de verificación, fuentes, descargos, autoría y licencia</w:t>
      </w:r>
    </w:p>
    <w:bookmarkStart w:id="95" w:name="verifique-antes-de-depender-de-esta-guía"/>
    <w:p>
      <w:pPr>
        <w:pStyle w:val="Heading3"/>
      </w:pPr>
      <w:r>
        <w:t xml:space="preserve">Verifique antes de depender de esta guía</w:t>
      </w:r>
    </w:p>
    <w:p>
      <w:pPr>
        <w:pStyle w:val="FirstParagraph"/>
      </w:pPr>
      <w:r>
        <w:t xml:space="preserve">Antes de postularse, inscribirse, pagar o tomar una decisión profesional, verifique:</w:t>
      </w:r>
    </w:p>
    <w:p>
      <w:pPr>
        <w:numPr>
          <w:ilvl w:val="0"/>
          <w:numId w:val="1033"/>
        </w:numPr>
        <w:pStyle w:val="Compact"/>
      </w:pPr>
      <w:r>
        <w:t xml:space="preserve">☐ funciones vigentes en la oferta real;</w:t>
      </w:r>
    </w:p>
    <w:p>
      <w:pPr>
        <w:numPr>
          <w:ilvl w:val="0"/>
          <w:numId w:val="1033"/>
        </w:numPr>
        <w:pStyle w:val="Compact"/>
      </w:pPr>
      <w:r>
        <w:t xml:space="preserve">☐ requisitos de educación y experiencia;</w:t>
      </w:r>
    </w:p>
    <w:p>
      <w:pPr>
        <w:numPr>
          <w:ilvl w:val="0"/>
          <w:numId w:val="1033"/>
        </w:numPr>
        <w:pStyle w:val="Compact"/>
      </w:pPr>
      <w:r>
        <w:t xml:space="preserve">☐ horario y ubicación;</w:t>
      </w:r>
    </w:p>
    <w:p>
      <w:pPr>
        <w:numPr>
          <w:ilvl w:val="0"/>
          <w:numId w:val="1033"/>
        </w:numPr>
        <w:pStyle w:val="Compact"/>
      </w:pPr>
      <w:r>
        <w:t xml:space="preserve">☐ compensación y horas garantizadas;</w:t>
      </w:r>
    </w:p>
    <w:p>
      <w:pPr>
        <w:numPr>
          <w:ilvl w:val="0"/>
          <w:numId w:val="1033"/>
        </w:numPr>
        <w:pStyle w:val="Compact"/>
      </w:pPr>
      <w:r>
        <w:t xml:space="preserve">☐ antecedentes u otros procesos de selección del empleador;</w:t>
      </w:r>
    </w:p>
    <w:p>
      <w:pPr>
        <w:numPr>
          <w:ilvl w:val="0"/>
          <w:numId w:val="1033"/>
        </w:numPr>
        <w:pStyle w:val="Compact"/>
      </w:pPr>
      <w:r>
        <w:t xml:space="preserve">☐ si funciones más amplias requieren licencia, registro o autorización adicional;</w:t>
      </w:r>
    </w:p>
    <w:p>
      <w:pPr>
        <w:numPr>
          <w:ilvl w:val="0"/>
          <w:numId w:val="1033"/>
        </w:numPr>
        <w:pStyle w:val="Compact"/>
      </w:pPr>
      <w:r>
        <w:t xml:space="preserve">☐ si la formación del empleador es pagada;</w:t>
      </w:r>
    </w:p>
    <w:p>
      <w:pPr>
        <w:numPr>
          <w:ilvl w:val="0"/>
          <w:numId w:val="1033"/>
        </w:numPr>
        <w:pStyle w:val="Compact"/>
      </w:pPr>
      <w:r>
        <w:t xml:space="preserve">☐ todos los términos de matrícula, tarifas, reembolso, devolución y retiro;</w:t>
      </w:r>
    </w:p>
    <w:p>
      <w:pPr>
        <w:numPr>
          <w:ilvl w:val="0"/>
          <w:numId w:val="1033"/>
        </w:numPr>
        <w:pStyle w:val="Compact"/>
      </w:pPr>
      <w:r>
        <w:t xml:space="preserve">☐ elegibilidad vigente para FAFSA, becas, WIOA o apoyo del empleador cuando corresponda;</w:t>
      </w:r>
    </w:p>
    <w:p>
      <w:pPr>
        <w:numPr>
          <w:ilvl w:val="0"/>
          <w:numId w:val="1033"/>
        </w:numPr>
        <w:pStyle w:val="Compact"/>
      </w:pPr>
      <w:r>
        <w:t xml:space="preserve">☐ disponibilidad vigente de SENA en Colombia;</w:t>
      </w:r>
    </w:p>
    <w:p>
      <w:pPr>
        <w:numPr>
          <w:ilvl w:val="0"/>
          <w:numId w:val="1033"/>
        </w:numPr>
        <w:pStyle w:val="Compact"/>
      </w:pPr>
      <w:r>
        <w:t xml:space="preserve">☐ registro actual de apprenticeship y aprobación de ocupación para cualquier programa descrito como Registered Apprenticeship;</w:t>
      </w:r>
    </w:p>
    <w:p>
      <w:pPr>
        <w:numPr>
          <w:ilvl w:val="0"/>
          <w:numId w:val="1033"/>
        </w:numPr>
        <w:pStyle w:val="Compact"/>
      </w:pPr>
      <w:r>
        <w:t xml:space="preserve">☐ datos salariales vigentes para su ubicación exacta;</w:t>
      </w:r>
    </w:p>
    <w:p>
      <w:pPr>
        <w:numPr>
          <w:ilvl w:val="0"/>
          <w:numId w:val="1033"/>
        </w:numPr>
        <w:pStyle w:val="Compact"/>
      </w:pPr>
      <w:r>
        <w:t xml:space="preserve">☐ procesos de adaptación si los necesita;</w:t>
      </w:r>
    </w:p>
    <w:p>
      <w:pPr>
        <w:numPr>
          <w:ilvl w:val="0"/>
          <w:numId w:val="1033"/>
        </w:numPr>
        <w:pStyle w:val="Compact"/>
      </w:pPr>
      <w:r>
        <w:t xml:space="preserve">☐ reglas de privacidad, ciberseguridad, uso de IA, fraude y escalamiento del empleador.</w:t>
      </w:r>
    </w:p>
    <w:bookmarkEnd w:id="95"/>
    <w:bookmarkStart w:id="113" w:name="Xf7486b2a27d8b7e9fd699ae642b822f67f950a6"/>
    <w:p>
      <w:pPr>
        <w:pStyle w:val="Heading3"/>
      </w:pPr>
      <w:r>
        <w:t xml:space="preserve">Fuentes controladas revisadas para esta edición</w:t>
      </w:r>
    </w:p>
    <w:p>
      <w:pPr>
        <w:pStyle w:val="FirstParagraph"/>
      </w:pPr>
      <w:r>
        <w:rPr>
          <w:bCs/>
          <w:b/>
        </w:rPr>
        <w:t xml:space="preserve">Fuentes ocupacionales y de mercado laboral de Estados Unidos</w:t>
      </w:r>
    </w:p>
    <w:p>
      <w:pPr>
        <w:numPr>
          <w:ilvl w:val="0"/>
          <w:numId w:val="1034"/>
        </w:numPr>
        <w:pStyle w:val="Compact"/>
      </w:pPr>
      <w:r>
        <w:t xml:space="preserve">O*NET OnLine, Tellers 43-3071.00:</w:t>
      </w:r>
      <w:r>
        <w:t xml:space="preserve"> </w:t>
      </w:r>
      <w:hyperlink r:id="rId96">
        <w:r>
          <w:rPr>
            <w:rStyle w:val="Hyperlink"/>
          </w:rPr>
          <w:t xml:space="preserve">https://www.onetonline.org/link/details/43-3071.00</w:t>
        </w:r>
      </w:hyperlink>
    </w:p>
    <w:p>
      <w:pPr>
        <w:numPr>
          <w:ilvl w:val="0"/>
          <w:numId w:val="1034"/>
        </w:numPr>
        <w:pStyle w:val="Compact"/>
      </w:pPr>
      <w:r>
        <w:t xml:space="preserve">U.S. Bureau of Labor Statistics, Occupational Outlook Handbook — Tellers:</w:t>
      </w:r>
      <w:r>
        <w:t xml:space="preserve"> </w:t>
      </w:r>
      <w:hyperlink r:id="rId97">
        <w:r>
          <w:rPr>
            <w:rStyle w:val="Hyperlink"/>
          </w:rPr>
          <w:t xml:space="preserve">https://www.bls.gov/ooh/office-and-administrative-support/tellers.htm</w:t>
        </w:r>
      </w:hyperlink>
    </w:p>
    <w:p>
      <w:pPr>
        <w:numPr>
          <w:ilvl w:val="0"/>
          <w:numId w:val="1034"/>
        </w:numPr>
        <w:pStyle w:val="Compact"/>
      </w:pPr>
      <w:r>
        <w:t xml:space="preserve">U.S. Bureau of Labor Statistics, May 2025 OEWS occupation structure:</w:t>
      </w:r>
      <w:r>
        <w:t xml:space="preserve"> </w:t>
      </w:r>
      <w:hyperlink r:id="rId98">
        <w:r>
          <w:rPr>
            <w:rStyle w:val="Hyperlink"/>
          </w:rPr>
          <w:t xml:space="preserve">https://www.bls.gov/oes/2025/may/oes_stru.htm</w:t>
        </w:r>
      </w:hyperlink>
    </w:p>
    <w:p>
      <w:pPr>
        <w:pStyle w:val="FirstParagraph"/>
      </w:pPr>
      <w:r>
        <w:rPr>
          <w:bCs/>
          <w:b/>
        </w:rPr>
        <w:t xml:space="preserve">Estimaciones privadas actuales de ingresos en Estados Unidos</w:t>
      </w:r>
    </w:p>
    <w:p>
      <w:pPr>
        <w:numPr>
          <w:ilvl w:val="0"/>
          <w:numId w:val="1035"/>
        </w:numPr>
        <w:pStyle w:val="Compact"/>
      </w:pPr>
      <w:r>
        <w:t xml:space="preserve">Indeed Teller salary:</w:t>
      </w:r>
      <w:r>
        <w:t xml:space="preserve"> </w:t>
      </w:r>
      <w:hyperlink r:id="rId99">
        <w:r>
          <w:rPr>
            <w:rStyle w:val="Hyperlink"/>
          </w:rPr>
          <w:t xml:space="preserve">https://www.indeed.com/career/teller/salaries</w:t>
        </w:r>
      </w:hyperlink>
    </w:p>
    <w:p>
      <w:pPr>
        <w:numPr>
          <w:ilvl w:val="0"/>
          <w:numId w:val="1035"/>
        </w:numPr>
        <w:pStyle w:val="Compact"/>
      </w:pPr>
      <w:r>
        <w:t xml:space="preserve">ZipRecruiter Bank Teller salary:</w:t>
      </w:r>
      <w:r>
        <w:t xml:space="preserve"> </w:t>
      </w:r>
      <w:hyperlink r:id="rId100">
        <w:r>
          <w:rPr>
            <w:rStyle w:val="Hyperlink"/>
          </w:rPr>
          <w:t xml:space="preserve">https://www.ziprecruiter.com/Salaries/Bank-Teller-Salary</w:t>
        </w:r>
      </w:hyperlink>
    </w:p>
    <w:p>
      <w:pPr>
        <w:numPr>
          <w:ilvl w:val="0"/>
          <w:numId w:val="1035"/>
        </w:numPr>
        <w:pStyle w:val="Compact"/>
      </w:pPr>
      <w:r>
        <w:t xml:space="preserve">Salary.com Bank Teller salary:</w:t>
      </w:r>
      <w:r>
        <w:t xml:space="preserve"> </w:t>
      </w:r>
      <w:hyperlink r:id="rId101">
        <w:r>
          <w:rPr>
            <w:rStyle w:val="Hyperlink"/>
          </w:rPr>
          <w:t xml:space="preserve">https://www.salary.com/research/salary/opening/bank-teller-salary</w:t>
        </w:r>
      </w:hyperlink>
    </w:p>
    <w:p>
      <w:pPr>
        <w:pStyle w:val="FirstParagraph"/>
      </w:pPr>
      <w:r>
        <w:rPr>
          <w:bCs/>
          <w:b/>
        </w:rPr>
        <w:t xml:space="preserve">Canadá</w:t>
      </w:r>
    </w:p>
    <w:p>
      <w:pPr>
        <w:numPr>
          <w:ilvl w:val="0"/>
          <w:numId w:val="1036"/>
        </w:numPr>
        <w:pStyle w:val="Compact"/>
      </w:pPr>
      <w:r>
        <w:t xml:space="preserve">Government of Canada, NOC 64400 — Customer services representatives - financial institutions:</w:t>
      </w:r>
      <w:r>
        <w:t xml:space="preserve"> </w:t>
      </w:r>
      <w:hyperlink r:id="rId102">
        <w:r>
          <w:rPr>
            <w:rStyle w:val="Hyperlink"/>
          </w:rPr>
          <w:t xml:space="preserve">https://noc.esdc.gc.ca/Structure/NOCProfile?GoCTemplateCulture=en-CA&amp;code=64400&amp;version=2021.0&amp;wbdisable=true</w:t>
        </w:r>
      </w:hyperlink>
    </w:p>
    <w:p>
      <w:pPr>
        <w:numPr>
          <w:ilvl w:val="0"/>
          <w:numId w:val="1036"/>
        </w:numPr>
        <w:pStyle w:val="Compact"/>
      </w:pPr>
      <w:r>
        <w:t xml:space="preserve">Government of Canada Job Bank, Bank teller wages:</w:t>
      </w:r>
      <w:r>
        <w:t xml:space="preserve"> </w:t>
      </w:r>
      <w:hyperlink r:id="rId103">
        <w:r>
          <w:rPr>
            <w:rStyle w:val="Hyperlink"/>
          </w:rPr>
          <w:t xml:space="preserve">https://www.jobbank.gc.ca/marketreport/wages-occupation/14136/ca</w:t>
        </w:r>
      </w:hyperlink>
    </w:p>
    <w:p>
      <w:pPr>
        <w:pStyle w:val="FirstParagraph"/>
      </w:pPr>
      <w:r>
        <w:rPr>
          <w:bCs/>
          <w:b/>
        </w:rPr>
        <w:t xml:space="preserve">Colombia</w:t>
      </w:r>
    </w:p>
    <w:p>
      <w:pPr>
        <w:numPr>
          <w:ilvl w:val="0"/>
          <w:numId w:val="1037"/>
        </w:numPr>
        <w:pStyle w:val="Compact"/>
      </w:pPr>
      <w:r>
        <w:t xml:space="preserve">SENA Betowa — Suministro de información y asesoría para el consumidor financiero:</w:t>
      </w:r>
      <w:r>
        <w:t xml:space="preserve"> </w:t>
      </w:r>
      <w:hyperlink r:id="rId104">
        <w:r>
          <w:rPr>
            <w:rStyle w:val="Hyperlink"/>
          </w:rPr>
          <w:t xml:space="preserve">https://betowa.sena.edu.co/oferta/suministro-de-informacion-y-asesoria-para-el-consumidor-financiero?location=57011001&amp;modality=V&amp;offertype=company&amp;programId=63571</w:t>
        </w:r>
      </w:hyperlink>
    </w:p>
    <w:p>
      <w:pPr>
        <w:numPr>
          <w:ilvl w:val="0"/>
          <w:numId w:val="1037"/>
        </w:numPr>
        <w:pStyle w:val="Compact"/>
      </w:pPr>
      <w:r>
        <w:t xml:space="preserve">SENA Betowa — Registro contable de operaciones comerciales:</w:t>
      </w:r>
      <w:r>
        <w:t xml:space="preserve"> </w:t>
      </w:r>
      <w:hyperlink r:id="rId105">
        <w:r>
          <w:rPr>
            <w:rStyle w:val="Hyperlink"/>
          </w:rPr>
          <w:t xml:space="preserve">https://betowa.sena.edu.co/oferta/registro-contable-de-operaciones-comerciales?location=57011001&amp;modality=V&amp;offertype=company&amp;programId=228684</w:t>
        </w:r>
      </w:hyperlink>
    </w:p>
    <w:p>
      <w:pPr>
        <w:numPr>
          <w:ilvl w:val="0"/>
          <w:numId w:val="1037"/>
        </w:numPr>
        <w:pStyle w:val="Compact"/>
      </w:pPr>
      <w:r>
        <w:t xml:space="preserve">SENA Betowa — Ingresos y gastos personales:</w:t>
      </w:r>
      <w:r>
        <w:t xml:space="preserve"> </w:t>
      </w:r>
      <w:hyperlink r:id="rId106">
        <w:r>
          <w:rPr>
            <w:rStyle w:val="Hyperlink"/>
          </w:rPr>
          <w:t xml:space="preserve">https://betowa.sena.edu.co/oferta/ingresos-y-gastos-personales?location=57011001&amp;modality=V&amp;offertype=company&amp;programId=69801</w:t>
        </w:r>
      </w:hyperlink>
    </w:p>
    <w:p>
      <w:pPr>
        <w:pStyle w:val="FirstParagraph"/>
      </w:pPr>
      <w:r>
        <w:rPr>
          <w:bCs/>
          <w:b/>
        </w:rPr>
        <w:t xml:space="preserve">Financiación y apoyo para formación</w:t>
      </w:r>
    </w:p>
    <w:p>
      <w:pPr>
        <w:numPr>
          <w:ilvl w:val="0"/>
          <w:numId w:val="1038"/>
        </w:numPr>
        <w:pStyle w:val="Compact"/>
      </w:pPr>
      <w:r>
        <w:t xml:space="preserve">Federal Student Aid — FAFSA student steps:</w:t>
      </w:r>
      <w:r>
        <w:t xml:space="preserve"> </w:t>
      </w:r>
      <w:hyperlink r:id="rId107">
        <w:r>
          <w:rPr>
            <w:rStyle w:val="Hyperlink"/>
          </w:rPr>
          <w:t xml:space="preserve">https://studentaid.gov/articles/fafsa-student-steps/</w:t>
        </w:r>
      </w:hyperlink>
    </w:p>
    <w:p>
      <w:pPr>
        <w:numPr>
          <w:ilvl w:val="0"/>
          <w:numId w:val="1038"/>
        </w:numPr>
        <w:pStyle w:val="Compact"/>
      </w:pPr>
      <w:r>
        <w:t xml:space="preserve">Federal Student Aid — scholarship tips:</w:t>
      </w:r>
      <w:r>
        <w:t xml:space="preserve"> </w:t>
      </w:r>
      <w:hyperlink r:id="rId108">
        <w:r>
          <w:rPr>
            <w:rStyle w:val="Hyperlink"/>
          </w:rPr>
          <w:t xml:space="preserve">https://studentaid.gov/articles/scholarship-tips/</w:t>
        </w:r>
      </w:hyperlink>
    </w:p>
    <w:p>
      <w:pPr>
        <w:numPr>
          <w:ilvl w:val="0"/>
          <w:numId w:val="1038"/>
        </w:numPr>
        <w:pStyle w:val="Compact"/>
      </w:pPr>
      <w:r>
        <w:t xml:space="preserve">U.S. Department of Labor — WIOA training guidance:</w:t>
      </w:r>
      <w:r>
        <w:t xml:space="preserve"> </w:t>
      </w:r>
      <w:hyperlink r:id="rId109">
        <w:r>
          <w:rPr>
            <w:rStyle w:val="Hyperlink"/>
          </w:rPr>
          <w:t xml:space="preserve">https://www.dol.gov/agencies/eta/advisories/training-and-employment-guidance-letter-no-08-19</w:t>
        </w:r>
      </w:hyperlink>
    </w:p>
    <w:p>
      <w:pPr>
        <w:numPr>
          <w:ilvl w:val="0"/>
          <w:numId w:val="1038"/>
        </w:numPr>
        <w:pStyle w:val="Compact"/>
      </w:pPr>
      <w:r>
        <w:t xml:space="preserve">Internal Revenue Service — Section 127 educational assistance FAQ update:</w:t>
      </w:r>
      <w:r>
        <w:t xml:space="preserve"> </w:t>
      </w:r>
      <w:hyperlink r:id="rId110">
        <w:r>
          <w:rPr>
            <w:rStyle w:val="Hyperlink"/>
          </w:rPr>
          <w:t xml:space="preserve">https://www.irs.gov/newsroom/irs-updates-frequently-asked-questions-about-section-127-educational-assistance-programs</w:t>
        </w:r>
      </w:hyperlink>
    </w:p>
    <w:p>
      <w:pPr>
        <w:pStyle w:val="FirstParagraph"/>
      </w:pPr>
      <w:r>
        <w:rPr>
          <w:bCs/>
          <w:b/>
        </w:rPr>
        <w:t xml:space="preserve">Verificación de apprenticeship</w:t>
      </w:r>
    </w:p>
    <w:p>
      <w:pPr>
        <w:numPr>
          <w:ilvl w:val="0"/>
          <w:numId w:val="1039"/>
        </w:numPr>
        <w:pStyle w:val="Compact"/>
      </w:pPr>
      <w:r>
        <w:t xml:space="preserve">Apprenticeship.gov Occupation Finder — Tellers 43-3071.00:</w:t>
      </w:r>
      <w:r>
        <w:t xml:space="preserve"> </w:t>
      </w:r>
      <w:hyperlink r:id="rId111">
        <w:r>
          <w:rPr>
            <w:rStyle w:val="Hyperlink"/>
          </w:rPr>
          <w:t xml:space="preserve">https://www.apprenticeship.gov/apprenticeship-occupations/listings?occupationCode=43-3071.00</w:t>
        </w:r>
      </w:hyperlink>
    </w:p>
    <w:p>
      <w:pPr>
        <w:numPr>
          <w:ilvl w:val="0"/>
          <w:numId w:val="1039"/>
        </w:numPr>
        <w:pStyle w:val="Compact"/>
      </w:pPr>
      <w:r>
        <w:t xml:space="preserve">Apprenticeship.gov Financial Services industry page:</w:t>
      </w:r>
      <w:r>
        <w:t xml:space="preserve"> </w:t>
      </w:r>
      <w:hyperlink r:id="rId112">
        <w:r>
          <w:rPr>
            <w:rStyle w:val="Hyperlink"/>
          </w:rPr>
          <w:t xml:space="preserve">https://www.apprenticeship.gov/apprenticeship-industries/financial-services</w:t>
        </w:r>
      </w:hyperlink>
    </w:p>
    <w:bookmarkEnd w:id="113"/>
    <w:bookmarkStart w:id="114" w:name="descargos-importantes"/>
    <w:p>
      <w:pPr>
        <w:pStyle w:val="Heading3"/>
      </w:pPr>
      <w:r>
        <w:t xml:space="preserve">Descargos importantes</w:t>
      </w:r>
    </w:p>
    <w:p>
      <w:pPr>
        <w:pStyle w:val="FirstParagraph"/>
      </w:pPr>
      <w:r>
        <w:t xml:space="preserve">Esta guía no garantiza empleo, salarios, admisión, financiación, becas, registro de apprenticeship, promoción, licencia, adaptación ni reembolso del empleador. Las estimaciones de ingresos cambian y pueden utilizar métodos distintos. Los programas públicos tienen reglas de elegibilidad. Los requisitos de los empleadores varían.</w:t>
      </w:r>
    </w:p>
    <w:p>
      <w:pPr>
        <w:pStyle w:val="BodyText"/>
      </w:pPr>
      <w:r>
        <w:t xml:space="preserve">No trate esta guía como autorización para realizar actividades financieras reguladas o restringidas. Siga la legislación, regulación, política del empleador, autoridad asignada y orientación profesional vigentes que correspondan a su jurisdicción y puesto.</w:t>
      </w:r>
    </w:p>
    <w:bookmarkEnd w:id="114"/>
    <w:bookmarkStart w:id="115" w:name="autoría-y-uso-responsable"/>
    <w:p>
      <w:pPr>
        <w:pStyle w:val="Heading3"/>
      </w:pPr>
      <w:r>
        <w:t xml:space="preserve">Autoría y uso responsable</w:t>
      </w:r>
    </w:p>
    <w:p>
      <w:pPr>
        <w:pStyle w:val="FirstParagraph"/>
      </w:pPr>
      <w:r>
        <w:rPr>
          <w:bCs/>
          <w:b/>
        </w:rPr>
        <w:t xml:space="preserve">Autor:</w:t>
      </w:r>
      <w:r>
        <w:t xml:space="preserve"> </w:t>
      </w:r>
      <w:r>
        <w:t xml:space="preserve">Alberto “Al” Leiva</w:t>
      </w:r>
      <w:r>
        <w:br/>
      </w:r>
      <w:r>
        <w:rPr>
          <w:bCs/>
          <w:b/>
        </w:rPr>
        <w:t xml:space="preserve">Proyecto:</w:t>
      </w:r>
      <w:r>
        <w:t xml:space="preserve"> </w:t>
      </w:r>
      <w:r>
        <w:t xml:space="preserve">Lifelong Opportunity Project</w:t>
      </w:r>
      <w:r>
        <w:br/>
      </w:r>
      <w:r>
        <w:rPr>
          <w:bCs/>
          <w:b/>
        </w:rPr>
        <w:t xml:space="preserve">Edición:</w:t>
      </w:r>
      <w:r>
        <w:t xml:space="preserve"> </w:t>
      </w:r>
      <w:r>
        <w:t xml:space="preserve">Maestro de trabajo controlado es-419 v2</w:t>
      </w:r>
      <w:r>
        <w:br/>
      </w:r>
      <w:r>
        <w:rPr>
          <w:bCs/>
          <w:b/>
        </w:rPr>
        <w:t xml:space="preserve">Fecha de revisión:</w:t>
      </w:r>
      <w:r>
        <w:t xml:space="preserve"> </w:t>
      </w:r>
      <w:r>
        <w:t xml:space="preserve">2026-08-09</w:t>
      </w:r>
    </w:p>
    <w:p>
      <w:pPr>
        <w:pStyle w:val="BodyText"/>
      </w:pPr>
      <w:r>
        <w:t xml:space="preserve">Las herramientas de IA pueden apoyar redacción, organización, traducción, comprobación de consistencia y flujo de investigación. El proyecto sigue siendo responsable de lo que publica. La asistencia de IA no constituye certificación humana independiente.</w:t>
      </w:r>
    </w:p>
    <w:bookmarkEnd w:id="115"/>
    <w:bookmarkStart w:id="116" w:name="licencia"/>
    <w:p>
      <w:pPr>
        <w:pStyle w:val="Heading3"/>
      </w:pPr>
      <w:r>
        <w:t xml:space="preserve">Licencia</w:t>
      </w:r>
    </w:p>
    <w:p>
      <w:pPr>
        <w:pStyle w:val="FirstParagraph"/>
      </w:pPr>
      <w:r>
        <w:t xml:space="preserve">Salvo que un archivo del repositorio indique lo contrario, este proyecto se distribuye bajo</w:t>
      </w:r>
      <w:r>
        <w:t xml:space="preserve"> </w:t>
      </w:r>
      <w:r>
        <w:rPr>
          <w:bCs/>
          <w:b/>
        </w:rPr>
        <w:t xml:space="preserve">Creative Commons Attribution-NonCommercial-ShareAlike 4.0 International (CC BY-NC-SA 4.0)</w:t>
      </w:r>
      <w:r>
        <w:t xml:space="preserve">. El material de terceros permanece sujeto a sus propios términos y derechos.</w:t>
      </w:r>
    </w:p>
    <w:p>
      <w:r>
        <w:pict>
          <v:rect style="width:0;height:1.5pt" o:hralign="center" o:hrstd="t" o:hr="t"/>
        </w:pict>
      </w:r>
    </w:p>
    <w:p>
      <w:pPr>
        <w:pStyle w:val="FirstParagraph"/>
      </w:pPr>
      <w:r>
        <w:rPr>
          <w:bCs/>
          <w:b/>
        </w:rPr>
        <w:t xml:space="preserve">Nota de control:</w:t>
      </w:r>
      <w:r>
        <w:t xml:space="preserve"> </w:t>
      </w:r>
      <w:r>
        <w:t xml:space="preserve">este archivo es el maestro de localización es-419 de la fuente inglesa v2 congelada. No es todavía un DOCX ni PDF listo para publicación. Permanecen pendientes los controles de terminología, paridad semántica y estructural, enlaces, codificación, accesibilidad orientada al contenido, generación documental, metadatos, renderizado, QA de publicación y auditoría de liberación.</w:t>
      </w:r>
    </w:p>
    <w:bookmarkEnd w:id="116"/>
    <w:bookmarkEnd w:id="117"/>
    <w:bookmarkEnd w:id="1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6" Target="https://betowa.sena.edu.co/oferta/ingresos-y-gastos-personales?location=57011001&amp;modality=V&amp;offertype=company&amp;programId=69801" TargetMode="External" /><Relationship Type="http://schemas.openxmlformats.org/officeDocument/2006/relationships/hyperlink" Id="rId105" Target="https://betowa.sena.edu.co/oferta/registro-contable-de-operaciones-comerciales?location=57011001&amp;modality=V&amp;offertype=company&amp;programId=228684" TargetMode="External" /><Relationship Type="http://schemas.openxmlformats.org/officeDocument/2006/relationships/hyperlink" Id="rId104" Target="https://betowa.sena.edu.co/oferta/suministro-de-informacion-y-asesoria-para-el-consumidor-financiero?location=57011001&amp;modality=V&amp;offertype=company&amp;programId=63571" TargetMode="External" /><Relationship Type="http://schemas.openxmlformats.org/officeDocument/2006/relationships/hyperlink" Id="rId102" Target="https://noc.esdc.gc.ca/Structure/NOCProfile?GoCTemplateCulture=en-CA&amp;code=64400&amp;version=2021.0&amp;wbdisable=true" TargetMode="External" /><Relationship Type="http://schemas.openxmlformats.org/officeDocument/2006/relationships/hyperlink" Id="rId107" Target="https://studentaid.gov/articles/fafsa-student-steps/" TargetMode="External" /><Relationship Type="http://schemas.openxmlformats.org/officeDocument/2006/relationships/hyperlink" Id="rId108" Target="https://studentaid.gov/articles/scholarship-tips/" TargetMode="External" /><Relationship Type="http://schemas.openxmlformats.org/officeDocument/2006/relationships/hyperlink" Id="rId112" Target="https://www.apprenticeship.gov/apprenticeship-industries/financial-services" TargetMode="External" /><Relationship Type="http://schemas.openxmlformats.org/officeDocument/2006/relationships/hyperlink" Id="rId111" Target="https://www.apprenticeship.gov/apprenticeship-occupations/listings?occupationCode=43-3071.00" TargetMode="External" /><Relationship Type="http://schemas.openxmlformats.org/officeDocument/2006/relationships/hyperlink" Id="rId98" Target="https://www.bls.gov/oes/2025/may/oes_stru.htm" TargetMode="External" /><Relationship Type="http://schemas.openxmlformats.org/officeDocument/2006/relationships/hyperlink" Id="rId97" Target="https://www.bls.gov/ooh/office-and-administrative-support/tellers.htm" TargetMode="External" /><Relationship Type="http://schemas.openxmlformats.org/officeDocument/2006/relationships/hyperlink" Id="rId109" Target="https://www.dol.gov/agencies/eta/advisories/training-and-employment-guidance-letter-no-08-19" TargetMode="External" /><Relationship Type="http://schemas.openxmlformats.org/officeDocument/2006/relationships/hyperlink" Id="rId99" Target="https://www.indeed.com/career/teller/salaries" TargetMode="External" /><Relationship Type="http://schemas.openxmlformats.org/officeDocument/2006/relationships/hyperlink" Id="rId110" Target="https://www.irs.gov/newsroom/irs-updates-frequently-asked-questions-about-section-127-educational-assistance-programs" TargetMode="External" /><Relationship Type="http://schemas.openxmlformats.org/officeDocument/2006/relationships/hyperlink" Id="rId103" Target="https://www.jobbank.gc.ca/marketreport/wages-occupation/14136/ca" TargetMode="External" /><Relationship Type="http://schemas.openxmlformats.org/officeDocument/2006/relationships/hyperlink" Id="rId96" Target="https://www.onetonline.org/link/details/43-3071.00" TargetMode="External" /><Relationship Type="http://schemas.openxmlformats.org/officeDocument/2006/relationships/hyperlink" Id="rId101" Target="https://www.salary.com/research/salary/opening/bank-teller-salary" TargetMode="External" /><Relationship Type="http://schemas.openxmlformats.org/officeDocument/2006/relationships/hyperlink" Id="rId100" Target="https://www.ziprecruiter.com/Salaries/Bank-Teller-Salary" TargetMode="External" /></Relationships>
</file>

<file path=word/_rels/footnotes.xml.rels><?xml version="1.0" encoding="UTF-8"?><Relationships xmlns="http://schemas.openxmlformats.org/package/2006/relationships"><Relationship Type="http://schemas.openxmlformats.org/officeDocument/2006/relationships/hyperlink" Id="rId106" Target="https://betowa.sena.edu.co/oferta/ingresos-y-gastos-personales?location=57011001&amp;modality=V&amp;offertype=company&amp;programId=69801" TargetMode="External" /><Relationship Type="http://schemas.openxmlformats.org/officeDocument/2006/relationships/hyperlink" Id="rId105" Target="https://betowa.sena.edu.co/oferta/registro-contable-de-operaciones-comerciales?location=57011001&amp;modality=V&amp;offertype=company&amp;programId=228684" TargetMode="External" /><Relationship Type="http://schemas.openxmlformats.org/officeDocument/2006/relationships/hyperlink" Id="rId104" Target="https://betowa.sena.edu.co/oferta/suministro-de-informacion-y-asesoria-para-el-consumidor-financiero?location=57011001&amp;modality=V&amp;offertype=company&amp;programId=63571" TargetMode="External" /><Relationship Type="http://schemas.openxmlformats.org/officeDocument/2006/relationships/hyperlink" Id="rId102" Target="https://noc.esdc.gc.ca/Structure/NOCProfile?GoCTemplateCulture=en-CA&amp;code=64400&amp;version=2021.0&amp;wbdisable=true" TargetMode="External" /><Relationship Type="http://schemas.openxmlformats.org/officeDocument/2006/relationships/hyperlink" Id="rId107" Target="https://studentaid.gov/articles/fafsa-student-steps/" TargetMode="External" /><Relationship Type="http://schemas.openxmlformats.org/officeDocument/2006/relationships/hyperlink" Id="rId108" Target="https://studentaid.gov/articles/scholarship-tips/" TargetMode="External" /><Relationship Type="http://schemas.openxmlformats.org/officeDocument/2006/relationships/hyperlink" Id="rId112" Target="https://www.apprenticeship.gov/apprenticeship-industries/financial-services" TargetMode="External" /><Relationship Type="http://schemas.openxmlformats.org/officeDocument/2006/relationships/hyperlink" Id="rId111" Target="https://www.apprenticeship.gov/apprenticeship-occupations/listings?occupationCode=43-3071.00" TargetMode="External" /><Relationship Type="http://schemas.openxmlformats.org/officeDocument/2006/relationships/hyperlink" Id="rId98" Target="https://www.bls.gov/oes/2025/may/oes_stru.htm" TargetMode="External" /><Relationship Type="http://schemas.openxmlformats.org/officeDocument/2006/relationships/hyperlink" Id="rId97" Target="https://www.bls.gov/ooh/office-and-administrative-support/tellers.htm" TargetMode="External" /><Relationship Type="http://schemas.openxmlformats.org/officeDocument/2006/relationships/hyperlink" Id="rId109" Target="https://www.dol.gov/agencies/eta/advisories/training-and-employment-guidance-letter-no-08-19" TargetMode="External" /><Relationship Type="http://schemas.openxmlformats.org/officeDocument/2006/relationships/hyperlink" Id="rId99" Target="https://www.indeed.com/career/teller/salaries" TargetMode="External" /><Relationship Type="http://schemas.openxmlformats.org/officeDocument/2006/relationships/hyperlink" Id="rId110" Target="https://www.irs.gov/newsroom/irs-updates-frequently-asked-questions-about-section-127-educational-assistance-programs" TargetMode="External" /><Relationship Type="http://schemas.openxmlformats.org/officeDocument/2006/relationships/hyperlink" Id="rId103" Target="https://www.jobbank.gc.ca/marketreport/wages-occupation/14136/ca" TargetMode="External" /><Relationship Type="http://schemas.openxmlformats.org/officeDocument/2006/relationships/hyperlink" Id="rId96" Target="https://www.onetonline.org/link/details/43-3071.00" TargetMode="External" /><Relationship Type="http://schemas.openxmlformats.org/officeDocument/2006/relationships/hyperlink" Id="rId101" Target="https://www.salary.com/research/salary/opening/bank-teller-salary" TargetMode="External" /><Relationship Type="http://schemas.openxmlformats.org/officeDocument/2006/relationships/hyperlink" Id="rId100" Target="https://www.ziprecruiter.com/Salaries/Bank-Teller-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2026-08-09T23:42:14Z</dcterms:created>
  <dcterms:modified xsi:type="dcterms:W3CDTF">2026-08-09T23:42:14Z</dcterms:modified>
</cp:coreProperties>
</file>

<file path=docProps/custom.xml><?xml version="1.0" encoding="utf-8"?>
<Properties xmlns="http://schemas.openxmlformats.org/officeDocument/2006/custom-properties" xmlns:vt="http://schemas.openxmlformats.org/officeDocument/2006/docPropsVTypes"/>
</file>