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X95a34d795d9a6747b406530d9f48009a33cfcc0"/>
    <w:p>
      <w:pPr>
        <w:pStyle w:val="Heading1"/>
      </w:pPr>
      <w:r>
        <w:t xml:space="preserve">Guide 18 — Legal Administrative Assistant and Legal Office Coordinator</w:t>
      </w:r>
    </w:p>
    <w:p>
      <w:pPr>
        <w:pStyle w:val="FirstParagraph"/>
      </w:pPr>
      <w:r>
        <w:rPr>
          <w:bCs/>
          <w:b/>
        </w:rPr>
        <w:t xml:space="preserve">Controlled English working master, version 2</w:t>
      </w:r>
      <w:r>
        <w:br/>
      </w:r>
      <w:r>
        <w:rPr>
          <w:bCs/>
          <w:b/>
        </w:rPr>
        <w:t xml:space="preserve">Revision date:</w:t>
      </w:r>
      <w:r>
        <w:t xml:space="preserve"> </w:t>
      </w:r>
      <w:r>
        <w:t xml:space="preserve">2026-08-09</w:t>
      </w:r>
      <w:r>
        <w:br/>
      </w:r>
      <w:r>
        <w:rPr>
          <w:bCs/>
          <w:b/>
        </w:rPr>
        <w:t xml:space="preserve">Status:</w:t>
      </w:r>
      <w:r>
        <w:t xml:space="preserve"> </w:t>
      </w:r>
      <w:r>
        <w:t xml:space="preserve">ENGLISH WORKING MASTER — controlled editorial candidate</w:t>
      </w:r>
    </w:p>
    <w:p>
      <w:pPr>
        <w:pStyle w:val="BodyText"/>
      </w:pPr>
      <w:r>
        <w:t xml:space="preserve">This guide is career-exploration and education-planning information. It is not legal advice, does not authorize anyone to practice law, and does not replace the rules of a court, regulator, employer, bar authority, educational institution, or other competent authority. Requirements, wages, job titles, training, funding, technology, and professional-responsibility rules change. Verify important decisions with current official sources and the relevant employer, educational institution, workforce agency, regulator, court, bar authority, or qualified professional.</w:t>
      </w:r>
    </w:p>
    <w:p>
      <w:pPr>
        <w:pStyle w:val="BodyText"/>
      </w:pPr>
      <w:r>
        <w:t xml:space="preserve">This edition is machine-assisted and internally reviewed. It does not claim independent human certification, professional translation certification, accessibility certification, accreditation review, legal review, regulator approval, or guaranteed employment.</w:t>
      </w:r>
    </w:p>
    <w:p>
      <w:r>
        <w:pict>
          <v:rect style="width:0;height:1.5pt" o:hralign="center" o:hrstd="t" o:hr="t"/>
        </w:pict>
      </w:r>
    </w:p>
    <w:bookmarkStart w:id="20" w:name="X4666c8db187a468bd7c4d1efd69e1ca31a62544"/>
    <w:p>
      <w:pPr>
        <w:pStyle w:val="Heading2"/>
      </w:pPr>
      <w:r>
        <w:t xml:space="preserve">1. Purpose and scope</w:t>
      </w:r>
    </w:p>
    <w:p>
      <w:pPr>
        <w:pStyle w:val="FirstParagraph"/>
      </w:pPr>
      <w:r>
        <w:t xml:space="preserve">Legal administrative assistants and legal office coordinators help law offices, legal departments, courts, government offices, and related organizations manage documents, schedules, communications, records, workflow, and client-service administration. The role can provide an accessible entry point into legal-support work for people with strong organization, writing, technology, confidentiality, and customer-service skills.</w:t>
      </w:r>
    </w:p>
    <w:p>
      <w:pPr>
        <w:pStyle w:val="BodyText"/>
      </w:pPr>
      <w:r>
        <w:t xml:space="preserve">The work is administrative support in a legal environment. That distinction matters. A legal administrative assistant may work with legal terminology, court documents, deadlines, case files, correspondence, billing, calendars, and research-support tasks, but the job title alone does</w:t>
      </w:r>
      <w:r>
        <w:t xml:space="preserve"> </w:t>
      </w:r>
      <w:r>
        <w:rPr>
          <w:bCs/>
          <w:b/>
        </w:rPr>
        <w:t xml:space="preserve">not</w:t>
      </w:r>
      <w:r>
        <w:t xml:space="preserve"> </w:t>
      </w:r>
      <w:r>
        <w:t xml:space="preserve">authorize independent legal advice, representation, legal strategy, fee-setting, establishment of an attorney-client relationship, or any other activity reserved by the applicable jurisdiction to lawyers or other specifically authorized professionals.</w:t>
      </w:r>
    </w:p>
    <w:p>
      <w:pPr>
        <w:pStyle w:val="BodyText"/>
      </w:pPr>
      <w:r>
        <w:t xml:space="preserve">This guide covers practical entry routes in the United States and Canada, free-first options in Colombia and Latin America, current wage and labor-market evidence, education and workforce funding, accessibility, privacy and cybersecurity, responsible AI, job-search preparation, and career progression.</w:t>
      </w:r>
    </w:p>
    <w:p>
      <w:r>
        <w:pict>
          <v:rect style="width:0;height:1.5pt" o:hralign="center" o:hrstd="t" o:hr="t"/>
        </w:pict>
      </w:r>
    </w:p>
    <w:bookmarkEnd w:id="20"/>
    <w:bookmarkStart w:id="24" w:name="Xeddb04534e9bd6757582c0526d05b76bff31f3e"/>
    <w:p>
      <w:pPr>
        <w:pStyle w:val="Heading2"/>
      </w:pPr>
      <w:r>
        <w:t xml:space="preserve">2. Role definition and legal-practice boundary</w:t>
      </w:r>
    </w:p>
    <w:bookmarkStart w:id="21" w:name="united-states-occupational-mapping"/>
    <w:p>
      <w:pPr>
        <w:pStyle w:val="Heading3"/>
      </w:pPr>
      <w:r>
        <w:t xml:space="preserve">United States occupational mapping</w:t>
      </w:r>
    </w:p>
    <w:p>
      <w:pPr>
        <w:pStyle w:val="FirstParagraph"/>
      </w:pPr>
      <w:r>
        <w:t xml:space="preserve">The principal U.S. occupational reference is</w:t>
      </w:r>
      <w:r>
        <w:t xml:space="preserve"> </w:t>
      </w:r>
      <w:r>
        <w:rPr>
          <w:bCs/>
          <w:b/>
        </w:rPr>
        <w:t xml:space="preserve">O*NET 43-6012.00 — Legal Secretaries and Administrative Assistants</w:t>
      </w:r>
      <w:r>
        <w:t xml:space="preserve">. O*NET, updated in 2026, describes the occupation as performing secretarial duties using legal terminology, procedures, and documents; preparing legal papers and correspondence such as summonses, complaints, motions, and subpoenas; and sometimes assisting with legal research.</w:t>
      </w:r>
    </w:p>
    <w:p>
      <w:pPr>
        <w:pStyle w:val="BodyText"/>
      </w:pPr>
      <w:r>
        <w:t xml:space="preserve">Reported job titles include:</w:t>
      </w:r>
    </w:p>
    <w:p>
      <w:pPr>
        <w:numPr>
          <w:ilvl w:val="0"/>
          <w:numId w:val="1001"/>
        </w:numPr>
        <w:pStyle w:val="Compact"/>
      </w:pPr>
      <w:r>
        <w:t xml:space="preserve">Legal Administrative Assistant</w:t>
      </w:r>
    </w:p>
    <w:p>
      <w:pPr>
        <w:numPr>
          <w:ilvl w:val="0"/>
          <w:numId w:val="1001"/>
        </w:numPr>
        <w:pStyle w:val="Compact"/>
      </w:pPr>
      <w:r>
        <w:t xml:space="preserve">Legal Coordinator</w:t>
      </w:r>
    </w:p>
    <w:p>
      <w:pPr>
        <w:numPr>
          <w:ilvl w:val="0"/>
          <w:numId w:val="1001"/>
        </w:numPr>
        <w:pStyle w:val="Compact"/>
      </w:pPr>
      <w:r>
        <w:t xml:space="preserve">Legal Office Support Assistant</w:t>
      </w:r>
    </w:p>
    <w:p>
      <w:pPr>
        <w:numPr>
          <w:ilvl w:val="0"/>
          <w:numId w:val="1001"/>
        </w:numPr>
        <w:pStyle w:val="Compact"/>
      </w:pPr>
      <w:r>
        <w:t xml:space="preserve">Legal Practice Assistant</w:t>
      </w:r>
    </w:p>
    <w:p>
      <w:pPr>
        <w:numPr>
          <w:ilvl w:val="0"/>
          <w:numId w:val="1001"/>
        </w:numPr>
        <w:pStyle w:val="Compact"/>
      </w:pPr>
      <w:r>
        <w:t xml:space="preserve">Legal Secretary</w:t>
      </w:r>
    </w:p>
    <w:p>
      <w:pPr>
        <w:numPr>
          <w:ilvl w:val="0"/>
          <w:numId w:val="1001"/>
        </w:numPr>
        <w:pStyle w:val="Compact"/>
      </w:pPr>
      <w:r>
        <w:t xml:space="preserve">Litigation Secretary</w:t>
      </w:r>
    </w:p>
    <w:p>
      <w:pPr>
        <w:numPr>
          <w:ilvl w:val="0"/>
          <w:numId w:val="1001"/>
        </w:numPr>
        <w:pStyle w:val="Compact"/>
      </w:pPr>
      <w:r>
        <w:t xml:space="preserve">Legal Administrator</w:t>
      </w:r>
    </w:p>
    <w:p>
      <w:pPr>
        <w:numPr>
          <w:ilvl w:val="0"/>
          <w:numId w:val="1001"/>
        </w:numPr>
        <w:pStyle w:val="Compact"/>
      </w:pPr>
      <w:r>
        <w:t xml:space="preserve">Magistrate Assistant</w:t>
      </w:r>
    </w:p>
    <w:p>
      <w:pPr>
        <w:pStyle w:val="FirstParagraph"/>
      </w:pPr>
      <w:r>
        <w:t xml:space="preserve">Titles vary substantially by employer. “Legal assistant” can sometimes overlap with paralegal or substantive legal-support work, while “legal administrative assistant” may be focused more heavily on office administration. Read the actual job description rather than relying on title alone.</w:t>
      </w:r>
    </w:p>
    <w:bookmarkEnd w:id="21"/>
    <w:bookmarkStart w:id="22" w:name="what-the-role-may-include"/>
    <w:p>
      <w:pPr>
        <w:pStyle w:val="Heading3"/>
      </w:pPr>
      <w:r>
        <w:t xml:space="preserve">What the role may include</w:t>
      </w:r>
    </w:p>
    <w:p>
      <w:pPr>
        <w:pStyle w:val="FirstParagraph"/>
      </w:pPr>
      <w:r>
        <w:t xml:space="preserve">Depending on the employer, jurisdiction, supervision, and authority assigned, work may include:</w:t>
      </w:r>
    </w:p>
    <w:p>
      <w:pPr>
        <w:numPr>
          <w:ilvl w:val="0"/>
          <w:numId w:val="1002"/>
        </w:numPr>
        <w:pStyle w:val="Compact"/>
      </w:pPr>
      <w:r>
        <w:t xml:space="preserve">preparing and formatting correspondence and legal documents from approved instructions or templates;</w:t>
      </w:r>
    </w:p>
    <w:p>
      <w:pPr>
        <w:numPr>
          <w:ilvl w:val="0"/>
          <w:numId w:val="1002"/>
        </w:numPr>
        <w:pStyle w:val="Compact"/>
      </w:pPr>
      <w:r>
        <w:t xml:space="preserve">organizing electronic and paper matter files;</w:t>
      </w:r>
    </w:p>
    <w:p>
      <w:pPr>
        <w:numPr>
          <w:ilvl w:val="0"/>
          <w:numId w:val="1002"/>
        </w:numPr>
        <w:pStyle w:val="Compact"/>
      </w:pPr>
      <w:r>
        <w:t xml:space="preserve">calendaring hearings, meetings, filing dates, discovery dates, and internal deadlines;</w:t>
      </w:r>
    </w:p>
    <w:p>
      <w:pPr>
        <w:numPr>
          <w:ilvl w:val="0"/>
          <w:numId w:val="1002"/>
        </w:numPr>
        <w:pStyle w:val="Compact"/>
      </w:pPr>
      <w:r>
        <w:t xml:space="preserve">arranging meetings, travel, depositions, or conference logistics;</w:t>
      </w:r>
    </w:p>
    <w:p>
      <w:pPr>
        <w:numPr>
          <w:ilvl w:val="0"/>
          <w:numId w:val="1002"/>
        </w:numPr>
        <w:pStyle w:val="Compact"/>
      </w:pPr>
      <w:r>
        <w:t xml:space="preserve">processing mail, email, records, invoices, expenses, and routine billing information;</w:t>
      </w:r>
    </w:p>
    <w:p>
      <w:pPr>
        <w:numPr>
          <w:ilvl w:val="0"/>
          <w:numId w:val="1002"/>
        </w:numPr>
        <w:pStyle w:val="Compact"/>
      </w:pPr>
      <w:r>
        <w:t xml:space="preserve">communicating routine procedural or administrative information to clients and outside parties within authorized limits;</w:t>
      </w:r>
    </w:p>
    <w:p>
      <w:pPr>
        <w:numPr>
          <w:ilvl w:val="0"/>
          <w:numId w:val="1002"/>
        </w:numPr>
        <w:pStyle w:val="Compact"/>
      </w:pPr>
      <w:r>
        <w:t xml:space="preserve">filing documents through approved court or agency systems when authorized;</w:t>
      </w:r>
    </w:p>
    <w:p>
      <w:pPr>
        <w:numPr>
          <w:ilvl w:val="0"/>
          <w:numId w:val="1002"/>
        </w:numPr>
        <w:pStyle w:val="Compact"/>
      </w:pPr>
      <w:r>
        <w:t xml:space="preserve">proofreading names, dates, citations, formatting, addresses, and document completeness;</w:t>
      </w:r>
    </w:p>
    <w:p>
      <w:pPr>
        <w:numPr>
          <w:ilvl w:val="0"/>
          <w:numId w:val="1002"/>
        </w:numPr>
        <w:pStyle w:val="Compact"/>
      </w:pPr>
      <w:r>
        <w:t xml:space="preserve">maintaining contact lists, matter metadata, document-management records, and workflow trackers;</w:t>
      </w:r>
    </w:p>
    <w:p>
      <w:pPr>
        <w:numPr>
          <w:ilvl w:val="0"/>
          <w:numId w:val="1002"/>
        </w:numPr>
        <w:pStyle w:val="Compact"/>
      </w:pPr>
      <w:r>
        <w:t xml:space="preserve">supporting attorneys or authorized legal professionals with research logistics, document retrieval, and case preparation;</w:t>
      </w:r>
    </w:p>
    <w:p>
      <w:pPr>
        <w:numPr>
          <w:ilvl w:val="0"/>
          <w:numId w:val="1002"/>
        </w:numPr>
        <w:pStyle w:val="Compact"/>
      </w:pPr>
      <w:r>
        <w:t xml:space="preserve">protecting confidential and privileged information according to employer policy and applicable rules.</w:t>
      </w:r>
    </w:p>
    <w:bookmarkEnd w:id="22"/>
    <w:bookmarkStart w:id="23" w:name="Xa751895f9de3375ecd561494046e06b7e13424e"/>
    <w:p>
      <w:pPr>
        <w:pStyle w:val="Heading3"/>
      </w:pPr>
      <w:r>
        <w:t xml:space="preserve">What the role does not authorize by itself</w:t>
      </w:r>
    </w:p>
    <w:p>
      <w:pPr>
        <w:pStyle w:val="FirstParagraph"/>
      </w:pPr>
      <w:r>
        <w:t xml:space="preserve">A nonlawyer administrative title does not automatically authorize a person to:</w:t>
      </w:r>
    </w:p>
    <w:p>
      <w:pPr>
        <w:numPr>
          <w:ilvl w:val="0"/>
          <w:numId w:val="1003"/>
        </w:numPr>
        <w:pStyle w:val="Compact"/>
      </w:pPr>
      <w:r>
        <w:t xml:space="preserve">give individualized legal advice;</w:t>
      </w:r>
    </w:p>
    <w:p>
      <w:pPr>
        <w:numPr>
          <w:ilvl w:val="0"/>
          <w:numId w:val="1003"/>
        </w:numPr>
        <w:pStyle w:val="Compact"/>
      </w:pPr>
      <w:r>
        <w:t xml:space="preserve">choose legal strategy independently;</w:t>
      </w:r>
    </w:p>
    <w:p>
      <w:pPr>
        <w:numPr>
          <w:ilvl w:val="0"/>
          <w:numId w:val="1003"/>
        </w:numPr>
        <w:pStyle w:val="Compact"/>
      </w:pPr>
      <w:r>
        <w:t xml:space="preserve">tell a person what legal rights they have in a specific matter as though acting as their lawyer;</w:t>
      </w:r>
    </w:p>
    <w:p>
      <w:pPr>
        <w:numPr>
          <w:ilvl w:val="0"/>
          <w:numId w:val="1003"/>
        </w:numPr>
        <w:pStyle w:val="Compact"/>
      </w:pPr>
      <w:r>
        <w:t xml:space="preserve">establish an attorney-client relationship;</w:t>
      </w:r>
    </w:p>
    <w:p>
      <w:pPr>
        <w:numPr>
          <w:ilvl w:val="0"/>
          <w:numId w:val="1003"/>
        </w:numPr>
        <w:pStyle w:val="Compact"/>
      </w:pPr>
      <w:r>
        <w:t xml:space="preserve">set legal fees or negotiate representation terms without authorized direction;</w:t>
      </w:r>
    </w:p>
    <w:p>
      <w:pPr>
        <w:numPr>
          <w:ilvl w:val="0"/>
          <w:numId w:val="1003"/>
        </w:numPr>
        <w:pStyle w:val="Compact"/>
      </w:pPr>
      <w:r>
        <w:t xml:space="preserve">sign pleadings or legal instruments when a lawyer or another specifically authorized professional must sign;</w:t>
      </w:r>
    </w:p>
    <w:p>
      <w:pPr>
        <w:numPr>
          <w:ilvl w:val="0"/>
          <w:numId w:val="1003"/>
        </w:numPr>
        <w:pStyle w:val="Compact"/>
      </w:pPr>
      <w:r>
        <w:t xml:space="preserve">appear in court or represent clients unless the jurisdiction specifically permits that activity;</w:t>
      </w:r>
    </w:p>
    <w:p>
      <w:pPr>
        <w:numPr>
          <w:ilvl w:val="0"/>
          <w:numId w:val="1003"/>
        </w:numPr>
        <w:pStyle w:val="Compact"/>
      </w:pPr>
      <w:r>
        <w:t xml:space="preserve">make final legal judgments reserved to a lawyer or other authorized professional.</w:t>
      </w:r>
    </w:p>
    <w:p>
      <w:pPr>
        <w:pStyle w:val="FirstParagraph"/>
      </w:pPr>
      <w:r>
        <w:t xml:space="preserve">The American Bar Association’s guidance on nonlawyer assistance emphasizes supervision and notes that whether a nonlawyer may answer a specific question depends on the question and on what the jurisdiction defines as the practice of law. Local law controls.</w:t>
      </w:r>
    </w:p>
    <w:p>
      <w:pPr>
        <w:pStyle w:val="BodyText"/>
      </w:pPr>
      <w:r>
        <w:rPr>
          <w:bCs/>
          <w:b/>
        </w:rPr>
        <w:t xml:space="preserve">Safe rule:</w:t>
      </w:r>
      <w:r>
        <w:t xml:space="preserve"> </w:t>
      </w:r>
      <w:r>
        <w:t xml:space="preserve">when a request moves from administrative information into legal interpretation, strategy, rights, obligations, representation, or a judgment reserved to an authorized professional, stop and escalate to the supervising lawyer or other designated professional.</w:t>
      </w:r>
    </w:p>
    <w:p>
      <w:r>
        <w:pict>
          <v:rect style="width:0;height:1.5pt" o:hralign="center" o:hrstd="t" o:hr="t"/>
        </w:pict>
      </w:r>
    </w:p>
    <w:bookmarkEnd w:id="23"/>
    <w:bookmarkEnd w:id="24"/>
    <w:bookmarkStart w:id="25" w:name="X9cdadf4af62b2b553a60c79d07dc1f6886b46cd"/>
    <w:p>
      <w:pPr>
        <w:pStyle w:val="Heading2"/>
      </w:pPr>
      <w:r>
        <w:t xml:space="preserve">3. Common titles and workplaces</w:t>
      </w:r>
    </w:p>
    <w:p>
      <w:pPr>
        <w:pStyle w:val="FirstParagraph"/>
      </w:pPr>
      <w:r>
        <w:t xml:space="preserve">Possible job titles include:</w:t>
      </w:r>
    </w:p>
    <w:p>
      <w:pPr>
        <w:numPr>
          <w:ilvl w:val="0"/>
          <w:numId w:val="1004"/>
        </w:numPr>
        <w:pStyle w:val="Compact"/>
      </w:pPr>
      <w:r>
        <w:t xml:space="preserve">Legal Administrative Assistant</w:t>
      </w:r>
    </w:p>
    <w:p>
      <w:pPr>
        <w:numPr>
          <w:ilvl w:val="0"/>
          <w:numId w:val="1004"/>
        </w:numPr>
        <w:pStyle w:val="Compact"/>
      </w:pPr>
      <w:r>
        <w:t xml:space="preserve">Legal Secretary</w:t>
      </w:r>
    </w:p>
    <w:p>
      <w:pPr>
        <w:numPr>
          <w:ilvl w:val="0"/>
          <w:numId w:val="1004"/>
        </w:numPr>
        <w:pStyle w:val="Compact"/>
      </w:pPr>
      <w:r>
        <w:t xml:space="preserve">Legal Office Coordinator</w:t>
      </w:r>
    </w:p>
    <w:p>
      <w:pPr>
        <w:numPr>
          <w:ilvl w:val="0"/>
          <w:numId w:val="1004"/>
        </w:numPr>
        <w:pStyle w:val="Compact"/>
      </w:pPr>
      <w:r>
        <w:t xml:space="preserve">Legal Practice Assistant</w:t>
      </w:r>
    </w:p>
    <w:p>
      <w:pPr>
        <w:numPr>
          <w:ilvl w:val="0"/>
          <w:numId w:val="1004"/>
        </w:numPr>
        <w:pStyle w:val="Compact"/>
      </w:pPr>
      <w:r>
        <w:t xml:space="preserve">Litigation Secretary</w:t>
      </w:r>
    </w:p>
    <w:p>
      <w:pPr>
        <w:numPr>
          <w:ilvl w:val="0"/>
          <w:numId w:val="1004"/>
        </w:numPr>
        <w:pStyle w:val="Compact"/>
      </w:pPr>
      <w:r>
        <w:t xml:space="preserve">Legal Department Assistant</w:t>
      </w:r>
    </w:p>
    <w:p>
      <w:pPr>
        <w:numPr>
          <w:ilvl w:val="0"/>
          <w:numId w:val="1004"/>
        </w:numPr>
        <w:pStyle w:val="Compact"/>
      </w:pPr>
      <w:r>
        <w:t xml:space="preserve">Legal Operations Assistant</w:t>
      </w:r>
    </w:p>
    <w:p>
      <w:pPr>
        <w:numPr>
          <w:ilvl w:val="0"/>
          <w:numId w:val="1004"/>
        </w:numPr>
        <w:pStyle w:val="Compact"/>
      </w:pPr>
      <w:r>
        <w:t xml:space="preserve">Court Administrative Assistant</w:t>
      </w:r>
    </w:p>
    <w:p>
      <w:pPr>
        <w:numPr>
          <w:ilvl w:val="0"/>
          <w:numId w:val="1004"/>
        </w:numPr>
        <w:pStyle w:val="Compact"/>
      </w:pPr>
      <w:r>
        <w:t xml:space="preserve">Legal Office Support Specialist</w:t>
      </w:r>
    </w:p>
    <w:p>
      <w:pPr>
        <w:numPr>
          <w:ilvl w:val="0"/>
          <w:numId w:val="1004"/>
        </w:numPr>
        <w:pStyle w:val="Compact"/>
      </w:pPr>
      <w:r>
        <w:t xml:space="preserve">Administrative Assistant — Legal</w:t>
      </w:r>
    </w:p>
    <w:p>
      <w:pPr>
        <w:pStyle w:val="FirstParagraph"/>
      </w:pPr>
      <w:r>
        <w:t xml:space="preserve">Potential work settings include:</w:t>
      </w:r>
    </w:p>
    <w:p>
      <w:pPr>
        <w:numPr>
          <w:ilvl w:val="0"/>
          <w:numId w:val="1005"/>
        </w:numPr>
        <w:pStyle w:val="Compact"/>
      </w:pPr>
      <w:r>
        <w:t xml:space="preserve">private law firms;</w:t>
      </w:r>
    </w:p>
    <w:p>
      <w:pPr>
        <w:numPr>
          <w:ilvl w:val="0"/>
          <w:numId w:val="1005"/>
        </w:numPr>
        <w:pStyle w:val="Compact"/>
      </w:pPr>
      <w:r>
        <w:t xml:space="preserve">corporate legal departments;</w:t>
      </w:r>
    </w:p>
    <w:p>
      <w:pPr>
        <w:numPr>
          <w:ilvl w:val="0"/>
          <w:numId w:val="1005"/>
        </w:numPr>
        <w:pStyle w:val="Compact"/>
      </w:pPr>
      <w:r>
        <w:t xml:space="preserve">government legal offices;</w:t>
      </w:r>
    </w:p>
    <w:p>
      <w:pPr>
        <w:numPr>
          <w:ilvl w:val="0"/>
          <w:numId w:val="1005"/>
        </w:numPr>
        <w:pStyle w:val="Compact"/>
      </w:pPr>
      <w:r>
        <w:t xml:space="preserve">municipal, provincial, state, and federal agencies;</w:t>
      </w:r>
    </w:p>
    <w:p>
      <w:pPr>
        <w:numPr>
          <w:ilvl w:val="0"/>
          <w:numId w:val="1005"/>
        </w:numPr>
        <w:pStyle w:val="Compact"/>
      </w:pPr>
      <w:r>
        <w:t xml:space="preserve">courts and judicial offices;</w:t>
      </w:r>
    </w:p>
    <w:p>
      <w:pPr>
        <w:numPr>
          <w:ilvl w:val="0"/>
          <w:numId w:val="1005"/>
        </w:numPr>
        <w:pStyle w:val="Compact"/>
      </w:pPr>
      <w:r>
        <w:t xml:space="preserve">real estate and land-title organizations;</w:t>
      </w:r>
    </w:p>
    <w:p>
      <w:pPr>
        <w:numPr>
          <w:ilvl w:val="0"/>
          <w:numId w:val="1005"/>
        </w:numPr>
        <w:pStyle w:val="Compact"/>
      </w:pPr>
      <w:r>
        <w:t xml:space="preserve">nonprofit legal-service organizations;</w:t>
      </w:r>
    </w:p>
    <w:p>
      <w:pPr>
        <w:numPr>
          <w:ilvl w:val="0"/>
          <w:numId w:val="1005"/>
        </w:numPr>
        <w:pStyle w:val="Compact"/>
      </w:pPr>
      <w:r>
        <w:t xml:space="preserve">insurance or financial organizations with legal departments;</w:t>
      </w:r>
    </w:p>
    <w:p>
      <w:pPr>
        <w:numPr>
          <w:ilvl w:val="0"/>
          <w:numId w:val="1005"/>
        </w:numPr>
        <w:pStyle w:val="Compact"/>
      </w:pPr>
      <w:r>
        <w:t xml:space="preserve">regulated organizations with in-house legal teams.</w:t>
      </w:r>
    </w:p>
    <w:p>
      <w:pPr>
        <w:pStyle w:val="FirstParagraph"/>
      </w:pPr>
      <w:r>
        <w:t xml:space="preserve">Some jobs are fully on-site because of court filings, physical records, confidential materials, client interaction, or office workflow. Others may be hybrid or remote. Remote work does not reduce confidentiality, records-management, security, or supervision obligations.</w:t>
      </w:r>
    </w:p>
    <w:p>
      <w:r>
        <w:pict>
          <v:rect style="width:0;height:1.5pt" o:hralign="center" o:hrstd="t" o:hr="t"/>
        </w:pict>
      </w:r>
    </w:p>
    <w:bookmarkEnd w:id="25"/>
    <w:bookmarkStart w:id="31" w:name="Xb53830a0db4d5c79876209215ecf7735ddaa875"/>
    <w:p>
      <w:pPr>
        <w:pStyle w:val="Heading2"/>
      </w:pPr>
      <w:r>
        <w:t xml:space="preserve">4. Daily work and responsibilities</w:t>
      </w:r>
    </w:p>
    <w:bookmarkStart w:id="26" w:name="document-preparation-and-quality-control"/>
    <w:p>
      <w:pPr>
        <w:pStyle w:val="Heading3"/>
      </w:pPr>
      <w:r>
        <w:t xml:space="preserve">Document preparation and quality control</w:t>
      </w:r>
    </w:p>
    <w:p>
      <w:pPr>
        <w:pStyle w:val="FirstParagraph"/>
      </w:pPr>
      <w:r>
        <w:t xml:space="preserve">You may prepare correspondence, revise templates, format filings, assemble exhibits, compare versions, check captions, update tables, create binders, and confirm that required administrative fields are complete. Accuracy matters because a wrong date, party name, filing destination, attachment, or deadline can create serious consequences.</w:t>
      </w:r>
    </w:p>
    <w:bookmarkEnd w:id="26"/>
    <w:bookmarkStart w:id="27" w:name="calendar-and-deadline-support"/>
    <w:p>
      <w:pPr>
        <w:pStyle w:val="Heading3"/>
      </w:pPr>
      <w:r>
        <w:t xml:space="preserve">Calendar and deadline support</w:t>
      </w:r>
    </w:p>
    <w:p>
      <w:pPr>
        <w:pStyle w:val="FirstParagraph"/>
      </w:pPr>
      <w:r>
        <w:t xml:space="preserve">Legal offices often work around statutes, court rules, filing schedules, hearing dates, contractual milestones, client commitments, and internal review deadlines. Administrative staff may enter or maintain dates, but should follow the employer’s approved calendaring system and supervision rules rather than independently interpreting a legal deadline when the rule is unclear.</w:t>
      </w:r>
    </w:p>
    <w:bookmarkEnd w:id="27"/>
    <w:bookmarkStart w:id="28" w:name="client-and-outside-party-communication"/>
    <w:p>
      <w:pPr>
        <w:pStyle w:val="Heading3"/>
      </w:pPr>
      <w:r>
        <w:t xml:space="preserve">Client and outside-party communication</w:t>
      </w:r>
    </w:p>
    <w:p>
      <w:pPr>
        <w:pStyle w:val="FirstParagraph"/>
      </w:pPr>
      <w:r>
        <w:t xml:space="preserve">You may answer calls, schedule meetings, gather routine intake information, send approved communications, provide logistical information, and route questions. Be careful not to turn routine communication into legal advice.</w:t>
      </w:r>
    </w:p>
    <w:bookmarkEnd w:id="28"/>
    <w:bookmarkStart w:id="29" w:name="records-and-matter-management"/>
    <w:p>
      <w:pPr>
        <w:pStyle w:val="Heading3"/>
      </w:pPr>
      <w:r>
        <w:t xml:space="preserve">Records and matter management</w:t>
      </w:r>
    </w:p>
    <w:p>
      <w:pPr>
        <w:pStyle w:val="FirstParagraph"/>
      </w:pPr>
      <w:r>
        <w:t xml:space="preserve">Work may include opening and closing files, applying naming conventions, checking metadata, maintaining document-management systems, scanning, indexing, archiving, following retention instructions, and restricting access to sensitive matters.</w:t>
      </w:r>
    </w:p>
    <w:bookmarkEnd w:id="29"/>
    <w:bookmarkStart w:id="30" w:name="billing-and-operations-support"/>
    <w:p>
      <w:pPr>
        <w:pStyle w:val="Heading3"/>
      </w:pPr>
      <w:r>
        <w:t xml:space="preserve">Billing and operations support</w:t>
      </w:r>
    </w:p>
    <w:p>
      <w:pPr>
        <w:pStyle w:val="FirstParagraph"/>
      </w:pPr>
      <w:r>
        <w:t xml:space="preserve">Depending on the employer, you may assist with time-entry follow-up, invoices, expense submissions, vendor records, purchase requests, engagement paperwork, or administrative reports. Do not alter billing, financial, or engagement terms beyond your authorization.</w:t>
      </w:r>
    </w:p>
    <w:p>
      <w:r>
        <w:pict>
          <v:rect style="width:0;height:1.5pt" o:hralign="center" o:hrstd="t" o:hr="t"/>
        </w:pict>
      </w:r>
    </w:p>
    <w:bookmarkEnd w:id="30"/>
    <w:bookmarkEnd w:id="31"/>
    <w:bookmarkStart w:id="32" w:name="Xe2ea9fdd6a50516498b5f90bac2068c95fad8c2"/>
    <w:p>
      <w:pPr>
        <w:pStyle w:val="Heading2"/>
      </w:pPr>
      <w:r>
        <w:t xml:space="preserve">5. Core skills and technology</w:t>
      </w:r>
    </w:p>
    <w:p>
      <w:pPr>
        <w:pStyle w:val="FirstParagraph"/>
      </w:pPr>
      <w:r>
        <w:t xml:space="preserve">Useful skills include:</w:t>
      </w:r>
    </w:p>
    <w:p>
      <w:pPr>
        <w:numPr>
          <w:ilvl w:val="0"/>
          <w:numId w:val="1006"/>
        </w:numPr>
        <w:pStyle w:val="Compact"/>
      </w:pPr>
      <w:r>
        <w:t xml:space="preserve">professional writing and proofreading;</w:t>
      </w:r>
    </w:p>
    <w:p>
      <w:pPr>
        <w:numPr>
          <w:ilvl w:val="0"/>
          <w:numId w:val="1006"/>
        </w:numPr>
        <w:pStyle w:val="Compact"/>
      </w:pPr>
      <w:r>
        <w:t xml:space="preserve">grammar, spelling, punctuation, and formatting;</w:t>
      </w:r>
    </w:p>
    <w:p>
      <w:pPr>
        <w:numPr>
          <w:ilvl w:val="0"/>
          <w:numId w:val="1006"/>
        </w:numPr>
        <w:pStyle w:val="Compact"/>
      </w:pPr>
      <w:r>
        <w:t xml:space="preserve">organization and priority management;</w:t>
      </w:r>
    </w:p>
    <w:p>
      <w:pPr>
        <w:numPr>
          <w:ilvl w:val="0"/>
          <w:numId w:val="1006"/>
        </w:numPr>
        <w:pStyle w:val="Compact"/>
      </w:pPr>
      <w:r>
        <w:t xml:space="preserve">calendar and deadline discipline;</w:t>
      </w:r>
    </w:p>
    <w:p>
      <w:pPr>
        <w:numPr>
          <w:ilvl w:val="0"/>
          <w:numId w:val="1006"/>
        </w:numPr>
        <w:pStyle w:val="Compact"/>
      </w:pPr>
      <w:r>
        <w:t xml:space="preserve">active listening and professional telephone communication;</w:t>
      </w:r>
    </w:p>
    <w:p>
      <w:pPr>
        <w:numPr>
          <w:ilvl w:val="0"/>
          <w:numId w:val="1006"/>
        </w:numPr>
        <w:pStyle w:val="Compact"/>
      </w:pPr>
      <w:r>
        <w:t xml:space="preserve">confidentiality and discretion;</w:t>
      </w:r>
    </w:p>
    <w:p>
      <w:pPr>
        <w:numPr>
          <w:ilvl w:val="0"/>
          <w:numId w:val="1006"/>
        </w:numPr>
        <w:pStyle w:val="Compact"/>
      </w:pPr>
      <w:r>
        <w:t xml:space="preserve">document management;</w:t>
      </w:r>
    </w:p>
    <w:p>
      <w:pPr>
        <w:numPr>
          <w:ilvl w:val="0"/>
          <w:numId w:val="1006"/>
        </w:numPr>
        <w:pStyle w:val="Compact"/>
      </w:pPr>
      <w:r>
        <w:t xml:space="preserve">accurate data entry;</w:t>
      </w:r>
    </w:p>
    <w:p>
      <w:pPr>
        <w:numPr>
          <w:ilvl w:val="0"/>
          <w:numId w:val="1006"/>
        </w:numPr>
        <w:pStyle w:val="Compact"/>
      </w:pPr>
      <w:r>
        <w:t xml:space="preserve">customer and client service;</w:t>
      </w:r>
    </w:p>
    <w:p>
      <w:pPr>
        <w:numPr>
          <w:ilvl w:val="0"/>
          <w:numId w:val="1006"/>
        </w:numPr>
        <w:pStyle w:val="Compact"/>
      </w:pPr>
      <w:r>
        <w:t xml:space="preserve">basic arithmetic for expenses and billing support;</w:t>
      </w:r>
    </w:p>
    <w:p>
      <w:pPr>
        <w:numPr>
          <w:ilvl w:val="0"/>
          <w:numId w:val="1006"/>
        </w:numPr>
        <w:pStyle w:val="Compact"/>
      </w:pPr>
      <w:r>
        <w:t xml:space="preserve">teamwork and escalation judgment;</w:t>
      </w:r>
    </w:p>
    <w:p>
      <w:pPr>
        <w:numPr>
          <w:ilvl w:val="0"/>
          <w:numId w:val="1006"/>
        </w:numPr>
        <w:pStyle w:val="Compact"/>
      </w:pPr>
      <w:r>
        <w:t xml:space="preserve">ability to learn legal terminology without pretending to be a lawyer.</w:t>
      </w:r>
    </w:p>
    <w:p>
      <w:pPr>
        <w:pStyle w:val="FirstParagraph"/>
      </w:pPr>
      <w:r>
        <w:t xml:space="preserve">Common technology categories may include:</w:t>
      </w:r>
    </w:p>
    <w:p>
      <w:pPr>
        <w:numPr>
          <w:ilvl w:val="0"/>
          <w:numId w:val="1007"/>
        </w:numPr>
        <w:pStyle w:val="Compact"/>
      </w:pPr>
      <w:r>
        <w:t xml:space="preserve">word processing;</w:t>
      </w:r>
    </w:p>
    <w:p>
      <w:pPr>
        <w:numPr>
          <w:ilvl w:val="0"/>
          <w:numId w:val="1007"/>
        </w:numPr>
        <w:pStyle w:val="Compact"/>
      </w:pPr>
      <w:r>
        <w:t xml:space="preserve">spreadsheets;</w:t>
      </w:r>
    </w:p>
    <w:p>
      <w:pPr>
        <w:numPr>
          <w:ilvl w:val="0"/>
          <w:numId w:val="1007"/>
        </w:numPr>
        <w:pStyle w:val="Compact"/>
      </w:pPr>
      <w:r>
        <w:t xml:space="preserve">email and calendar systems;</w:t>
      </w:r>
    </w:p>
    <w:p>
      <w:pPr>
        <w:numPr>
          <w:ilvl w:val="0"/>
          <w:numId w:val="1007"/>
        </w:numPr>
        <w:pStyle w:val="Compact"/>
      </w:pPr>
      <w:r>
        <w:t xml:space="preserve">PDF tools;</w:t>
      </w:r>
    </w:p>
    <w:p>
      <w:pPr>
        <w:numPr>
          <w:ilvl w:val="0"/>
          <w:numId w:val="1007"/>
        </w:numPr>
        <w:pStyle w:val="Compact"/>
      </w:pPr>
      <w:r>
        <w:t xml:space="preserve">document-management systems;</w:t>
      </w:r>
    </w:p>
    <w:p>
      <w:pPr>
        <w:numPr>
          <w:ilvl w:val="0"/>
          <w:numId w:val="1007"/>
        </w:numPr>
        <w:pStyle w:val="Compact"/>
      </w:pPr>
      <w:r>
        <w:t xml:space="preserve">case- or matter-management systems;</w:t>
      </w:r>
    </w:p>
    <w:p>
      <w:pPr>
        <w:numPr>
          <w:ilvl w:val="0"/>
          <w:numId w:val="1007"/>
        </w:numPr>
        <w:pStyle w:val="Compact"/>
      </w:pPr>
      <w:r>
        <w:t xml:space="preserve">time and billing systems;</w:t>
      </w:r>
    </w:p>
    <w:p>
      <w:pPr>
        <w:numPr>
          <w:ilvl w:val="0"/>
          <w:numId w:val="1007"/>
        </w:numPr>
        <w:pStyle w:val="Compact"/>
      </w:pPr>
      <w:r>
        <w:t xml:space="preserve">electronic court filing systems;</w:t>
      </w:r>
    </w:p>
    <w:p>
      <w:pPr>
        <w:numPr>
          <w:ilvl w:val="0"/>
          <w:numId w:val="1007"/>
        </w:numPr>
        <w:pStyle w:val="Compact"/>
      </w:pPr>
      <w:r>
        <w:t xml:space="preserve">secure file-sharing platforms;</w:t>
      </w:r>
    </w:p>
    <w:p>
      <w:pPr>
        <w:numPr>
          <w:ilvl w:val="0"/>
          <w:numId w:val="1007"/>
        </w:numPr>
        <w:pStyle w:val="Compact"/>
      </w:pPr>
      <w:r>
        <w:t xml:space="preserve">videoconferencing and collaboration tools;</w:t>
      </w:r>
    </w:p>
    <w:p>
      <w:pPr>
        <w:numPr>
          <w:ilvl w:val="0"/>
          <w:numId w:val="1007"/>
        </w:numPr>
        <w:pStyle w:val="Compact"/>
      </w:pPr>
      <w:r>
        <w:t xml:space="preserve">approved AI or document-automation tools where the employer permits them.</w:t>
      </w:r>
    </w:p>
    <w:p>
      <w:pPr>
        <w:pStyle w:val="FirstParagraph"/>
      </w:pPr>
      <w:r>
        <w:t xml:space="preserve">The specific product matters less at entry level than the ability to learn controlled workflows accurately and protect information.</w:t>
      </w:r>
    </w:p>
    <w:p>
      <w:r>
        <w:pict>
          <v:rect style="width:0;height:1.5pt" o:hralign="center" o:hrstd="t" o:hr="t"/>
        </w:pict>
      </w:r>
    </w:p>
    <w:bookmarkEnd w:id="32"/>
    <w:bookmarkStart w:id="36" w:name="X0faf939a4a865e5e178495c3766ea5d73cbb570"/>
    <w:p>
      <w:pPr>
        <w:pStyle w:val="Heading2"/>
      </w:pPr>
      <w:r>
        <w:t xml:space="preserve">6. Entry requirements</w:t>
      </w:r>
    </w:p>
    <w:bookmarkStart w:id="33" w:name="united-states"/>
    <w:p>
      <w:pPr>
        <w:pStyle w:val="Heading3"/>
      </w:pPr>
      <w:r>
        <w:t xml:space="preserve">United States</w:t>
      </w:r>
    </w:p>
    <w:p>
      <w:pPr>
        <w:pStyle w:val="FirstParagraph"/>
      </w:pPr>
      <w:r>
        <w:t xml:space="preserve">The U.S. Bureau of Labor Statistics states that high school graduates who are comfortable with word-processing and spreadsheet programs usually qualify for entry-level secretary and administrative-assistant positions. Legal and medical secretaries may need additional training in industry-specific terminology.</w:t>
      </w:r>
    </w:p>
    <w:p>
      <w:pPr>
        <w:pStyle w:val="BodyText"/>
      </w:pPr>
      <w:r>
        <w:t xml:space="preserve">Employers may also prefer or require:</w:t>
      </w:r>
    </w:p>
    <w:p>
      <w:pPr>
        <w:numPr>
          <w:ilvl w:val="0"/>
          <w:numId w:val="1008"/>
        </w:numPr>
        <w:pStyle w:val="Compact"/>
      </w:pPr>
      <w:r>
        <w:t xml:space="preserve">prior office or customer-service experience;</w:t>
      </w:r>
    </w:p>
    <w:p>
      <w:pPr>
        <w:numPr>
          <w:ilvl w:val="0"/>
          <w:numId w:val="1008"/>
        </w:numPr>
        <w:pStyle w:val="Compact"/>
      </w:pPr>
      <w:r>
        <w:t xml:space="preserve">strong typing and proofreading;</w:t>
      </w:r>
    </w:p>
    <w:p>
      <w:pPr>
        <w:numPr>
          <w:ilvl w:val="0"/>
          <w:numId w:val="1008"/>
        </w:numPr>
        <w:pStyle w:val="Compact"/>
      </w:pPr>
      <w:r>
        <w:t xml:space="preserve">familiarity with legal terminology;</w:t>
      </w:r>
    </w:p>
    <w:p>
      <w:pPr>
        <w:numPr>
          <w:ilvl w:val="0"/>
          <w:numId w:val="1008"/>
        </w:numPr>
        <w:pStyle w:val="Compact"/>
      </w:pPr>
      <w:r>
        <w:t xml:space="preserve">experience with court filing or document-management systems;</w:t>
      </w:r>
    </w:p>
    <w:p>
      <w:pPr>
        <w:numPr>
          <w:ilvl w:val="0"/>
          <w:numId w:val="1008"/>
        </w:numPr>
        <w:pStyle w:val="Compact"/>
      </w:pPr>
      <w:r>
        <w:t xml:space="preserve">a certificate, community-college coursework, or associate degree;</w:t>
      </w:r>
    </w:p>
    <w:p>
      <w:pPr>
        <w:numPr>
          <w:ilvl w:val="0"/>
          <w:numId w:val="1008"/>
        </w:numPr>
        <w:pStyle w:val="Compact"/>
      </w:pPr>
      <w:r>
        <w:t xml:space="preserve">bilingual communication for some client populations;</w:t>
      </w:r>
    </w:p>
    <w:p>
      <w:pPr>
        <w:numPr>
          <w:ilvl w:val="0"/>
          <w:numId w:val="1008"/>
        </w:numPr>
        <w:pStyle w:val="Compact"/>
      </w:pPr>
      <w:r>
        <w:t xml:space="preserve">background screening or other employer-specific checks.</w:t>
      </w:r>
    </w:p>
    <w:p>
      <w:pPr>
        <w:pStyle w:val="FirstParagraph"/>
      </w:pPr>
      <w:r>
        <w:t xml:space="preserve">These are employer-dependent, not universal licensing rules for the occupation.</w:t>
      </w:r>
    </w:p>
    <w:bookmarkEnd w:id="33"/>
    <w:bookmarkStart w:id="34" w:name="canada"/>
    <w:p>
      <w:pPr>
        <w:pStyle w:val="Heading3"/>
      </w:pPr>
      <w:r>
        <w:t xml:space="preserve">Canada</w:t>
      </w:r>
    </w:p>
    <w:p>
      <w:pPr>
        <w:pStyle w:val="FirstParagraph"/>
      </w:pPr>
      <w:r>
        <w:t xml:space="preserve">Government of Canada Job Bank maps the work to</w:t>
      </w:r>
      <w:r>
        <w:t xml:space="preserve"> </w:t>
      </w:r>
      <w:r>
        <w:rPr>
          <w:bCs/>
          <w:b/>
        </w:rPr>
        <w:t xml:space="preserve">NOC 13111 — Legal administrative assistants</w:t>
      </w:r>
      <w:r>
        <w:t xml:space="preserve">. Job Bank states that the occupation usually requires a college diploma, apprenticeship training of less than two years, or more than six months of on-the-job training.</w:t>
      </w:r>
    </w:p>
    <w:p>
      <w:pPr>
        <w:pStyle w:val="BodyText"/>
      </w:pPr>
      <w:r>
        <w:t xml:space="preserve">Because requirements vary by province, employer, and exact duties, verify the current job posting and local rules rather than assuming one national credential is mandatory everywhere.</w:t>
      </w:r>
    </w:p>
    <w:bookmarkEnd w:id="34"/>
    <w:bookmarkStart w:id="35" w:name="colombia-and-latin-america"/>
    <w:p>
      <w:pPr>
        <w:pStyle w:val="Heading3"/>
      </w:pPr>
      <w:r>
        <w:t xml:space="preserve">Colombia and Latin America</w:t>
      </w:r>
    </w:p>
    <w:p>
      <w:pPr>
        <w:pStyle w:val="FirstParagraph"/>
      </w:pPr>
      <w:r>
        <w:t xml:space="preserve">There is no single Latin American credential that authorizes legal administrative work across countries. Educational systems, legal professions, court systems, titles, hiring standards, and restrictions on nonlawyer activity differ by jurisdiction.</w:t>
      </w:r>
    </w:p>
    <w:p>
      <w:pPr>
        <w:pStyle w:val="BodyText"/>
      </w:pPr>
      <w:r>
        <w:t xml:space="preserve">For Colombia, general administrative training from SENA can help build transferable office skills. It does not create a license to practice law or automatically qualify a person for specialized legal work.</w:t>
      </w:r>
    </w:p>
    <w:p>
      <w:r>
        <w:pict>
          <v:rect style="width:0;height:1.5pt" o:hralign="center" o:hrstd="t" o:hr="t"/>
        </w:pict>
      </w:r>
    </w:p>
    <w:bookmarkEnd w:id="35"/>
    <w:bookmarkEnd w:id="36"/>
    <w:bookmarkStart w:id="42" w:name="X5cb4942683a0bf17cced67b1dd643b4a5e4577b"/>
    <w:p>
      <w:pPr>
        <w:pStyle w:val="Heading2"/>
      </w:pPr>
      <w:r>
        <w:t xml:space="preserve">7. United States pathway</w:t>
      </w:r>
    </w:p>
    <w:bookmarkStart w:id="37" w:name="step-1--build-office-fundamentals"/>
    <w:p>
      <w:pPr>
        <w:pStyle w:val="Heading3"/>
      </w:pPr>
      <w:r>
        <w:t xml:space="preserve">Step 1 — Build office fundamentals</w:t>
      </w:r>
    </w:p>
    <w:p>
      <w:pPr>
        <w:pStyle w:val="FirstParagraph"/>
      </w:pPr>
      <w:r>
        <w:t xml:space="preserve">Develop strong word processing, document formatting, proofreading, email, calendaring, spreadsheet, PDF, records-management, and professional-communication skills.</w:t>
      </w:r>
    </w:p>
    <w:bookmarkEnd w:id="37"/>
    <w:bookmarkStart w:id="38" w:name="step-2--learn-legal-office-terminology"/>
    <w:p>
      <w:pPr>
        <w:pStyle w:val="Heading3"/>
      </w:pPr>
      <w:r>
        <w:t xml:space="preserve">Step 2 — Learn legal-office terminology</w:t>
      </w:r>
    </w:p>
    <w:p>
      <w:pPr>
        <w:pStyle w:val="FirstParagraph"/>
      </w:pPr>
      <w:r>
        <w:t xml:space="preserve">Study common terms related to courts, matters, clients, pleadings, discovery, hearings, contracts, filings, service, deadlines, confidentiality, privilege, and billing. Learn enough to support the workflow accurately, not to provide legal interpretation beyond your role.</w:t>
      </w:r>
    </w:p>
    <w:bookmarkEnd w:id="38"/>
    <w:bookmarkStart w:id="39" w:name="step-3--read-real-job-postings"/>
    <w:p>
      <w:pPr>
        <w:pStyle w:val="Heading3"/>
      </w:pPr>
      <w:r>
        <w:t xml:space="preserve">Step 3 — Read real job postings</w:t>
      </w:r>
    </w:p>
    <w:p>
      <w:pPr>
        <w:pStyle w:val="FirstParagraph"/>
      </w:pPr>
      <w:r>
        <w:t xml:space="preserve">Compare 15–20 current postings from employers in your target market. Note repeated requirements such as litigation support, e-filing, Microsoft 365, document management, time entry, proofreading, calendaring, or particular practice-area experience.</w:t>
      </w:r>
    </w:p>
    <w:bookmarkEnd w:id="39"/>
    <w:bookmarkStart w:id="40" w:name="Xf93daa54348876df3565ce7059894ecdd4c2b2d"/>
    <w:p>
      <w:pPr>
        <w:pStyle w:val="Heading3"/>
      </w:pPr>
      <w:r>
        <w:t xml:space="preserve">Step 4 — Use free or employer-supported learning first</w:t>
      </w:r>
    </w:p>
    <w:p>
      <w:pPr>
        <w:pStyle w:val="FirstParagraph"/>
      </w:pPr>
      <w:r>
        <w:t xml:space="preserve">Before buying a private legal-secretary certificate, determine whether the employers you want actually require it. Many skills can be developed through employer training, libraries, workforce programs, community colleges, public online resources, and low-cost software practice.</w:t>
      </w:r>
    </w:p>
    <w:bookmarkEnd w:id="40"/>
    <w:bookmarkStart w:id="41" w:name="step-5--enter-and-specialize-gradually"/>
    <w:p>
      <w:pPr>
        <w:pStyle w:val="Heading3"/>
      </w:pPr>
      <w:r>
        <w:t xml:space="preserve">Step 5 — Enter and specialize gradually</w:t>
      </w:r>
    </w:p>
    <w:p>
      <w:pPr>
        <w:pStyle w:val="FirstParagraph"/>
      </w:pPr>
      <w:r>
        <w:t xml:space="preserve">Once employed, build credibility through accuracy, confidentiality, reliable deadline management, and strong communication. Practice-area knowledge can then develop in areas such as litigation, corporate law, real estate, employment, intellectual property, family law, government, or regulatory work.</w:t>
      </w:r>
    </w:p>
    <w:p>
      <w:r>
        <w:pict>
          <v:rect style="width:0;height:1.5pt" o:hralign="center" o:hrstd="t" o:hr="t"/>
        </w:pict>
      </w:r>
    </w:p>
    <w:bookmarkEnd w:id="41"/>
    <w:bookmarkEnd w:id="42"/>
    <w:bookmarkStart w:id="43" w:name="Xe53efcf2267810efabef293def0a3aa349b6cf5"/>
    <w:p>
      <w:pPr>
        <w:pStyle w:val="Heading2"/>
      </w:pPr>
      <w:r>
        <w:t xml:space="preserve">8. Canada pathway</w:t>
      </w:r>
    </w:p>
    <w:p>
      <w:pPr>
        <w:pStyle w:val="FirstParagraph"/>
      </w:pPr>
      <w:r>
        <w:t xml:space="preserve">Canada’s primary occupational reference in this guide is</w:t>
      </w:r>
      <w:r>
        <w:t xml:space="preserve"> </w:t>
      </w:r>
      <w:r>
        <w:rPr>
          <w:bCs/>
          <w:b/>
        </w:rPr>
        <w:t xml:space="preserve">NOC 13111 — Legal administrative assistants</w:t>
      </w:r>
      <w:r>
        <w:t xml:space="preserve">.</w:t>
      </w:r>
    </w:p>
    <w:p>
      <w:pPr>
        <w:pStyle w:val="BodyText"/>
      </w:pPr>
      <w:r>
        <w:t xml:space="preserve">A practical sequence is:</w:t>
      </w:r>
    </w:p>
    <w:p>
      <w:pPr>
        <w:numPr>
          <w:ilvl w:val="0"/>
          <w:numId w:val="1009"/>
        </w:numPr>
        <w:pStyle w:val="Compact"/>
      </w:pPr>
      <w:r>
        <w:t xml:space="preserve">review the current Job Bank profile for NOC 13111;</w:t>
      </w:r>
    </w:p>
    <w:p>
      <w:pPr>
        <w:numPr>
          <w:ilvl w:val="0"/>
          <w:numId w:val="1009"/>
        </w:numPr>
        <w:pStyle w:val="Compact"/>
      </w:pPr>
      <w:r>
        <w:t xml:space="preserve">compare requirements in your province or territory;</w:t>
      </w:r>
    </w:p>
    <w:p>
      <w:pPr>
        <w:numPr>
          <w:ilvl w:val="0"/>
          <w:numId w:val="1009"/>
        </w:numPr>
        <w:pStyle w:val="Compact"/>
      </w:pPr>
      <w:r>
        <w:t xml:space="preserve">identify whether employers repeatedly request a college program, experience, specific software, bilingual ability, or specialized practice-area knowledge;</w:t>
      </w:r>
    </w:p>
    <w:p>
      <w:pPr>
        <w:numPr>
          <w:ilvl w:val="0"/>
          <w:numId w:val="1009"/>
        </w:numPr>
        <w:pStyle w:val="Compact"/>
      </w:pPr>
      <w:r>
        <w:t xml:space="preserve">verify that any school or training provider is recognized and that the program’s cost is justified by actual hiring requirements;</w:t>
      </w:r>
    </w:p>
    <w:p>
      <w:pPr>
        <w:numPr>
          <w:ilvl w:val="0"/>
          <w:numId w:val="1009"/>
        </w:numPr>
        <w:pStyle w:val="Compact"/>
      </w:pPr>
      <w:r>
        <w:t xml:space="preserve">develop office, document, scheduling, confidentiality, and legal-terminology skills;</w:t>
      </w:r>
    </w:p>
    <w:p>
      <w:pPr>
        <w:numPr>
          <w:ilvl w:val="0"/>
          <w:numId w:val="1009"/>
        </w:numPr>
        <w:pStyle w:val="Compact"/>
      </w:pPr>
      <w:r>
        <w:t xml:space="preserve">confirm work authorization and any jurisdiction-specific conditions before relying on a job posting.</w:t>
      </w:r>
    </w:p>
    <w:p>
      <w:pPr>
        <w:pStyle w:val="FirstParagraph"/>
      </w:pPr>
      <w:r>
        <w:t xml:space="preserve">Current national Job Bank wage data reviewed for this edition show:</w:t>
      </w:r>
    </w:p>
    <w:p>
      <w:pPr>
        <w:numPr>
          <w:ilvl w:val="0"/>
          <w:numId w:val="1010"/>
        </w:numPr>
        <w:pStyle w:val="Compact"/>
      </w:pPr>
      <w:r>
        <w:rPr>
          <w:bCs/>
          <w:b/>
        </w:rPr>
        <w:t xml:space="preserve">C$18.75/hour low</w:t>
      </w:r>
      <w:r>
        <w:t xml:space="preserve">;</w:t>
      </w:r>
    </w:p>
    <w:p>
      <w:pPr>
        <w:numPr>
          <w:ilvl w:val="0"/>
          <w:numId w:val="1010"/>
        </w:numPr>
        <w:pStyle w:val="Compact"/>
      </w:pPr>
      <w:r>
        <w:rPr>
          <w:bCs/>
          <w:b/>
        </w:rPr>
        <w:t xml:space="preserve">C$27.47/hour median</w:t>
      </w:r>
      <w:r>
        <w:t xml:space="preserve">;</w:t>
      </w:r>
    </w:p>
    <w:p>
      <w:pPr>
        <w:numPr>
          <w:ilvl w:val="0"/>
          <w:numId w:val="1010"/>
        </w:numPr>
        <w:pStyle w:val="Compact"/>
      </w:pPr>
      <w:r>
        <w:rPr>
          <w:bCs/>
          <w:b/>
        </w:rPr>
        <w:t xml:space="preserve">C$41.72/hour high</w:t>
      </w:r>
      <w:r>
        <w:t xml:space="preserve">.</w:t>
      </w:r>
    </w:p>
    <w:p>
      <w:pPr>
        <w:pStyle w:val="FirstParagraph"/>
      </w:pPr>
      <w:r>
        <w:t xml:space="preserve">These wages were updated November 19, 2025 using Statistics Canada Labour Force Survey 2023–2024 data. They are national reference values, not guaranteed offers.</w:t>
      </w:r>
    </w:p>
    <w:p>
      <w:r>
        <w:pict>
          <v:rect style="width:0;height:1.5pt" o:hralign="center" o:hrstd="t" o:hr="t"/>
        </w:pict>
      </w:r>
    </w:p>
    <w:bookmarkEnd w:id="43"/>
    <w:bookmarkStart w:id="45" w:name="Xa2e54c0f9662a16da523a03ec4cd9e051aeab4e"/>
    <w:p>
      <w:pPr>
        <w:pStyle w:val="Heading2"/>
      </w:pPr>
      <w:r>
        <w:t xml:space="preserve">9. Latin America and Colombia pathway</w:t>
      </w:r>
    </w:p>
    <w:p>
      <w:pPr>
        <w:pStyle w:val="FirstParagraph"/>
      </w:pPr>
      <w:r>
        <w:t xml:space="preserve">Legal-office work varies widely across Latin America because each country has its own legal profession, courts, education system, labor market, and rules about who may provide legal services.</w:t>
      </w:r>
    </w:p>
    <w:p>
      <w:pPr>
        <w:pStyle w:val="BodyText"/>
      </w:pPr>
      <w:r>
        <w:t xml:space="preserve">For any country:</w:t>
      </w:r>
    </w:p>
    <w:p>
      <w:pPr>
        <w:numPr>
          <w:ilvl w:val="0"/>
          <w:numId w:val="1011"/>
        </w:numPr>
        <w:pStyle w:val="Compact"/>
      </w:pPr>
      <w:r>
        <w:t xml:space="preserve">identify the official justice, court, labor, and education authorities;</w:t>
      </w:r>
    </w:p>
    <w:p>
      <w:pPr>
        <w:numPr>
          <w:ilvl w:val="0"/>
          <w:numId w:val="1011"/>
        </w:numPr>
        <w:pStyle w:val="Compact"/>
      </w:pPr>
      <w:r>
        <w:t xml:space="preserve">read real legal-office job postings;</w:t>
      </w:r>
    </w:p>
    <w:p>
      <w:pPr>
        <w:numPr>
          <w:ilvl w:val="0"/>
          <w:numId w:val="1011"/>
        </w:numPr>
        <w:pStyle w:val="Compact"/>
      </w:pPr>
      <w:r>
        <w:t xml:space="preserve">verify whether the role is administrative, paralegal-like, court-facing, or legally regulated;</w:t>
      </w:r>
    </w:p>
    <w:p>
      <w:pPr>
        <w:numPr>
          <w:ilvl w:val="0"/>
          <w:numId w:val="1011"/>
        </w:numPr>
        <w:pStyle w:val="Compact"/>
      </w:pPr>
      <w:r>
        <w:t xml:space="preserve">distinguish administrative assistance from activities reserved to lawyers or other authorized professionals;</w:t>
      </w:r>
    </w:p>
    <w:p>
      <w:pPr>
        <w:numPr>
          <w:ilvl w:val="0"/>
          <w:numId w:val="1011"/>
        </w:numPr>
        <w:pStyle w:val="Compact"/>
      </w:pPr>
      <w:r>
        <w:t xml:space="preserve">verify education and credential recognition before paying a provider.</w:t>
      </w:r>
    </w:p>
    <w:bookmarkStart w:id="44" w:name="colombia--sena-free-first-option"/>
    <w:p>
      <w:pPr>
        <w:pStyle w:val="Heading3"/>
      </w:pPr>
      <w:r>
        <w:t xml:space="preserve">Colombia — SENA free-first option</w:t>
      </w:r>
    </w:p>
    <w:p>
      <w:pPr>
        <w:pStyle w:val="FirstParagraph"/>
      </w:pPr>
      <w:r>
        <w:t xml:space="preserve">SENA Betowa currently lists</w:t>
      </w:r>
      <w:r>
        <w:t xml:space="preserve"> </w:t>
      </w:r>
      <w:r>
        <w:rPr>
          <w:bCs/>
          <w:b/>
        </w:rPr>
        <w:t xml:space="preserve">ASISTENCIA ADMINISTRATIVA</w:t>
      </w:r>
      <w:r>
        <w:t xml:space="preserve"> </w:t>
      </w:r>
      <w:r>
        <w:t xml:space="preserve">as a titled technical program with:</w:t>
      </w:r>
    </w:p>
    <w:p>
      <w:pPr>
        <w:numPr>
          <w:ilvl w:val="0"/>
          <w:numId w:val="1012"/>
        </w:numPr>
        <w:pStyle w:val="Compact"/>
      </w:pPr>
      <w:r>
        <w:rPr>
          <w:bCs/>
          <w:b/>
        </w:rPr>
        <w:t xml:space="preserve">2,208 hours</w:t>
      </w:r>
      <w:r>
        <w:t xml:space="preserve"> </w:t>
      </w:r>
      <w:r>
        <w:t xml:space="preserve">duration;</w:t>
      </w:r>
    </w:p>
    <w:p>
      <w:pPr>
        <w:numPr>
          <w:ilvl w:val="0"/>
          <w:numId w:val="1012"/>
        </w:numPr>
        <w:pStyle w:val="Compact"/>
      </w:pPr>
      <w:r>
        <w:rPr>
          <w:bCs/>
          <w:b/>
        </w:rPr>
        <w:t xml:space="preserve">Técnico</w:t>
      </w:r>
      <w:r>
        <w:t xml:space="preserve"> </w:t>
      </w:r>
      <w:r>
        <w:t xml:space="preserve">training level;</w:t>
      </w:r>
    </w:p>
    <w:p>
      <w:pPr>
        <w:numPr>
          <w:ilvl w:val="0"/>
          <w:numId w:val="1012"/>
        </w:numPr>
        <w:pStyle w:val="Compact"/>
      </w:pPr>
      <w:r>
        <w:t xml:space="preserve">displayed minimum age</w:t>
      </w:r>
      <w:r>
        <w:t xml:space="preserve"> </w:t>
      </w:r>
      <w:r>
        <w:rPr>
          <w:bCs/>
          <w:b/>
        </w:rPr>
        <w:t xml:space="preserve">14+</w:t>
      </w:r>
      <w:r>
        <w:t xml:space="preserve">;</w:t>
      </w:r>
    </w:p>
    <w:p>
      <w:pPr>
        <w:numPr>
          <w:ilvl w:val="0"/>
          <w:numId w:val="1012"/>
        </w:numPr>
        <w:pStyle w:val="Compact"/>
      </w:pPr>
      <w:r>
        <w:t xml:space="preserve">admission subject to available places and SENA’s established admission process.</w:t>
      </w:r>
    </w:p>
    <w:p>
      <w:pPr>
        <w:pStyle w:val="FirstParagraph"/>
      </w:pPr>
      <w:r>
        <w:t xml:space="preserve">The program includes administrative competencies such as customer service, communication, document preparation and processing, information handling, digital tools, and related office skills. These are transferable foundations for legal-office work.</w:t>
      </w:r>
    </w:p>
    <w:p>
      <w:pPr>
        <w:pStyle w:val="BodyText"/>
      </w:pPr>
      <w:r>
        <w:t xml:space="preserve">The program is not a legal-practice qualification. A learner who wants to work in a law office should supplement general administration with employer-relevant legal terminology, confidentiality, filing, records, and court-procedure awareness while respecting nonlawyer boundaries.</w:t>
      </w:r>
    </w:p>
    <w:p>
      <w:pPr>
        <w:pStyle w:val="BodyText"/>
      </w:pPr>
      <w:r>
        <w:t xml:space="preserve">SENA offerings and cohorts are dynamic. Verify availability in Betowa before relying on a particular enrollment date or location.</w:t>
      </w:r>
    </w:p>
    <w:p>
      <w:r>
        <w:pict>
          <v:rect style="width:0;height:1.5pt" o:hralign="center" o:hrstd="t" o:hr="t"/>
        </w:pict>
      </w:r>
    </w:p>
    <w:bookmarkEnd w:id="44"/>
    <w:bookmarkEnd w:id="45"/>
    <w:bookmarkStart w:id="46" w:name="X5d7512170821a6811f6810777861061fcad820e"/>
    <w:p>
      <w:pPr>
        <w:pStyle w:val="Heading2"/>
      </w:pPr>
      <w:r>
        <w:t xml:space="preserve">10. Free and low-cost learning strategy</w:t>
      </w:r>
    </w:p>
    <w:p>
      <w:pPr>
        <w:pStyle w:val="FirstParagraph"/>
      </w:pPr>
      <w:r>
        <w:t xml:space="preserve">Use a free-first sequence:</w:t>
      </w:r>
    </w:p>
    <w:p>
      <w:pPr>
        <w:numPr>
          <w:ilvl w:val="0"/>
          <w:numId w:val="1013"/>
        </w:numPr>
        <w:pStyle w:val="Compact"/>
      </w:pPr>
      <w:r>
        <w:t xml:space="preserve">employer onboarding and supervised training;</w:t>
      </w:r>
    </w:p>
    <w:p>
      <w:pPr>
        <w:numPr>
          <w:ilvl w:val="0"/>
          <w:numId w:val="1013"/>
        </w:numPr>
        <w:pStyle w:val="Compact"/>
      </w:pPr>
      <w:r>
        <w:t xml:space="preserve">public library digital-skills and career resources;</w:t>
      </w:r>
    </w:p>
    <w:p>
      <w:pPr>
        <w:numPr>
          <w:ilvl w:val="0"/>
          <w:numId w:val="1013"/>
        </w:numPr>
        <w:pStyle w:val="Compact"/>
      </w:pPr>
      <w:r>
        <w:t xml:space="preserve">official occupational information from O*NET, BLS, and Job Bank;</w:t>
      </w:r>
    </w:p>
    <w:p>
      <w:pPr>
        <w:numPr>
          <w:ilvl w:val="0"/>
          <w:numId w:val="1013"/>
        </w:numPr>
        <w:pStyle w:val="Compact"/>
      </w:pPr>
      <w:r>
        <w:t xml:space="preserve">SENA in Colombia when a relevant public program is available;</w:t>
      </w:r>
    </w:p>
    <w:p>
      <w:pPr>
        <w:numPr>
          <w:ilvl w:val="0"/>
          <w:numId w:val="1013"/>
        </w:numPr>
        <w:pStyle w:val="Compact"/>
      </w:pPr>
      <w:r>
        <w:t xml:space="preserve">American Job Centers or other public workforce resources in the United States;</w:t>
      </w:r>
    </w:p>
    <w:p>
      <w:pPr>
        <w:numPr>
          <w:ilvl w:val="0"/>
          <w:numId w:val="1013"/>
        </w:numPr>
        <w:pStyle w:val="Compact"/>
      </w:pPr>
      <w:r>
        <w:t xml:space="preserve">community-college or recognized vocational programs when job postings justify the cost;</w:t>
      </w:r>
    </w:p>
    <w:p>
      <w:pPr>
        <w:numPr>
          <w:ilvl w:val="0"/>
          <w:numId w:val="1013"/>
        </w:numPr>
        <w:pStyle w:val="Compact"/>
      </w:pPr>
      <w:r>
        <w:t xml:space="preserve">paid private certificates only after verifying employer demand, total cost, refund terms, and realistic outcomes.</w:t>
      </w:r>
    </w:p>
    <w:p>
      <w:pPr>
        <w:pStyle w:val="FirstParagraph"/>
      </w:pPr>
      <w:r>
        <w:t xml:space="preserve">Useful practice topics include:</w:t>
      </w:r>
    </w:p>
    <w:p>
      <w:pPr>
        <w:numPr>
          <w:ilvl w:val="0"/>
          <w:numId w:val="1014"/>
        </w:numPr>
        <w:pStyle w:val="Compact"/>
      </w:pPr>
      <w:r>
        <w:t xml:space="preserve">professional document formatting;</w:t>
      </w:r>
    </w:p>
    <w:p>
      <w:pPr>
        <w:numPr>
          <w:ilvl w:val="0"/>
          <w:numId w:val="1014"/>
        </w:numPr>
        <w:pStyle w:val="Compact"/>
      </w:pPr>
      <w:r>
        <w:t xml:space="preserve">proofreading and version comparison;</w:t>
      </w:r>
    </w:p>
    <w:p>
      <w:pPr>
        <w:numPr>
          <w:ilvl w:val="0"/>
          <w:numId w:val="1014"/>
        </w:numPr>
        <w:pStyle w:val="Compact"/>
      </w:pPr>
      <w:r>
        <w:t xml:space="preserve">spreadsheet basics;</w:t>
      </w:r>
    </w:p>
    <w:p>
      <w:pPr>
        <w:numPr>
          <w:ilvl w:val="0"/>
          <w:numId w:val="1014"/>
        </w:numPr>
        <w:pStyle w:val="Compact"/>
      </w:pPr>
      <w:r>
        <w:t xml:space="preserve">calendaring and deadline workflows;</w:t>
      </w:r>
    </w:p>
    <w:p>
      <w:pPr>
        <w:numPr>
          <w:ilvl w:val="0"/>
          <w:numId w:val="1014"/>
        </w:numPr>
        <w:pStyle w:val="Compact"/>
      </w:pPr>
      <w:r>
        <w:t xml:space="preserve">PDF organization;</w:t>
      </w:r>
    </w:p>
    <w:p>
      <w:pPr>
        <w:numPr>
          <w:ilvl w:val="0"/>
          <w:numId w:val="1014"/>
        </w:numPr>
        <w:pStyle w:val="Compact"/>
      </w:pPr>
      <w:r>
        <w:t xml:space="preserve">file naming and records control;</w:t>
      </w:r>
    </w:p>
    <w:p>
      <w:pPr>
        <w:numPr>
          <w:ilvl w:val="0"/>
          <w:numId w:val="1014"/>
        </w:numPr>
        <w:pStyle w:val="Compact"/>
      </w:pPr>
      <w:r>
        <w:t xml:space="preserve">professional telephone and email communication;</w:t>
      </w:r>
    </w:p>
    <w:p>
      <w:pPr>
        <w:numPr>
          <w:ilvl w:val="0"/>
          <w:numId w:val="1014"/>
        </w:numPr>
        <w:pStyle w:val="Compact"/>
      </w:pPr>
      <w:r>
        <w:t xml:space="preserve">legal vocabulary;</w:t>
      </w:r>
    </w:p>
    <w:p>
      <w:pPr>
        <w:numPr>
          <w:ilvl w:val="0"/>
          <w:numId w:val="1014"/>
        </w:numPr>
        <w:pStyle w:val="Compact"/>
      </w:pPr>
      <w:r>
        <w:t xml:space="preserve">confidentiality scenarios;</w:t>
      </w:r>
    </w:p>
    <w:p>
      <w:pPr>
        <w:numPr>
          <w:ilvl w:val="0"/>
          <w:numId w:val="1014"/>
        </w:numPr>
        <w:pStyle w:val="Compact"/>
      </w:pPr>
      <w:r>
        <w:t xml:space="preserve">phishing and social-engineering awareness;</w:t>
      </w:r>
    </w:p>
    <w:p>
      <w:pPr>
        <w:numPr>
          <w:ilvl w:val="0"/>
          <w:numId w:val="1014"/>
        </w:numPr>
        <w:pStyle w:val="Compact"/>
      </w:pPr>
      <w:r>
        <w:t xml:space="preserve">mock intake using entirely fictitious information.</w:t>
      </w:r>
    </w:p>
    <w:p>
      <w:pPr>
        <w:pStyle w:val="FirstParagraph"/>
      </w:pPr>
      <w:r>
        <w:t xml:space="preserve">Never use real client information in an unapproved practice environment.</w:t>
      </w:r>
    </w:p>
    <w:p>
      <w:r>
        <w:pict>
          <v:rect style="width:0;height:1.5pt" o:hralign="center" o:hrstd="t" o:hr="t"/>
        </w:pict>
      </w:r>
    </w:p>
    <w:bookmarkEnd w:id="46"/>
    <w:bookmarkStart w:id="51" w:name="X1ffc75bf5113bb9c2a8a50090c934822b5668d1"/>
    <w:p>
      <w:pPr>
        <w:pStyle w:val="Heading2"/>
      </w:pPr>
      <w:r>
        <w:t xml:space="preserve">11. Funding, scholarships, and employer support</w:t>
      </w:r>
    </w:p>
    <w:bookmarkStart w:id="47" w:name="fafsa-and-federal-student-aid"/>
    <w:p>
      <w:pPr>
        <w:pStyle w:val="Heading3"/>
      </w:pPr>
      <w:r>
        <w:t xml:space="preserve">FAFSA and federal student aid</w:t>
      </w:r>
    </w:p>
    <w:p>
      <w:pPr>
        <w:pStyle w:val="FirstParagraph"/>
      </w:pPr>
      <w:r>
        <w:t xml:space="preserve">The U.S. Free Application for Federal Student Aid (FAFSA) is free to submit. Federal Student Aid explains that eligible students may use federal aid for participating colleges, career schools, or trade schools. Aid may include grants, Federal Work-Study, and federal student loans.</w:t>
      </w:r>
    </w:p>
    <w:p>
      <w:pPr>
        <w:pStyle w:val="BodyText"/>
      </w:pPr>
      <w:r>
        <w:t xml:space="preserve">Do not assume a short private legal-secretary course qualifies. Verify the school, program, and student eligibility through official Federal Student Aid information before enrolling.</w:t>
      </w:r>
    </w:p>
    <w:bookmarkEnd w:id="47"/>
    <w:bookmarkStart w:id="48" w:name="X67ea4ab7e7e2f5ba2834b173e2da932e921b809"/>
    <w:p>
      <w:pPr>
        <w:pStyle w:val="Heading3"/>
      </w:pPr>
      <w:r>
        <w:t xml:space="preserve">American Job Centers and workforce support</w:t>
      </w:r>
    </w:p>
    <w:p>
      <w:pPr>
        <w:pStyle w:val="FirstParagraph"/>
      </w:pPr>
      <w:r>
        <w:t xml:space="preserve">U.S. Department of Labor American Job Centers provide local employment and training support. Services and eligibility vary by locality. Ask the local workforce system to confirm whether a specific training program and provider qualify before paying based on an assumption that workforce funding will cover it.</w:t>
      </w:r>
    </w:p>
    <w:bookmarkEnd w:id="48"/>
    <w:bookmarkStart w:id="49" w:name="Xf4ff43ae46cc50d4aa7a605a52dccaecd0fc187"/>
    <w:p>
      <w:pPr>
        <w:pStyle w:val="Heading3"/>
      </w:pPr>
      <w:r>
        <w:t xml:space="preserve">Employer educational assistance — Section 127</w:t>
      </w:r>
    </w:p>
    <w:p>
      <w:pPr>
        <w:pStyle w:val="FirstParagraph"/>
      </w:pPr>
      <w:r>
        <w:t xml:space="preserve">The IRS’s April 2026 Section 127 guidance states that under a qualifying employer educational-assistance plan, up to</w:t>
      </w:r>
      <w:r>
        <w:t xml:space="preserve"> </w:t>
      </w:r>
      <w:r>
        <w:rPr>
          <w:bCs/>
          <w:b/>
        </w:rPr>
        <w:t xml:space="preserve">USD 5,250</w:t>
      </w:r>
      <w:r>
        <w:t xml:space="preserve"> </w:t>
      </w:r>
      <w:r>
        <w:t xml:space="preserve">of qualifying benefits may be excluded from an employee’s gross income for calendar years 2025 and 2026, subject to applicable rules and the employer’s written plan. Cost-of-living adjustments apply for taxable years beginning after 2026.</w:t>
      </w:r>
    </w:p>
    <w:p>
      <w:pPr>
        <w:pStyle w:val="BodyText"/>
      </w:pPr>
      <w:r>
        <w:t xml:space="preserve">This is not a promise that an employer offers USD 5,250 or that every course qualifies. Obtain the employer’s written terms before enrolling or assuming reimbursement.</w:t>
      </w:r>
    </w:p>
    <w:bookmarkEnd w:id="49"/>
    <w:bookmarkStart w:id="50" w:name="scholarships"/>
    <w:p>
      <w:pPr>
        <w:pStyle w:val="Heading3"/>
      </w:pPr>
      <w:r>
        <w:t xml:space="preserve">Scholarships</w:t>
      </w:r>
    </w:p>
    <w:p>
      <w:pPr>
        <w:pStyle w:val="FirstParagraph"/>
      </w:pPr>
      <w:r>
        <w:t xml:space="preserve">Search recognized schools, community foundations, professional associations, government or workforce programs, and established scholarship databases. Avoid providers that guarantee scholarships, pressure you to pay immediately, or ask for sensitive information without a legitimate reason.</w:t>
      </w:r>
    </w:p>
    <w:p>
      <w:r>
        <w:pict>
          <v:rect style="width:0;height:1.5pt" o:hralign="center" o:hrstd="t" o:hr="t"/>
        </w:pict>
      </w:r>
    </w:p>
    <w:bookmarkEnd w:id="50"/>
    <w:bookmarkEnd w:id="51"/>
    <w:bookmarkStart w:id="52" w:name="X789e524f8d6ce033d7f56181495ece6d5c4cba0"/>
    <w:p>
      <w:pPr>
        <w:pStyle w:val="Heading2"/>
      </w:pPr>
      <w:r>
        <w:t xml:space="preserve">12. Apprenticeship and work-based learning</w:t>
      </w:r>
    </w:p>
    <w:p>
      <w:pPr>
        <w:pStyle w:val="FirstParagraph"/>
      </w:pPr>
      <w:r>
        <w:t xml:space="preserve">Work-based learning is highly relevant because legal-office competence often depends on supervised exposure to documents, systems, deadlines, court procedures, and employer-specific practice.</w:t>
      </w:r>
    </w:p>
    <w:p>
      <w:pPr>
        <w:pStyle w:val="BodyText"/>
      </w:pPr>
      <w:r>
        <w:t xml:space="preserve">Apprenticeship.gov provides tools to search approved Registered Apprenticeship occupations and current opportunities. The controlled research for this edition did</w:t>
      </w:r>
      <w:r>
        <w:t xml:space="preserve"> </w:t>
      </w:r>
      <w:r>
        <w:rPr>
          <w:bCs/>
          <w:b/>
        </w:rPr>
        <w:t xml:space="preserve">not</w:t>
      </w:r>
      <w:r>
        <w:t xml:space="preserve"> </w:t>
      </w:r>
      <w:r>
        <w:t xml:space="preserve">establish a definitive, occupation-specific federal approval status for O*NET 43-6012.00 that justifies a blanket claim that Legal Administrative Assistant is universally a Registered Apprenticeship occupation.</w:t>
      </w:r>
    </w:p>
    <w:p>
      <w:pPr>
        <w:pStyle w:val="BodyText"/>
      </w:pPr>
      <w:r>
        <w:t xml:space="preserve">If a school, employer, union, intermediary, or training provider advertises a “registered apprenticeship”:</w:t>
      </w:r>
    </w:p>
    <w:p>
      <w:pPr>
        <w:numPr>
          <w:ilvl w:val="0"/>
          <w:numId w:val="1015"/>
        </w:numPr>
        <w:pStyle w:val="Compact"/>
      </w:pPr>
      <w:r>
        <w:t xml:space="preserve">obtain the exact program and sponsor name;</w:t>
      </w:r>
    </w:p>
    <w:p>
      <w:pPr>
        <w:numPr>
          <w:ilvl w:val="0"/>
          <w:numId w:val="1015"/>
        </w:numPr>
        <w:pStyle w:val="Compact"/>
      </w:pPr>
      <w:r>
        <w:t xml:space="preserve">verify the registration directly;</w:t>
      </w:r>
    </w:p>
    <w:p>
      <w:pPr>
        <w:numPr>
          <w:ilvl w:val="0"/>
          <w:numId w:val="1015"/>
        </w:numPr>
        <w:pStyle w:val="Compact"/>
      </w:pPr>
      <w:r>
        <w:t xml:space="preserve">identify the exact registered occupation;</w:t>
      </w:r>
    </w:p>
    <w:p>
      <w:pPr>
        <w:numPr>
          <w:ilvl w:val="0"/>
          <w:numId w:val="1015"/>
        </w:numPr>
        <w:pStyle w:val="Compact"/>
      </w:pPr>
      <w:r>
        <w:t xml:space="preserve">confirm the responsible state or federal registration authority;</w:t>
      </w:r>
    </w:p>
    <w:p>
      <w:pPr>
        <w:numPr>
          <w:ilvl w:val="0"/>
          <w:numId w:val="1015"/>
        </w:numPr>
        <w:pStyle w:val="Compact"/>
      </w:pPr>
      <w:r>
        <w:t xml:space="preserve">verify wages, wage progression, related instruction, duration, costs, and obligations in writing.</w:t>
      </w:r>
    </w:p>
    <w:p>
      <w:pPr>
        <w:pStyle w:val="FirstParagraph"/>
      </w:pPr>
      <w:r>
        <w:t xml:space="preserve">Do not confuse ordinary paid training, internships, job shadowing, mentoring, or employer onboarding with Registered Apprenticeship. They may still be valuable, but the labels are not interchangeable.</w:t>
      </w:r>
    </w:p>
    <w:p>
      <w:r>
        <w:pict>
          <v:rect style="width:0;height:1.5pt" o:hralign="center" o:hrstd="t" o:hr="t"/>
        </w:pict>
      </w:r>
    </w:p>
    <w:bookmarkEnd w:id="52"/>
    <w:bookmarkStart w:id="56" w:name="X2c0436ea7403d7cdf4e40f51156829719b40e7f"/>
    <w:p>
      <w:pPr>
        <w:pStyle w:val="Heading2"/>
      </w:pPr>
      <w:r>
        <w:t xml:space="preserve">13. Income and labor-market research</w:t>
      </w:r>
    </w:p>
    <w:p>
      <w:pPr>
        <w:pStyle w:val="FirstParagraph"/>
      </w:pPr>
      <w:r>
        <w:t xml:space="preserve">Salary data are reference points, not promises. Job title, jurisdiction, industry, experience, practice area, employer size, hours, overtime, union status, language requirements, and technology skills can materially change compensation.</w:t>
      </w:r>
    </w:p>
    <w:bookmarkStart w:id="53" w:name="united-states--official-bls-data"/>
    <w:p>
      <w:pPr>
        <w:pStyle w:val="Heading3"/>
      </w:pPr>
      <w:r>
        <w:t xml:space="preserve">United States — official BLS data</w:t>
      </w:r>
    </w:p>
    <w:p>
      <w:pPr>
        <w:pStyle w:val="FirstParagraph"/>
      </w:pPr>
      <w:r>
        <w:t xml:space="preserve">For</w:t>
      </w:r>
      <w:r>
        <w:t xml:space="preserve"> </w:t>
      </w:r>
      <w:r>
        <w:rPr>
          <w:bCs/>
          <w:b/>
        </w:rPr>
        <w:t xml:space="preserve">Legal secretaries and administrative assistants (SOC 43-6012)</w:t>
      </w:r>
      <w:r>
        <w:t xml:space="preserve">, BLS reports:</w:t>
      </w:r>
    </w:p>
    <w:p>
      <w:pPr>
        <w:numPr>
          <w:ilvl w:val="0"/>
          <w:numId w:val="1016"/>
        </w:numPr>
        <w:pStyle w:val="Compact"/>
      </w:pPr>
      <w:r>
        <w:rPr>
          <w:bCs/>
          <w:b/>
        </w:rPr>
        <w:t xml:space="preserve">May 2024 median annual wage:</w:t>
      </w:r>
      <w:r>
        <w:t xml:space="preserve"> </w:t>
      </w:r>
      <w:r>
        <w:t xml:space="preserve">USD 54,140;</w:t>
      </w:r>
    </w:p>
    <w:p>
      <w:pPr>
        <w:numPr>
          <w:ilvl w:val="0"/>
          <w:numId w:val="1016"/>
        </w:numPr>
        <w:pStyle w:val="Compact"/>
      </w:pPr>
      <w:r>
        <w:rPr>
          <w:bCs/>
          <w:b/>
        </w:rPr>
        <w:t xml:space="preserve">employment in 2024:</w:t>
      </w:r>
      <w:r>
        <w:t xml:space="preserve"> </w:t>
      </w:r>
      <w:r>
        <w:t xml:space="preserve">156,300;</w:t>
      </w:r>
    </w:p>
    <w:p>
      <w:pPr>
        <w:numPr>
          <w:ilvl w:val="0"/>
          <w:numId w:val="1016"/>
        </w:numPr>
        <w:pStyle w:val="Compact"/>
      </w:pPr>
      <w:r>
        <w:rPr>
          <w:bCs/>
          <w:b/>
        </w:rPr>
        <w:t xml:space="preserve">projected employment in 2034:</w:t>
      </w:r>
      <w:r>
        <w:t xml:space="preserve"> </w:t>
      </w:r>
      <w:r>
        <w:t xml:space="preserve">147,300;</w:t>
      </w:r>
    </w:p>
    <w:p>
      <w:pPr>
        <w:numPr>
          <w:ilvl w:val="0"/>
          <w:numId w:val="1016"/>
        </w:numPr>
        <w:pStyle w:val="Compact"/>
      </w:pPr>
      <w:r>
        <w:rPr>
          <w:bCs/>
          <w:b/>
        </w:rPr>
        <w:t xml:space="preserve">2024–2034 change:</w:t>
      </w:r>
      <w:r>
        <w:t xml:space="preserve"> </w:t>
      </w:r>
      <w:r>
        <w:t xml:space="preserve">-6%;</w:t>
      </w:r>
    </w:p>
    <w:p>
      <w:pPr>
        <w:numPr>
          <w:ilvl w:val="0"/>
          <w:numId w:val="1016"/>
        </w:numPr>
        <w:pStyle w:val="Compact"/>
      </w:pPr>
      <w:r>
        <w:rPr>
          <w:bCs/>
          <w:b/>
        </w:rPr>
        <w:t xml:space="preserve">numeric change:</w:t>
      </w:r>
      <w:r>
        <w:t xml:space="preserve"> </w:t>
      </w:r>
      <w:r>
        <w:t xml:space="preserve">-9,000.</w:t>
      </w:r>
    </w:p>
    <w:p>
      <w:pPr>
        <w:pStyle w:val="FirstParagraph"/>
      </w:pPr>
      <w:r>
        <w:t xml:space="preserve">This occupation-specific median should not be confused with the broader USD 47,460 median for all secretaries and administrative assistants.</w:t>
      </w:r>
    </w:p>
    <w:bookmarkEnd w:id="53"/>
    <w:bookmarkStart w:id="54" w:name="current-non-government-us-estimates"/>
    <w:p>
      <w:pPr>
        <w:pStyle w:val="Heading3"/>
      </w:pPr>
      <w:r>
        <w:t xml:space="preserve">Current non-government U.S. estimates</w:t>
      </w:r>
    </w:p>
    <w:p>
      <w:pPr>
        <w:pStyle w:val="FirstParagraph"/>
      </w:pPr>
      <w:r>
        <w:t xml:space="preserve">Private sources use different methods and title definitions. Keep them separate from BLS.</w:t>
      </w:r>
    </w:p>
    <w:p>
      <w:pPr>
        <w:pStyle w:val="BodyText"/>
      </w:pPr>
      <w:r>
        <w:rPr>
          <w:bCs/>
          <w:b/>
        </w:rPr>
        <w:t xml:space="preserve">ZipRecruiter — Legal Administrative Assistant</w:t>
      </w:r>
      <w:r>
        <w:br/>
      </w:r>
      <w:r>
        <w:t xml:space="preserve">As of July 23, 2026: average</w:t>
      </w:r>
      <w:r>
        <w:t xml:space="preserve"> </w:t>
      </w:r>
      <w:r>
        <w:rPr>
          <w:bCs/>
          <w:b/>
        </w:rPr>
        <w:t xml:space="preserve">USD 53,753/year</w:t>
      </w:r>
      <w:r>
        <w:t xml:space="preserve">, approximately</w:t>
      </w:r>
      <w:r>
        <w:t xml:space="preserve"> </w:t>
      </w:r>
      <w:r>
        <w:rPr>
          <w:bCs/>
          <w:b/>
        </w:rPr>
        <w:t xml:space="preserve">USD 25.84/hour</w:t>
      </w:r>
      <w:r>
        <w:t xml:space="preserve">. ZipRecruiter states its estimates derive from employer postings and third-party sources.</w:t>
      </w:r>
    </w:p>
    <w:p>
      <w:pPr>
        <w:pStyle w:val="BodyText"/>
      </w:pPr>
      <w:r>
        <w:rPr>
          <w:bCs/>
          <w:b/>
        </w:rPr>
        <w:t xml:space="preserve">Indeed — Legal Assistant</w:t>
      </w:r>
      <w:r>
        <w:br/>
      </w:r>
      <w:r>
        <w:t xml:space="preserve">Updated July 20, 2026: average base salary</w:t>
      </w:r>
      <w:r>
        <w:t xml:space="preserve"> </w:t>
      </w:r>
      <w:r>
        <w:rPr>
          <w:bCs/>
          <w:b/>
        </w:rPr>
        <w:t xml:space="preserve">USD 22.92/hour</w:t>
      </w:r>
      <w:r>
        <w:t xml:space="preserve">, based on approximately 14.4K salary observations from job postings over the previous 36 months.</w:t>
      </w:r>
    </w:p>
    <w:p>
      <w:pPr>
        <w:pStyle w:val="BodyText"/>
      </w:pPr>
      <w:r>
        <w:t xml:space="preserve">The Indeed title is broader than SOC 43-6012 and may overlap with paralegal or more substantive legal-support work. Treat it as an adjacent private market signal, not an exact occupation benchmark.</w:t>
      </w:r>
    </w:p>
    <w:bookmarkEnd w:id="54"/>
    <w:bookmarkStart w:id="55" w:name="canada--official-job-bank-data"/>
    <w:p>
      <w:pPr>
        <w:pStyle w:val="Heading3"/>
      </w:pPr>
      <w:r>
        <w:t xml:space="preserve">Canada — official Job Bank data</w:t>
      </w:r>
    </w:p>
    <w:p>
      <w:pPr>
        <w:pStyle w:val="FirstParagraph"/>
      </w:pPr>
      <w:r>
        <w:t xml:space="preserve">National NOC 13111 wages reviewed for this edition:</w:t>
      </w:r>
    </w:p>
    <w:p>
      <w:pPr>
        <w:numPr>
          <w:ilvl w:val="0"/>
          <w:numId w:val="1017"/>
        </w:numPr>
        <w:pStyle w:val="Compact"/>
      </w:pPr>
      <w:r>
        <w:t xml:space="preserve">low:</w:t>
      </w:r>
      <w:r>
        <w:t xml:space="preserve"> </w:t>
      </w:r>
      <w:r>
        <w:rPr>
          <w:bCs/>
          <w:b/>
        </w:rPr>
        <w:t xml:space="preserve">C$18.75/hour</w:t>
      </w:r>
      <w:r>
        <w:t xml:space="preserve">;</w:t>
      </w:r>
    </w:p>
    <w:p>
      <w:pPr>
        <w:numPr>
          <w:ilvl w:val="0"/>
          <w:numId w:val="1017"/>
        </w:numPr>
        <w:pStyle w:val="Compact"/>
      </w:pPr>
      <w:r>
        <w:t xml:space="preserve">median:</w:t>
      </w:r>
      <w:r>
        <w:t xml:space="preserve"> </w:t>
      </w:r>
      <w:r>
        <w:rPr>
          <w:bCs/>
          <w:b/>
        </w:rPr>
        <w:t xml:space="preserve">C$27.47/hour</w:t>
      </w:r>
      <w:r>
        <w:t xml:space="preserve">;</w:t>
      </w:r>
    </w:p>
    <w:p>
      <w:pPr>
        <w:numPr>
          <w:ilvl w:val="0"/>
          <w:numId w:val="1017"/>
        </w:numPr>
        <w:pStyle w:val="Compact"/>
      </w:pPr>
      <w:r>
        <w:t xml:space="preserve">high:</w:t>
      </w:r>
      <w:r>
        <w:t xml:space="preserve"> </w:t>
      </w:r>
      <w:r>
        <w:rPr>
          <w:bCs/>
          <w:b/>
        </w:rPr>
        <w:t xml:space="preserve">C$41.72/hour</w:t>
      </w:r>
      <w:r>
        <w:t xml:space="preserve">.</w:t>
      </w:r>
    </w:p>
    <w:p>
      <w:pPr>
        <w:pStyle w:val="FirstParagraph"/>
      </w:pPr>
      <w:r>
        <w:t xml:space="preserve">Before accepting an offer, compare base pay, hours, overtime expectations, benefits, commute, remote-work requirements, technology expectations, training, confidentiality obligations, and advancement opportunity.</w:t>
      </w:r>
    </w:p>
    <w:p>
      <w:r>
        <w:pict>
          <v:rect style="width:0;height:1.5pt" o:hralign="center" o:hrstd="t" o:hr="t"/>
        </w:pict>
      </w:r>
    </w:p>
    <w:bookmarkEnd w:id="55"/>
    <w:bookmarkEnd w:id="56"/>
    <w:bookmarkStart w:id="57" w:name="X241d060046b97779830e02201cf52123cdaa435"/>
    <w:p>
      <w:pPr>
        <w:pStyle w:val="Heading2"/>
      </w:pPr>
      <w:r>
        <w:t xml:space="preserve">14. Accessibility and accommodations</w:t>
      </w:r>
    </w:p>
    <w:p>
      <w:pPr>
        <w:pStyle w:val="FirstParagraph"/>
      </w:pPr>
      <w:r>
        <w:t xml:space="preserve">People may learn or work better with structured information, assistive technology, modified workflows, or other accommodations.</w:t>
      </w:r>
    </w:p>
    <w:p>
      <w:pPr>
        <w:pStyle w:val="BodyText"/>
      </w:pPr>
      <w:r>
        <w:t xml:space="preserve">Helpful learning strategies can include:</w:t>
      </w:r>
    </w:p>
    <w:p>
      <w:pPr>
        <w:numPr>
          <w:ilvl w:val="0"/>
          <w:numId w:val="1018"/>
        </w:numPr>
        <w:pStyle w:val="Compact"/>
      </w:pPr>
      <w:r>
        <w:t xml:space="preserve">numbered procedures;</w:t>
      </w:r>
    </w:p>
    <w:p>
      <w:pPr>
        <w:numPr>
          <w:ilvl w:val="0"/>
          <w:numId w:val="1018"/>
        </w:numPr>
        <w:pStyle w:val="Compact"/>
      </w:pPr>
      <w:r>
        <w:t xml:space="preserve">checklists for filings and document packages;</w:t>
      </w:r>
    </w:p>
    <w:p>
      <w:pPr>
        <w:numPr>
          <w:ilvl w:val="0"/>
          <w:numId w:val="1018"/>
        </w:numPr>
        <w:pStyle w:val="Compact"/>
      </w:pPr>
      <w:r>
        <w:t xml:space="preserve">written deadline confirmation;</w:t>
      </w:r>
    </w:p>
    <w:p>
      <w:pPr>
        <w:numPr>
          <w:ilvl w:val="0"/>
          <w:numId w:val="1018"/>
        </w:numPr>
        <w:pStyle w:val="Compact"/>
      </w:pPr>
      <w:r>
        <w:t xml:space="preserve">templates and style guides;</w:t>
      </w:r>
    </w:p>
    <w:p>
      <w:pPr>
        <w:numPr>
          <w:ilvl w:val="0"/>
          <w:numId w:val="1018"/>
        </w:numPr>
        <w:pStyle w:val="Compact"/>
      </w:pPr>
      <w:r>
        <w:t xml:space="preserve">screen readers, magnification, speech-to-text, or other assistive technology when permitted;</w:t>
      </w:r>
    </w:p>
    <w:p>
      <w:pPr>
        <w:numPr>
          <w:ilvl w:val="0"/>
          <w:numId w:val="1018"/>
        </w:numPr>
        <w:pStyle w:val="Compact"/>
      </w:pPr>
      <w:r>
        <w:t xml:space="preserve">focused proofreading passes for names, dates, numbers, citations, and attachments;</w:t>
      </w:r>
    </w:p>
    <w:p>
      <w:pPr>
        <w:numPr>
          <w:ilvl w:val="0"/>
          <w:numId w:val="1018"/>
        </w:numPr>
        <w:pStyle w:val="Compact"/>
      </w:pPr>
      <w:r>
        <w:t xml:space="preserve">calendar reminders and task-management systems;</w:t>
      </w:r>
    </w:p>
    <w:p>
      <w:pPr>
        <w:numPr>
          <w:ilvl w:val="0"/>
          <w:numId w:val="1018"/>
        </w:numPr>
        <w:pStyle w:val="Compact"/>
      </w:pPr>
      <w:r>
        <w:t xml:space="preserve">quiet review periods for high-risk documents;</w:t>
      </w:r>
    </w:p>
    <w:p>
      <w:pPr>
        <w:numPr>
          <w:ilvl w:val="0"/>
          <w:numId w:val="1018"/>
        </w:numPr>
        <w:pStyle w:val="Compact"/>
      </w:pPr>
      <w:r>
        <w:t xml:space="preserve">training materials in accessible formats.</w:t>
      </w:r>
    </w:p>
    <w:p>
      <w:pPr>
        <w:pStyle w:val="FirstParagraph"/>
      </w:pPr>
      <w:r>
        <w:t xml:space="preserve">In covered U.S. employment contexts, EEOC guidance explains that reasonable accommodation can include changes that enable a qualified person with a disability to apply for a job, perform essential functions, or access employment benefits, unless accommodation would create undue hardship. Exact rights depend on the law and facts.</w:t>
      </w:r>
    </w:p>
    <w:p>
      <w:pPr>
        <w:pStyle w:val="BodyText"/>
      </w:pPr>
      <w:r>
        <w:t xml:space="preserve">Use the employer’s formal accommodation process when needed and consult the relevant authority or qualified professional for individualized legal questions.</w:t>
      </w:r>
    </w:p>
    <w:p>
      <w:r>
        <w:pict>
          <v:rect style="width:0;height:1.5pt" o:hralign="center" o:hrstd="t" o:hr="t"/>
        </w:pict>
      </w:r>
    </w:p>
    <w:bookmarkEnd w:id="57"/>
    <w:bookmarkStart w:id="61" w:name="X6f85206128875ab85afac72dbdbe6f9f90d6f70"/>
    <w:p>
      <w:pPr>
        <w:pStyle w:val="Heading2"/>
      </w:pPr>
      <w:r>
        <w:t xml:space="preserve">15. Confidentiality, privacy, cybersecurity, and records protection</w:t>
      </w:r>
    </w:p>
    <w:p>
      <w:pPr>
        <w:pStyle w:val="FirstParagraph"/>
      </w:pPr>
      <w:r>
        <w:t xml:space="preserve">Legal offices hold highly sensitive information: client identities, prospective-client information, legal strategy, medical or financial records, contracts, discovery, credentials, privileged communications, work product, court documents, and internal business information.</w:t>
      </w:r>
    </w:p>
    <w:bookmarkStart w:id="58" w:name="protect-client-and-matter-information"/>
    <w:p>
      <w:pPr>
        <w:pStyle w:val="Heading3"/>
      </w:pPr>
      <w:r>
        <w:t xml:space="preserve">Protect client and matter information</w:t>
      </w:r>
    </w:p>
    <w:p>
      <w:pPr>
        <w:numPr>
          <w:ilvl w:val="0"/>
          <w:numId w:val="1019"/>
        </w:numPr>
        <w:pStyle w:val="Compact"/>
      </w:pPr>
      <w:r>
        <w:t xml:space="preserve">access only information needed for authorized work;</w:t>
      </w:r>
    </w:p>
    <w:p>
      <w:pPr>
        <w:numPr>
          <w:ilvl w:val="0"/>
          <w:numId w:val="1019"/>
        </w:numPr>
        <w:pStyle w:val="Compact"/>
      </w:pPr>
      <w:r>
        <w:t xml:space="preserve">use approved storage, email, file-transfer, and collaboration systems;</w:t>
      </w:r>
    </w:p>
    <w:p>
      <w:pPr>
        <w:numPr>
          <w:ilvl w:val="0"/>
          <w:numId w:val="1019"/>
        </w:numPr>
        <w:pStyle w:val="Compact"/>
      </w:pPr>
      <w:r>
        <w:t xml:space="preserve">verify recipients before sending confidential material;</w:t>
      </w:r>
    </w:p>
    <w:p>
      <w:pPr>
        <w:numPr>
          <w:ilvl w:val="0"/>
          <w:numId w:val="1019"/>
        </w:numPr>
        <w:pStyle w:val="Compact"/>
      </w:pPr>
      <w:r>
        <w:t xml:space="preserve">follow clean-desk, printing, shredding, retention, and disposal rules;</w:t>
      </w:r>
    </w:p>
    <w:p>
      <w:pPr>
        <w:numPr>
          <w:ilvl w:val="0"/>
          <w:numId w:val="1019"/>
        </w:numPr>
        <w:pStyle w:val="Compact"/>
      </w:pPr>
      <w:r>
        <w:t xml:space="preserve">use matter numbers and naming conventions accurately;</w:t>
      </w:r>
    </w:p>
    <w:p>
      <w:pPr>
        <w:numPr>
          <w:ilvl w:val="0"/>
          <w:numId w:val="1019"/>
        </w:numPr>
        <w:pStyle w:val="Compact"/>
      </w:pPr>
      <w:r>
        <w:t xml:space="preserve">do not move client material to personal email, personal cloud storage, or personal messaging apps;</w:t>
      </w:r>
    </w:p>
    <w:p>
      <w:pPr>
        <w:numPr>
          <w:ilvl w:val="0"/>
          <w:numId w:val="1019"/>
        </w:numPr>
        <w:pStyle w:val="Compact"/>
      </w:pPr>
      <w:r>
        <w:t xml:space="preserve">do not take photographs of confidential files for convenience.</w:t>
      </w:r>
    </w:p>
    <w:bookmarkEnd w:id="58"/>
    <w:bookmarkStart w:id="59" w:name="authentication-and-phishing"/>
    <w:p>
      <w:pPr>
        <w:pStyle w:val="Heading3"/>
      </w:pPr>
      <w:r>
        <w:t xml:space="preserve">Authentication and phishing</w:t>
      </w:r>
    </w:p>
    <w:p>
      <w:pPr>
        <w:numPr>
          <w:ilvl w:val="0"/>
          <w:numId w:val="1020"/>
        </w:numPr>
        <w:pStyle w:val="Compact"/>
      </w:pPr>
      <w:r>
        <w:t xml:space="preserve">protect passwords and multifactor-authentication methods;</w:t>
      </w:r>
    </w:p>
    <w:p>
      <w:pPr>
        <w:numPr>
          <w:ilvl w:val="0"/>
          <w:numId w:val="1020"/>
        </w:numPr>
        <w:pStyle w:val="Compact"/>
      </w:pPr>
      <w:r>
        <w:t xml:space="preserve">never approve an unexpected MFA prompt;</w:t>
      </w:r>
    </w:p>
    <w:p>
      <w:pPr>
        <w:numPr>
          <w:ilvl w:val="0"/>
          <w:numId w:val="1020"/>
        </w:numPr>
        <w:pStyle w:val="Compact"/>
      </w:pPr>
      <w:r>
        <w:t xml:space="preserve">verify unusual payment, wire, credential, password-reset, or file-sharing requests using approved channels;</w:t>
      </w:r>
    </w:p>
    <w:p>
      <w:pPr>
        <w:numPr>
          <w:ilvl w:val="0"/>
          <w:numId w:val="1020"/>
        </w:numPr>
        <w:pStyle w:val="Compact"/>
      </w:pPr>
      <w:r>
        <w:t xml:space="preserve">treat urgent requests to bypass normal processes as potential social engineering;</w:t>
      </w:r>
    </w:p>
    <w:p>
      <w:pPr>
        <w:numPr>
          <w:ilvl w:val="0"/>
          <w:numId w:val="1020"/>
        </w:numPr>
        <w:pStyle w:val="Compact"/>
      </w:pPr>
      <w:r>
        <w:t xml:space="preserve">report suspected phishing, malware, misdirected email, lost devices, or unauthorized access immediately.</w:t>
      </w:r>
    </w:p>
    <w:bookmarkEnd w:id="59"/>
    <w:bookmarkStart w:id="60" w:name="court-and-filing-systems"/>
    <w:p>
      <w:pPr>
        <w:pStyle w:val="Heading3"/>
      </w:pPr>
      <w:r>
        <w:t xml:space="preserve">Court and filing systems</w:t>
      </w:r>
    </w:p>
    <w:p>
      <w:pPr>
        <w:pStyle w:val="FirstParagraph"/>
      </w:pPr>
      <w:r>
        <w:t xml:space="preserve">Electronic filing credentials and court-system access may carry serious consequences. Never share credentials contrary to policy, file a document you are not authorized to file, or change substantive content without approved review.</w:t>
      </w:r>
    </w:p>
    <w:p>
      <w:r>
        <w:pict>
          <v:rect style="width:0;height:1.5pt" o:hralign="center" o:hrstd="t" o:hr="t"/>
        </w:pict>
      </w:r>
    </w:p>
    <w:bookmarkEnd w:id="60"/>
    <w:bookmarkEnd w:id="61"/>
    <w:bookmarkStart w:id="65" w:name="Xef78e595a1fabdbafe7e5a6c45591cf2c49b70f"/>
    <w:p>
      <w:pPr>
        <w:pStyle w:val="Heading2"/>
      </w:pPr>
      <w:r>
        <w:t xml:space="preserve">16. Responsible use of artificial intelligence</w:t>
      </w:r>
    </w:p>
    <w:p>
      <w:pPr>
        <w:pStyle w:val="FirstParagraph"/>
      </w:pPr>
      <w:r>
        <w:t xml:space="preserve">Generative AI can help with learning and routine drafting support, but legal environments require unusually strong confidentiality, accuracy, supervision, and authorization controls.</w:t>
      </w:r>
    </w:p>
    <w:p>
      <w:pPr>
        <w:pStyle w:val="BodyText"/>
      </w:pPr>
      <w:r>
        <w:t xml:space="preserve">The American Bar Association’s Formal Opinion 512 identifies competence, confidentiality, communication, supervision, candor, and fees among the professional-responsibility issues that lawyers must consider when using generative AI. Administrative staff should treat those concerns as a strong signal to follow employer controls strictly.</w:t>
      </w:r>
    </w:p>
    <w:bookmarkStart w:id="62" w:name="lower-risk-learning-uses"/>
    <w:p>
      <w:pPr>
        <w:pStyle w:val="Heading3"/>
      </w:pPr>
      <w:r>
        <w:t xml:space="preserve">Lower-risk learning uses</w:t>
      </w:r>
    </w:p>
    <w:p>
      <w:pPr>
        <w:pStyle w:val="FirstParagraph"/>
      </w:pPr>
      <w:r>
        <w:t xml:space="preserve">With public or entirely fictitious information, AI may help you:</w:t>
      </w:r>
    </w:p>
    <w:p>
      <w:pPr>
        <w:numPr>
          <w:ilvl w:val="0"/>
          <w:numId w:val="1021"/>
        </w:numPr>
        <w:pStyle w:val="Compact"/>
      </w:pPr>
      <w:r>
        <w:t xml:space="preserve">practice interviews;</w:t>
      </w:r>
    </w:p>
    <w:p>
      <w:pPr>
        <w:numPr>
          <w:ilvl w:val="0"/>
          <w:numId w:val="1021"/>
        </w:numPr>
        <w:pStyle w:val="Compact"/>
      </w:pPr>
      <w:r>
        <w:t xml:space="preserve">learn general legal-office vocabulary;</w:t>
      </w:r>
    </w:p>
    <w:p>
      <w:pPr>
        <w:numPr>
          <w:ilvl w:val="0"/>
          <w:numId w:val="1021"/>
        </w:numPr>
        <w:pStyle w:val="Compact"/>
      </w:pPr>
      <w:r>
        <w:t xml:space="preserve">create study checklists;</w:t>
      </w:r>
    </w:p>
    <w:p>
      <w:pPr>
        <w:numPr>
          <w:ilvl w:val="0"/>
          <w:numId w:val="1021"/>
        </w:numPr>
        <w:pStyle w:val="Compact"/>
      </w:pPr>
      <w:r>
        <w:t xml:space="preserve">practice document-formatting concepts;</w:t>
      </w:r>
    </w:p>
    <w:p>
      <w:pPr>
        <w:numPr>
          <w:ilvl w:val="0"/>
          <w:numId w:val="1021"/>
        </w:numPr>
        <w:pStyle w:val="Compact"/>
      </w:pPr>
      <w:r>
        <w:t xml:space="preserve">generate fictitious proofreading exercises;</w:t>
      </w:r>
    </w:p>
    <w:p>
      <w:pPr>
        <w:numPr>
          <w:ilvl w:val="0"/>
          <w:numId w:val="1021"/>
        </w:numPr>
        <w:pStyle w:val="Compact"/>
      </w:pPr>
      <w:r>
        <w:t xml:space="preserve">rehearse professional communication;</w:t>
      </w:r>
    </w:p>
    <w:p>
      <w:pPr>
        <w:numPr>
          <w:ilvl w:val="0"/>
          <w:numId w:val="1021"/>
        </w:numPr>
        <w:pStyle w:val="Compact"/>
      </w:pPr>
      <w:r>
        <w:t xml:space="preserve">explain general software concepts.</w:t>
      </w:r>
    </w:p>
    <w:bookmarkEnd w:id="62"/>
    <w:bookmarkStart w:id="63" w:name="X383bca0d6db4b75346720ba027ec6bb0674a5b0"/>
    <w:p>
      <w:pPr>
        <w:pStyle w:val="Heading3"/>
      </w:pPr>
      <w:r>
        <w:t xml:space="preserve">Do not place protected information into unapproved/public AI tools</w:t>
      </w:r>
    </w:p>
    <w:p>
      <w:pPr>
        <w:pStyle w:val="FirstParagraph"/>
      </w:pPr>
      <w:r>
        <w:t xml:space="preserve">Do not paste, upload, summarize, or expose real:</w:t>
      </w:r>
    </w:p>
    <w:p>
      <w:pPr>
        <w:numPr>
          <w:ilvl w:val="0"/>
          <w:numId w:val="1022"/>
        </w:numPr>
        <w:pStyle w:val="Compact"/>
      </w:pPr>
      <w:r>
        <w:t xml:space="preserve">client or prospective-client information;</w:t>
      </w:r>
    </w:p>
    <w:p>
      <w:pPr>
        <w:numPr>
          <w:ilvl w:val="0"/>
          <w:numId w:val="1022"/>
        </w:numPr>
        <w:pStyle w:val="Compact"/>
      </w:pPr>
      <w:r>
        <w:t xml:space="preserve">privileged communications;</w:t>
      </w:r>
    </w:p>
    <w:p>
      <w:pPr>
        <w:numPr>
          <w:ilvl w:val="0"/>
          <w:numId w:val="1022"/>
        </w:numPr>
        <w:pStyle w:val="Compact"/>
      </w:pPr>
      <w:r>
        <w:t xml:space="preserve">attorney work product;</w:t>
      </w:r>
    </w:p>
    <w:p>
      <w:pPr>
        <w:numPr>
          <w:ilvl w:val="0"/>
          <w:numId w:val="1022"/>
        </w:numPr>
        <w:pStyle w:val="Compact"/>
      </w:pPr>
      <w:r>
        <w:t xml:space="preserve">matter strategy;</w:t>
      </w:r>
    </w:p>
    <w:p>
      <w:pPr>
        <w:numPr>
          <w:ilvl w:val="0"/>
          <w:numId w:val="1022"/>
        </w:numPr>
        <w:pStyle w:val="Compact"/>
      </w:pPr>
      <w:r>
        <w:t xml:space="preserve">nonpublic contracts or discovery;</w:t>
      </w:r>
    </w:p>
    <w:p>
      <w:pPr>
        <w:numPr>
          <w:ilvl w:val="0"/>
          <w:numId w:val="1022"/>
        </w:numPr>
        <w:pStyle w:val="Compact"/>
      </w:pPr>
      <w:r>
        <w:t xml:space="preserve">court documents not authorized for disclosure;</w:t>
      </w:r>
    </w:p>
    <w:p>
      <w:pPr>
        <w:numPr>
          <w:ilvl w:val="0"/>
          <w:numId w:val="1022"/>
        </w:numPr>
        <w:pStyle w:val="Compact"/>
      </w:pPr>
      <w:r>
        <w:t xml:space="preserve">personal identifiers;</w:t>
      </w:r>
    </w:p>
    <w:p>
      <w:pPr>
        <w:numPr>
          <w:ilvl w:val="0"/>
          <w:numId w:val="1022"/>
        </w:numPr>
        <w:pStyle w:val="Compact"/>
      </w:pPr>
      <w:r>
        <w:t xml:space="preserve">medical or financial information;</w:t>
      </w:r>
    </w:p>
    <w:p>
      <w:pPr>
        <w:numPr>
          <w:ilvl w:val="0"/>
          <w:numId w:val="1022"/>
        </w:numPr>
        <w:pStyle w:val="Compact"/>
      </w:pPr>
      <w:r>
        <w:t xml:space="preserve">passwords, authentication factors, or credentials;</w:t>
      </w:r>
    </w:p>
    <w:p>
      <w:pPr>
        <w:numPr>
          <w:ilvl w:val="0"/>
          <w:numId w:val="1022"/>
        </w:numPr>
        <w:pStyle w:val="Compact"/>
      </w:pPr>
      <w:r>
        <w:t xml:space="preserve">internal law-office procedures or confidential business information.</w:t>
      </w:r>
    </w:p>
    <w:bookmarkEnd w:id="63"/>
    <w:bookmarkStart w:id="64" w:name="X14be4754c1df8349fce7970c8bbd23d98f29963"/>
    <w:p>
      <w:pPr>
        <w:pStyle w:val="Heading3"/>
      </w:pPr>
      <w:r>
        <w:t xml:space="preserve">Human and authorized review remains required</w:t>
      </w:r>
    </w:p>
    <w:p>
      <w:pPr>
        <w:pStyle w:val="FirstParagraph"/>
      </w:pPr>
      <w:r>
        <w:t xml:space="preserve">AI can hallucinate authorities, citations, procedural requirements, dates, quotations, and legal conclusions. Never treat AI output as legal authority. Never submit AI-generated legal content, court filings, client advice, or substantive analysis without the employer’s approved review process and authorized professional judgment.</w:t>
      </w:r>
    </w:p>
    <w:p>
      <w:r>
        <w:pict>
          <v:rect style="width:0;height:1.5pt" o:hralign="center" o:hrstd="t" o:hr="t"/>
        </w:pict>
      </w:r>
    </w:p>
    <w:bookmarkEnd w:id="64"/>
    <w:bookmarkEnd w:id="65"/>
    <w:bookmarkStart w:id="69" w:name="X43fe081b93dc6a63e09c6e73b888f85d9285d4c"/>
    <w:p>
      <w:pPr>
        <w:pStyle w:val="Heading2"/>
      </w:pPr>
      <w:r>
        <w:t xml:space="preserve">17. Job search and interview preparation</w:t>
      </w:r>
    </w:p>
    <w:bookmarkStart w:id="66" w:name="resume-evidence-to-emphasize"/>
    <w:p>
      <w:pPr>
        <w:pStyle w:val="Heading3"/>
      </w:pPr>
      <w:r>
        <w:t xml:space="preserve">Resume evidence to emphasize</w:t>
      </w:r>
    </w:p>
    <w:p>
      <w:pPr>
        <w:pStyle w:val="FirstParagraph"/>
      </w:pPr>
      <w:r>
        <w:t xml:space="preserve">Use truthful evidence of:</w:t>
      </w:r>
    </w:p>
    <w:p>
      <w:pPr>
        <w:numPr>
          <w:ilvl w:val="0"/>
          <w:numId w:val="1023"/>
        </w:numPr>
        <w:pStyle w:val="Compact"/>
      </w:pPr>
      <w:r>
        <w:t xml:space="preserve">administrative coordination;</w:t>
      </w:r>
    </w:p>
    <w:p>
      <w:pPr>
        <w:numPr>
          <w:ilvl w:val="0"/>
          <w:numId w:val="1023"/>
        </w:numPr>
        <w:pStyle w:val="Compact"/>
      </w:pPr>
      <w:r>
        <w:t xml:space="preserve">professional writing and proofreading;</w:t>
      </w:r>
    </w:p>
    <w:p>
      <w:pPr>
        <w:numPr>
          <w:ilvl w:val="0"/>
          <w:numId w:val="1023"/>
        </w:numPr>
        <w:pStyle w:val="Compact"/>
      </w:pPr>
      <w:r>
        <w:t xml:space="preserve">scheduling and calendar management;</w:t>
      </w:r>
    </w:p>
    <w:p>
      <w:pPr>
        <w:numPr>
          <w:ilvl w:val="0"/>
          <w:numId w:val="1023"/>
        </w:numPr>
        <w:pStyle w:val="Compact"/>
      </w:pPr>
      <w:r>
        <w:t xml:space="preserve">document preparation;</w:t>
      </w:r>
    </w:p>
    <w:p>
      <w:pPr>
        <w:numPr>
          <w:ilvl w:val="0"/>
          <w:numId w:val="1023"/>
        </w:numPr>
        <w:pStyle w:val="Compact"/>
      </w:pPr>
      <w:r>
        <w:t xml:space="preserve">confidential records handling;</w:t>
      </w:r>
    </w:p>
    <w:p>
      <w:pPr>
        <w:numPr>
          <w:ilvl w:val="0"/>
          <w:numId w:val="1023"/>
        </w:numPr>
        <w:pStyle w:val="Compact"/>
      </w:pPr>
      <w:r>
        <w:t xml:space="preserve">customer or client service;</w:t>
      </w:r>
    </w:p>
    <w:p>
      <w:pPr>
        <w:numPr>
          <w:ilvl w:val="0"/>
          <w:numId w:val="1023"/>
        </w:numPr>
        <w:pStyle w:val="Compact"/>
      </w:pPr>
      <w:r>
        <w:t xml:space="preserve">Microsoft 365 or equivalent office tools;</w:t>
      </w:r>
    </w:p>
    <w:p>
      <w:pPr>
        <w:numPr>
          <w:ilvl w:val="0"/>
          <w:numId w:val="1023"/>
        </w:numPr>
        <w:pStyle w:val="Compact"/>
      </w:pPr>
      <w:r>
        <w:t xml:space="preserve">PDF and document-management skills;</w:t>
      </w:r>
    </w:p>
    <w:p>
      <w:pPr>
        <w:numPr>
          <w:ilvl w:val="0"/>
          <w:numId w:val="1023"/>
        </w:numPr>
        <w:pStyle w:val="Compact"/>
      </w:pPr>
      <w:r>
        <w:t xml:space="preserve">billing or expense administration;</w:t>
      </w:r>
    </w:p>
    <w:p>
      <w:pPr>
        <w:numPr>
          <w:ilvl w:val="0"/>
          <w:numId w:val="1023"/>
        </w:numPr>
        <w:pStyle w:val="Compact"/>
      </w:pPr>
      <w:r>
        <w:t xml:space="preserve">deadline-sensitive work;</w:t>
      </w:r>
    </w:p>
    <w:p>
      <w:pPr>
        <w:numPr>
          <w:ilvl w:val="0"/>
          <w:numId w:val="1023"/>
        </w:numPr>
        <w:pStyle w:val="Compact"/>
      </w:pPr>
      <w:r>
        <w:t xml:space="preserve">bilingual communication where relevant;</w:t>
      </w:r>
    </w:p>
    <w:p>
      <w:pPr>
        <w:numPr>
          <w:ilvl w:val="0"/>
          <w:numId w:val="1023"/>
        </w:numPr>
        <w:pStyle w:val="Compact"/>
      </w:pPr>
      <w:r>
        <w:t xml:space="preserve">security and privacy awareness.</w:t>
      </w:r>
    </w:p>
    <w:p>
      <w:pPr>
        <w:pStyle w:val="FirstParagraph"/>
      </w:pPr>
      <w:r>
        <w:t xml:space="preserve">Do not claim legal experience, filing experience, practice-area expertise, software proficiency, credentials, or court knowledge you do not actually possess.</w:t>
      </w:r>
    </w:p>
    <w:bookmarkEnd w:id="66"/>
    <w:bookmarkStart w:id="67" w:name="interview-scenarios-to-practice"/>
    <w:p>
      <w:pPr>
        <w:pStyle w:val="Heading3"/>
      </w:pPr>
      <w:r>
        <w:t xml:space="preserve">Interview scenarios to practice</w:t>
      </w:r>
    </w:p>
    <w:p>
      <w:pPr>
        <w:pStyle w:val="FirstParagraph"/>
      </w:pPr>
      <w:r>
        <w:t xml:space="preserve">Prepare examples for questions such as:</w:t>
      </w:r>
    </w:p>
    <w:p>
      <w:pPr>
        <w:numPr>
          <w:ilvl w:val="0"/>
          <w:numId w:val="1024"/>
        </w:numPr>
        <w:pStyle w:val="Compact"/>
      </w:pPr>
      <w:r>
        <w:t xml:space="preserve">How do you manage several urgent deadlines at once?</w:t>
      </w:r>
    </w:p>
    <w:p>
      <w:pPr>
        <w:numPr>
          <w:ilvl w:val="0"/>
          <w:numId w:val="1024"/>
        </w:numPr>
        <w:pStyle w:val="Compact"/>
      </w:pPr>
      <w:r>
        <w:t xml:space="preserve">What would you do if a client asked you for legal advice?</w:t>
      </w:r>
    </w:p>
    <w:p>
      <w:pPr>
        <w:numPr>
          <w:ilvl w:val="0"/>
          <w:numId w:val="1024"/>
        </w:numPr>
        <w:pStyle w:val="Compact"/>
      </w:pPr>
      <w:r>
        <w:t xml:space="preserve">How do you protect confidential information?</w:t>
      </w:r>
    </w:p>
    <w:p>
      <w:pPr>
        <w:numPr>
          <w:ilvl w:val="0"/>
          <w:numId w:val="1024"/>
        </w:numPr>
        <w:pStyle w:val="Compact"/>
      </w:pPr>
      <w:r>
        <w:t xml:space="preserve">Tell me about a document error you caught before it caused a problem.</w:t>
      </w:r>
    </w:p>
    <w:p>
      <w:pPr>
        <w:numPr>
          <w:ilvl w:val="0"/>
          <w:numId w:val="1024"/>
        </w:numPr>
        <w:pStyle w:val="Compact"/>
      </w:pPr>
      <w:r>
        <w:t xml:space="preserve">How do you learn an unfamiliar software system?</w:t>
      </w:r>
    </w:p>
    <w:p>
      <w:pPr>
        <w:numPr>
          <w:ilvl w:val="0"/>
          <w:numId w:val="1024"/>
        </w:numPr>
        <w:pStyle w:val="Compact"/>
      </w:pPr>
      <w:r>
        <w:t xml:space="preserve">What would you do if an attorney asked for a document immediately but key information appeared missing?</w:t>
      </w:r>
    </w:p>
    <w:p>
      <w:pPr>
        <w:numPr>
          <w:ilvl w:val="0"/>
          <w:numId w:val="1024"/>
        </w:numPr>
        <w:pStyle w:val="Compact"/>
      </w:pPr>
      <w:r>
        <w:t xml:space="preserve">How would you respond to an unexpected email asking you to send confidential files or reset credentials?</w:t>
      </w:r>
    </w:p>
    <w:p>
      <w:pPr>
        <w:pStyle w:val="FirstParagraph"/>
      </w:pPr>
      <w:r>
        <w:t xml:space="preserve">A strong answer usually combines service, accuracy, confidentiality, escalation, and respect for role boundaries.</w:t>
      </w:r>
    </w:p>
    <w:bookmarkEnd w:id="67"/>
    <w:bookmarkStart w:id="68" w:name="questions-for-the-employer"/>
    <w:p>
      <w:pPr>
        <w:pStyle w:val="Heading3"/>
      </w:pPr>
      <w:r>
        <w:t xml:space="preserve">Questions for the employer</w:t>
      </w:r>
    </w:p>
    <w:p>
      <w:pPr>
        <w:pStyle w:val="FirstParagraph"/>
      </w:pPr>
      <w:r>
        <w:t xml:space="preserve">Ask about:</w:t>
      </w:r>
    </w:p>
    <w:p>
      <w:pPr>
        <w:numPr>
          <w:ilvl w:val="0"/>
          <w:numId w:val="1025"/>
        </w:numPr>
        <w:pStyle w:val="Compact"/>
      </w:pPr>
      <w:r>
        <w:t xml:space="preserve">onboarding and supervised training;</w:t>
      </w:r>
    </w:p>
    <w:p>
      <w:pPr>
        <w:numPr>
          <w:ilvl w:val="0"/>
          <w:numId w:val="1025"/>
        </w:numPr>
        <w:pStyle w:val="Compact"/>
      </w:pPr>
      <w:r>
        <w:t xml:space="preserve">practice areas supported;</w:t>
      </w:r>
    </w:p>
    <w:p>
      <w:pPr>
        <w:numPr>
          <w:ilvl w:val="0"/>
          <w:numId w:val="1025"/>
        </w:numPr>
        <w:pStyle w:val="Compact"/>
      </w:pPr>
      <w:r>
        <w:t xml:space="preserve">document-management and filing systems;</w:t>
      </w:r>
    </w:p>
    <w:p>
      <w:pPr>
        <w:numPr>
          <w:ilvl w:val="0"/>
          <w:numId w:val="1025"/>
        </w:numPr>
        <w:pStyle w:val="Compact"/>
      </w:pPr>
      <w:r>
        <w:t xml:space="preserve">expected schedule and overtime;</w:t>
      </w:r>
    </w:p>
    <w:p>
      <w:pPr>
        <w:numPr>
          <w:ilvl w:val="0"/>
          <w:numId w:val="1025"/>
        </w:numPr>
        <w:pStyle w:val="Compact"/>
      </w:pPr>
      <w:r>
        <w:t xml:space="preserve">hybrid or remote policies;</w:t>
      </w:r>
    </w:p>
    <w:p>
      <w:pPr>
        <w:numPr>
          <w:ilvl w:val="0"/>
          <w:numId w:val="1025"/>
        </w:numPr>
        <w:pStyle w:val="Compact"/>
      </w:pPr>
      <w:r>
        <w:t xml:space="preserve">confidentiality and cybersecurity training;</w:t>
      </w:r>
    </w:p>
    <w:p>
      <w:pPr>
        <w:numPr>
          <w:ilvl w:val="0"/>
          <w:numId w:val="1025"/>
        </w:numPr>
        <w:pStyle w:val="Compact"/>
      </w:pPr>
      <w:r>
        <w:t xml:space="preserve">AI-use policy;</w:t>
      </w:r>
    </w:p>
    <w:p>
      <w:pPr>
        <w:numPr>
          <w:ilvl w:val="0"/>
          <w:numId w:val="1025"/>
        </w:numPr>
        <w:pStyle w:val="Compact"/>
      </w:pPr>
      <w:r>
        <w:t xml:space="preserve">performance metrics;</w:t>
      </w:r>
    </w:p>
    <w:p>
      <w:pPr>
        <w:numPr>
          <w:ilvl w:val="0"/>
          <w:numId w:val="1025"/>
        </w:numPr>
        <w:pStyle w:val="Compact"/>
      </w:pPr>
      <w:r>
        <w:t xml:space="preserve">tuition or education support;</w:t>
      </w:r>
    </w:p>
    <w:p>
      <w:pPr>
        <w:numPr>
          <w:ilvl w:val="0"/>
          <w:numId w:val="1025"/>
        </w:numPr>
        <w:pStyle w:val="Compact"/>
      </w:pPr>
      <w:r>
        <w:t xml:space="preserve">promotion paths;</w:t>
      </w:r>
    </w:p>
    <w:p>
      <w:pPr>
        <w:numPr>
          <w:ilvl w:val="0"/>
          <w:numId w:val="1025"/>
        </w:numPr>
        <w:pStyle w:val="Compact"/>
      </w:pPr>
      <w:r>
        <w:t xml:space="preserve">reimbursement or repayment obligations for employer-paid training.</w:t>
      </w:r>
    </w:p>
    <w:p>
      <w:pPr>
        <w:pStyle w:val="FirstParagraph"/>
      </w:pPr>
      <w:r>
        <w:t xml:space="preserve">Get important repayment terms in writing.</w:t>
      </w:r>
    </w:p>
    <w:p>
      <w:r>
        <w:pict>
          <v:rect style="width:0;height:1.5pt" o:hralign="center" o:hrstd="t" o:hr="t"/>
        </w:pict>
      </w:r>
    </w:p>
    <w:bookmarkEnd w:id="68"/>
    <w:bookmarkEnd w:id="69"/>
    <w:bookmarkStart w:id="77" w:name="X99bdf8c3d07a46829f80920b5227592067d0cd9"/>
    <w:p>
      <w:pPr>
        <w:pStyle w:val="Heading2"/>
      </w:pPr>
      <w:r>
        <w:t xml:space="preserve">18. Twelve-week entry plan and progression</w:t>
      </w:r>
    </w:p>
    <w:bookmarkStart w:id="70" w:name="weeks-12--understand-the-market"/>
    <w:p>
      <w:pPr>
        <w:pStyle w:val="Heading3"/>
      </w:pPr>
      <w:r>
        <w:t xml:space="preserve">Weeks 1–2 — Understand the market</w:t>
      </w:r>
    </w:p>
    <w:p>
      <w:pPr>
        <w:numPr>
          <w:ilvl w:val="0"/>
          <w:numId w:val="1026"/>
        </w:numPr>
        <w:pStyle w:val="Compact"/>
      </w:pPr>
      <w:r>
        <w:t xml:space="preserve">Read O*NET 43-6012.00 and the BLS occupational profile.</w:t>
      </w:r>
    </w:p>
    <w:p>
      <w:pPr>
        <w:numPr>
          <w:ilvl w:val="0"/>
          <w:numId w:val="1026"/>
        </w:numPr>
        <w:pStyle w:val="Compact"/>
      </w:pPr>
      <w:r>
        <w:t xml:space="preserve">Review 15–20 local job postings.</w:t>
      </w:r>
    </w:p>
    <w:p>
      <w:pPr>
        <w:numPr>
          <w:ilvl w:val="0"/>
          <w:numId w:val="1026"/>
        </w:numPr>
        <w:pStyle w:val="Compact"/>
      </w:pPr>
      <w:r>
        <w:t xml:space="preserve">List repeated software, terminology, education, and experience requirements.</w:t>
      </w:r>
    </w:p>
    <w:p>
      <w:pPr>
        <w:numPr>
          <w:ilvl w:val="0"/>
          <w:numId w:val="1026"/>
        </w:numPr>
        <w:pStyle w:val="Compact"/>
      </w:pPr>
      <w:r>
        <w:t xml:space="preserve">Separate legal-administrative roles from paralegal, attorney, court-clerk, and other materially different occupations.</w:t>
      </w:r>
    </w:p>
    <w:bookmarkEnd w:id="70"/>
    <w:bookmarkStart w:id="71" w:name="weeks-34--strengthen-office-skills"/>
    <w:p>
      <w:pPr>
        <w:pStyle w:val="Heading3"/>
      </w:pPr>
      <w:r>
        <w:t xml:space="preserve">Weeks 3–4 — Strengthen office skills</w:t>
      </w:r>
    </w:p>
    <w:p>
      <w:pPr>
        <w:numPr>
          <w:ilvl w:val="0"/>
          <w:numId w:val="1027"/>
        </w:numPr>
        <w:pStyle w:val="Compact"/>
      </w:pPr>
      <w:r>
        <w:t xml:space="preserve">Practice document formatting and proofreading.</w:t>
      </w:r>
    </w:p>
    <w:p>
      <w:pPr>
        <w:numPr>
          <w:ilvl w:val="0"/>
          <w:numId w:val="1027"/>
        </w:numPr>
        <w:pStyle w:val="Compact"/>
      </w:pPr>
      <w:r>
        <w:t xml:space="preserve">Improve word processing, spreadsheets, PDF tools, email, and calendars.</w:t>
      </w:r>
    </w:p>
    <w:p>
      <w:pPr>
        <w:numPr>
          <w:ilvl w:val="0"/>
          <w:numId w:val="1027"/>
        </w:numPr>
        <w:pStyle w:val="Compact"/>
      </w:pPr>
      <w:r>
        <w:t xml:space="preserve">Practice secure file naming and version control using fictitious files.</w:t>
      </w:r>
    </w:p>
    <w:p>
      <w:pPr>
        <w:numPr>
          <w:ilvl w:val="0"/>
          <w:numId w:val="1027"/>
        </w:numPr>
        <w:pStyle w:val="Compact"/>
      </w:pPr>
      <w:r>
        <w:t xml:space="preserve">Review phishing, password, MFA, and confidentiality fundamentals.</w:t>
      </w:r>
    </w:p>
    <w:bookmarkEnd w:id="71"/>
    <w:bookmarkStart w:id="72" w:name="Xca72fe017d2bc81183df038dfc9f780afe97610"/>
    <w:p>
      <w:pPr>
        <w:pStyle w:val="Heading3"/>
      </w:pPr>
      <w:r>
        <w:t xml:space="preserve">Weeks 5–6 — Learn legal-office fundamentals</w:t>
      </w:r>
    </w:p>
    <w:p>
      <w:pPr>
        <w:numPr>
          <w:ilvl w:val="0"/>
          <w:numId w:val="1028"/>
        </w:numPr>
        <w:pStyle w:val="Compact"/>
      </w:pPr>
      <w:r>
        <w:t xml:space="preserve">Study common legal-office terminology.</w:t>
      </w:r>
    </w:p>
    <w:p>
      <w:pPr>
        <w:numPr>
          <w:ilvl w:val="0"/>
          <w:numId w:val="1028"/>
        </w:numPr>
        <w:pStyle w:val="Compact"/>
      </w:pPr>
      <w:r>
        <w:t xml:space="preserve">Learn how courts, law firms, clients, matters, filings, and deadlines fit together at a general level.</w:t>
      </w:r>
    </w:p>
    <w:p>
      <w:pPr>
        <w:numPr>
          <w:ilvl w:val="0"/>
          <w:numId w:val="1028"/>
        </w:numPr>
        <w:pStyle w:val="Compact"/>
      </w:pPr>
      <w:r>
        <w:t xml:space="preserve">Practice distinguishing administrative information from legal advice.</w:t>
      </w:r>
    </w:p>
    <w:p>
      <w:pPr>
        <w:numPr>
          <w:ilvl w:val="0"/>
          <w:numId w:val="1028"/>
        </w:numPr>
        <w:pStyle w:val="Compact"/>
      </w:pPr>
      <w:r>
        <w:t xml:space="preserve">In Colombia, check current SENA Betowa administrative-training availability.</w:t>
      </w:r>
    </w:p>
    <w:bookmarkEnd w:id="72"/>
    <w:bookmarkStart w:id="73" w:name="weeks-78--build-application-materials"/>
    <w:p>
      <w:pPr>
        <w:pStyle w:val="Heading3"/>
      </w:pPr>
      <w:r>
        <w:t xml:space="preserve">Weeks 7–8 — Build application materials</w:t>
      </w:r>
    </w:p>
    <w:p>
      <w:pPr>
        <w:numPr>
          <w:ilvl w:val="0"/>
          <w:numId w:val="1029"/>
        </w:numPr>
        <w:pStyle w:val="Compact"/>
      </w:pPr>
      <w:r>
        <w:t xml:space="preserve">Create a truthful targeted resume.</w:t>
      </w:r>
    </w:p>
    <w:p>
      <w:pPr>
        <w:numPr>
          <w:ilvl w:val="0"/>
          <w:numId w:val="1029"/>
        </w:numPr>
        <w:pStyle w:val="Compact"/>
      </w:pPr>
      <w:r>
        <w:t xml:space="preserve">Prepare examples demonstrating accuracy, confidentiality, organization, service, and escalation.</w:t>
      </w:r>
    </w:p>
    <w:p>
      <w:pPr>
        <w:numPr>
          <w:ilvl w:val="0"/>
          <w:numId w:val="1029"/>
        </w:numPr>
        <w:pStyle w:val="Compact"/>
      </w:pPr>
      <w:r>
        <w:t xml:space="preserve">Practice interviews.</w:t>
      </w:r>
    </w:p>
    <w:p>
      <w:pPr>
        <w:numPr>
          <w:ilvl w:val="0"/>
          <w:numId w:val="1029"/>
        </w:numPr>
        <w:pStyle w:val="Compact"/>
      </w:pPr>
      <w:r>
        <w:t xml:space="preserve">Build a job-application tracker.</w:t>
      </w:r>
    </w:p>
    <w:bookmarkEnd w:id="73"/>
    <w:bookmarkStart w:id="74" w:name="X328a9364ed460f8f0e08d05e9374036782a63eb"/>
    <w:p>
      <w:pPr>
        <w:pStyle w:val="Heading3"/>
      </w:pPr>
      <w:r>
        <w:t xml:space="preserve">Weeks 9–10 — Verify training and funding before paying</w:t>
      </w:r>
    </w:p>
    <w:p>
      <w:pPr>
        <w:pStyle w:val="FirstParagraph"/>
      </w:pPr>
      <w:r>
        <w:t xml:space="preserve">Check:</w:t>
      </w:r>
    </w:p>
    <w:p>
      <w:pPr>
        <w:numPr>
          <w:ilvl w:val="0"/>
          <w:numId w:val="1030"/>
        </w:numPr>
        <w:pStyle w:val="Compact"/>
      </w:pPr>
      <w:r>
        <w:t xml:space="preserve">total tuition and fees;</w:t>
      </w:r>
    </w:p>
    <w:p>
      <w:pPr>
        <w:numPr>
          <w:ilvl w:val="0"/>
          <w:numId w:val="1030"/>
        </w:numPr>
        <w:pStyle w:val="Compact"/>
      </w:pPr>
      <w:r>
        <w:t xml:space="preserve">employer demand for the credential;</w:t>
      </w:r>
    </w:p>
    <w:p>
      <w:pPr>
        <w:numPr>
          <w:ilvl w:val="0"/>
          <w:numId w:val="1030"/>
        </w:numPr>
        <w:pStyle w:val="Compact"/>
      </w:pPr>
      <w:r>
        <w:t xml:space="preserve">school recognition;</w:t>
      </w:r>
    </w:p>
    <w:p>
      <w:pPr>
        <w:numPr>
          <w:ilvl w:val="0"/>
          <w:numId w:val="1030"/>
        </w:numPr>
        <w:pStyle w:val="Compact"/>
      </w:pPr>
      <w:r>
        <w:t xml:space="preserve">FAFSA eligibility when relevant;</w:t>
      </w:r>
    </w:p>
    <w:p>
      <w:pPr>
        <w:numPr>
          <w:ilvl w:val="0"/>
          <w:numId w:val="1030"/>
        </w:numPr>
        <w:pStyle w:val="Compact"/>
      </w:pPr>
      <w:r>
        <w:t xml:space="preserve">American Job Center or workforce support when relevant;</w:t>
      </w:r>
    </w:p>
    <w:p>
      <w:pPr>
        <w:numPr>
          <w:ilvl w:val="0"/>
          <w:numId w:val="1030"/>
        </w:numPr>
        <w:pStyle w:val="Compact"/>
      </w:pPr>
      <w:r>
        <w:t xml:space="preserve">scholarships;</w:t>
      </w:r>
    </w:p>
    <w:p>
      <w:pPr>
        <w:numPr>
          <w:ilvl w:val="0"/>
          <w:numId w:val="1030"/>
        </w:numPr>
        <w:pStyle w:val="Compact"/>
      </w:pPr>
      <w:r>
        <w:t xml:space="preserve">employer educational assistance;</w:t>
      </w:r>
    </w:p>
    <w:p>
      <w:pPr>
        <w:numPr>
          <w:ilvl w:val="0"/>
          <w:numId w:val="1030"/>
        </w:numPr>
        <w:pStyle w:val="Compact"/>
      </w:pPr>
      <w:r>
        <w:t xml:space="preserve">Section 127 plan terms;</w:t>
      </w:r>
    </w:p>
    <w:p>
      <w:pPr>
        <w:numPr>
          <w:ilvl w:val="0"/>
          <w:numId w:val="1030"/>
        </w:numPr>
        <w:pStyle w:val="Compact"/>
      </w:pPr>
      <w:r>
        <w:t xml:space="preserve">refund and withdrawal rules;</w:t>
      </w:r>
    </w:p>
    <w:p>
      <w:pPr>
        <w:numPr>
          <w:ilvl w:val="0"/>
          <w:numId w:val="1030"/>
        </w:numPr>
        <w:pStyle w:val="Compact"/>
      </w:pPr>
      <w:r>
        <w:t xml:space="preserve">repayment obligations;</w:t>
      </w:r>
    </w:p>
    <w:p>
      <w:pPr>
        <w:numPr>
          <w:ilvl w:val="0"/>
          <w:numId w:val="1030"/>
        </w:numPr>
        <w:pStyle w:val="Compact"/>
      </w:pPr>
      <w:r>
        <w:t xml:space="preserve">accessibility and accommodation processes.</w:t>
      </w:r>
    </w:p>
    <w:bookmarkEnd w:id="74"/>
    <w:bookmarkStart w:id="75" w:name="weeks-1112--apply-and-refine"/>
    <w:p>
      <w:pPr>
        <w:pStyle w:val="Heading3"/>
      </w:pPr>
      <w:r>
        <w:t xml:space="preserve">Weeks 11–12 — Apply and refine</w:t>
      </w:r>
    </w:p>
    <w:p>
      <w:pPr>
        <w:numPr>
          <w:ilvl w:val="0"/>
          <w:numId w:val="1031"/>
        </w:numPr>
        <w:pStyle w:val="Compact"/>
      </w:pPr>
      <w:r>
        <w:t xml:space="preserve">Apply to jobs that match your verified skills.</w:t>
      </w:r>
    </w:p>
    <w:p>
      <w:pPr>
        <w:numPr>
          <w:ilvl w:val="0"/>
          <w:numId w:val="1031"/>
        </w:numPr>
        <w:pStyle w:val="Compact"/>
      </w:pPr>
      <w:r>
        <w:t xml:space="preserve">Track which requirements repeatedly block progress.</w:t>
      </w:r>
    </w:p>
    <w:p>
      <w:pPr>
        <w:numPr>
          <w:ilvl w:val="0"/>
          <w:numId w:val="1031"/>
        </w:numPr>
        <w:pStyle w:val="Compact"/>
      </w:pPr>
      <w:r>
        <w:t xml:space="preserve">Improve one verified gap at a time.</w:t>
      </w:r>
    </w:p>
    <w:p>
      <w:pPr>
        <w:numPr>
          <w:ilvl w:val="0"/>
          <w:numId w:val="1031"/>
        </w:numPr>
        <w:pStyle w:val="Compact"/>
      </w:pPr>
      <w:r>
        <w:t xml:space="preserve">Avoid buying multiple certificates simply to appear more qualified.</w:t>
      </w:r>
    </w:p>
    <w:bookmarkEnd w:id="75"/>
    <w:bookmarkStart w:id="76" w:name="possible-progression"/>
    <w:p>
      <w:pPr>
        <w:pStyle w:val="Heading3"/>
      </w:pPr>
      <w:r>
        <w:t xml:space="preserve">Possible progression</w:t>
      </w:r>
    </w:p>
    <w:p>
      <w:pPr>
        <w:pStyle w:val="FirstParagraph"/>
      </w:pPr>
      <w:r>
        <w:t xml:space="preserve">With experience and, where needed, further education or authorization, pathways may include:</w:t>
      </w:r>
    </w:p>
    <w:p>
      <w:pPr>
        <w:numPr>
          <w:ilvl w:val="0"/>
          <w:numId w:val="1032"/>
        </w:numPr>
        <w:pStyle w:val="Compact"/>
      </w:pPr>
      <w:r>
        <w:t xml:space="preserve">senior legal administrative assistant;</w:t>
      </w:r>
    </w:p>
    <w:p>
      <w:pPr>
        <w:numPr>
          <w:ilvl w:val="0"/>
          <w:numId w:val="1032"/>
        </w:numPr>
        <w:pStyle w:val="Compact"/>
      </w:pPr>
      <w:r>
        <w:t xml:space="preserve">litigation secretary;</w:t>
      </w:r>
    </w:p>
    <w:p>
      <w:pPr>
        <w:numPr>
          <w:ilvl w:val="0"/>
          <w:numId w:val="1032"/>
        </w:numPr>
        <w:pStyle w:val="Compact"/>
      </w:pPr>
      <w:r>
        <w:t xml:space="preserve">legal practice assistant;</w:t>
      </w:r>
    </w:p>
    <w:p>
      <w:pPr>
        <w:numPr>
          <w:ilvl w:val="0"/>
          <w:numId w:val="1032"/>
        </w:numPr>
        <w:pStyle w:val="Compact"/>
      </w:pPr>
      <w:r>
        <w:t xml:space="preserve">office coordinator or office manager;</w:t>
      </w:r>
    </w:p>
    <w:p>
      <w:pPr>
        <w:numPr>
          <w:ilvl w:val="0"/>
          <w:numId w:val="1032"/>
        </w:numPr>
        <w:pStyle w:val="Compact"/>
      </w:pPr>
      <w:r>
        <w:t xml:space="preserve">legal operations support;</w:t>
      </w:r>
    </w:p>
    <w:p>
      <w:pPr>
        <w:numPr>
          <w:ilvl w:val="0"/>
          <w:numId w:val="1032"/>
        </w:numPr>
        <w:pStyle w:val="Compact"/>
      </w:pPr>
      <w:r>
        <w:t xml:space="preserve">records or document-management specialist;</w:t>
      </w:r>
    </w:p>
    <w:p>
      <w:pPr>
        <w:numPr>
          <w:ilvl w:val="0"/>
          <w:numId w:val="1032"/>
        </w:numPr>
        <w:pStyle w:val="Compact"/>
      </w:pPr>
      <w:r>
        <w:t xml:space="preserve">billing or client-account support;</w:t>
      </w:r>
    </w:p>
    <w:p>
      <w:pPr>
        <w:numPr>
          <w:ilvl w:val="0"/>
          <w:numId w:val="1032"/>
        </w:numPr>
        <w:pStyle w:val="Compact"/>
      </w:pPr>
      <w:r>
        <w:t xml:space="preserve">court or government administrative work;</w:t>
      </w:r>
    </w:p>
    <w:p>
      <w:pPr>
        <w:numPr>
          <w:ilvl w:val="0"/>
          <w:numId w:val="1032"/>
        </w:numPr>
        <w:pStyle w:val="Compact"/>
      </w:pPr>
      <w:r>
        <w:t xml:space="preserve">paralegal or legal-assistant pathways where local education and authorization requirements are met;</w:t>
      </w:r>
    </w:p>
    <w:p>
      <w:pPr>
        <w:numPr>
          <w:ilvl w:val="0"/>
          <w:numId w:val="1032"/>
        </w:numPr>
        <w:pStyle w:val="Compact"/>
      </w:pPr>
      <w:r>
        <w:t xml:space="preserve">compliance, contracts administration, e-discovery support, or other specialized operations roles.</w:t>
      </w:r>
    </w:p>
    <w:p>
      <w:pPr>
        <w:pStyle w:val="FirstParagraph"/>
      </w:pPr>
      <w:r>
        <w:t xml:space="preserve">Progression is not automatic. Some roles are regulated or require substantially different training.</w:t>
      </w:r>
    </w:p>
    <w:p>
      <w:r>
        <w:pict>
          <v:rect style="width:0;height:1.5pt" o:hralign="center" o:hrstd="t" o:hr="t"/>
        </w:pict>
      </w:r>
    </w:p>
    <w:bookmarkEnd w:id="76"/>
    <w:bookmarkEnd w:id="77"/>
    <w:bookmarkStart w:id="99" w:name="X08142858916a525167214a76a07768eb9b86834"/>
    <w:p>
      <w:pPr>
        <w:pStyle w:val="Heading2"/>
      </w:pPr>
      <w:r>
        <w:t xml:space="preserve">19. Verification checklist, sources, disclaimers, authorship, and license</w:t>
      </w:r>
    </w:p>
    <w:bookmarkStart w:id="78" w:name="verify-before-making-a-decision"/>
    <w:p>
      <w:pPr>
        <w:pStyle w:val="Heading3"/>
      </w:pPr>
      <w:r>
        <w:t xml:space="preserve">Verify before making a decision</w:t>
      </w:r>
    </w:p>
    <w:p>
      <w:pPr>
        <w:numPr>
          <w:ilvl w:val="0"/>
          <w:numId w:val="1033"/>
        </w:numPr>
        <w:pStyle w:val="Compact"/>
      </w:pPr>
      <w:r>
        <w:t xml:space="preserve">☐ the exact duties in the current job posting;</w:t>
      </w:r>
    </w:p>
    <w:p>
      <w:pPr>
        <w:numPr>
          <w:ilvl w:val="0"/>
          <w:numId w:val="1033"/>
        </w:numPr>
        <w:pStyle w:val="Compact"/>
      </w:pPr>
      <w:r>
        <w:t xml:space="preserve">☐ whether duties are administrative or include regulated/substantive legal work;</w:t>
      </w:r>
    </w:p>
    <w:p>
      <w:pPr>
        <w:numPr>
          <w:ilvl w:val="0"/>
          <w:numId w:val="1033"/>
        </w:numPr>
        <w:pStyle w:val="Compact"/>
      </w:pPr>
      <w:r>
        <w:t xml:space="preserve">☐ local unauthorized-practice and supervision rules;</w:t>
      </w:r>
    </w:p>
    <w:p>
      <w:pPr>
        <w:numPr>
          <w:ilvl w:val="0"/>
          <w:numId w:val="1033"/>
        </w:numPr>
        <w:pStyle w:val="Compact"/>
      </w:pPr>
      <w:r>
        <w:t xml:space="preserve">☐ education and experience requirements;</w:t>
      </w:r>
    </w:p>
    <w:p>
      <w:pPr>
        <w:numPr>
          <w:ilvl w:val="0"/>
          <w:numId w:val="1033"/>
        </w:numPr>
        <w:pStyle w:val="Compact"/>
      </w:pPr>
      <w:r>
        <w:t xml:space="preserve">☐ court-filing or registration requirements, if any;</w:t>
      </w:r>
    </w:p>
    <w:p>
      <w:pPr>
        <w:numPr>
          <w:ilvl w:val="0"/>
          <w:numId w:val="1033"/>
        </w:numPr>
        <w:pStyle w:val="Compact"/>
      </w:pPr>
      <w:r>
        <w:t xml:space="preserve">☐ work authorization;</w:t>
      </w:r>
    </w:p>
    <w:p>
      <w:pPr>
        <w:numPr>
          <w:ilvl w:val="0"/>
          <w:numId w:val="1033"/>
        </w:numPr>
        <w:pStyle w:val="Compact"/>
      </w:pPr>
      <w:r>
        <w:t xml:space="preserve">☐ salary, hours, overtime, and benefits;</w:t>
      </w:r>
    </w:p>
    <w:p>
      <w:pPr>
        <w:numPr>
          <w:ilvl w:val="0"/>
          <w:numId w:val="1033"/>
        </w:numPr>
        <w:pStyle w:val="Compact"/>
      </w:pPr>
      <w:r>
        <w:t xml:space="preserve">☐ confidentiality and cybersecurity policies;</w:t>
      </w:r>
    </w:p>
    <w:p>
      <w:pPr>
        <w:numPr>
          <w:ilvl w:val="0"/>
          <w:numId w:val="1033"/>
        </w:numPr>
        <w:pStyle w:val="Compact"/>
      </w:pPr>
      <w:r>
        <w:t xml:space="preserve">☐ employer AI-use policy;</w:t>
      </w:r>
    </w:p>
    <w:p>
      <w:pPr>
        <w:numPr>
          <w:ilvl w:val="0"/>
          <w:numId w:val="1033"/>
        </w:numPr>
        <w:pStyle w:val="Compact"/>
      </w:pPr>
      <w:r>
        <w:t xml:space="preserve">☐ training costs and refund rules;</w:t>
      </w:r>
    </w:p>
    <w:p>
      <w:pPr>
        <w:numPr>
          <w:ilvl w:val="0"/>
          <w:numId w:val="1033"/>
        </w:numPr>
        <w:pStyle w:val="Compact"/>
      </w:pPr>
      <w:r>
        <w:t xml:space="preserve">☐ FAFSA, workforce, scholarship, or employer-support eligibility;</w:t>
      </w:r>
    </w:p>
    <w:p>
      <w:pPr>
        <w:numPr>
          <w:ilvl w:val="0"/>
          <w:numId w:val="1033"/>
        </w:numPr>
        <w:pStyle w:val="Compact"/>
      </w:pPr>
      <w:r>
        <w:t xml:space="preserve">☐ current SENA availability in Colombia;</w:t>
      </w:r>
    </w:p>
    <w:p>
      <w:pPr>
        <w:numPr>
          <w:ilvl w:val="0"/>
          <w:numId w:val="1033"/>
        </w:numPr>
        <w:pStyle w:val="Compact"/>
      </w:pPr>
      <w:r>
        <w:t xml:space="preserve">☐ actual registration status of any program marketed as Registered Apprenticeship;</w:t>
      </w:r>
    </w:p>
    <w:p>
      <w:pPr>
        <w:numPr>
          <w:ilvl w:val="0"/>
          <w:numId w:val="1033"/>
        </w:numPr>
        <w:pStyle w:val="Compact"/>
      </w:pPr>
      <w:r>
        <w:t xml:space="preserve">☐ accommodation process if needed.</w:t>
      </w:r>
    </w:p>
    <w:bookmarkEnd w:id="78"/>
    <w:bookmarkStart w:id="95" w:name="Xe1a9692a838ae0402dd0570fae8640fb5f3e7d8"/>
    <w:p>
      <w:pPr>
        <w:pStyle w:val="Heading3"/>
      </w:pPr>
      <w:r>
        <w:t xml:space="preserve">Controlled sources reviewed for this edition</w:t>
      </w:r>
    </w:p>
    <w:p>
      <w:pPr>
        <w:pStyle w:val="FirstParagraph"/>
      </w:pPr>
      <w:r>
        <w:rPr>
          <w:bCs/>
          <w:b/>
        </w:rPr>
        <w:t xml:space="preserve">United States occupation and labor market</w:t>
      </w:r>
    </w:p>
    <w:p>
      <w:pPr>
        <w:numPr>
          <w:ilvl w:val="0"/>
          <w:numId w:val="1034"/>
        </w:numPr>
        <w:pStyle w:val="Compact"/>
      </w:pPr>
      <w:r>
        <w:t xml:space="preserve">O*NET OnLine, Legal Secretaries and Administrative Assistants 43-6012.00:</w:t>
      </w:r>
      <w:r>
        <w:t xml:space="preserve"> </w:t>
      </w:r>
      <w:hyperlink r:id="rId79">
        <w:r>
          <w:rPr>
            <w:rStyle w:val="Hyperlink"/>
          </w:rPr>
          <w:t xml:space="preserve">https://www.onetonline.org/link/details/43-6012.00</w:t>
        </w:r>
      </w:hyperlink>
    </w:p>
    <w:p>
      <w:pPr>
        <w:numPr>
          <w:ilvl w:val="0"/>
          <w:numId w:val="1034"/>
        </w:numPr>
        <w:pStyle w:val="Compact"/>
      </w:pPr>
      <w:r>
        <w:t xml:space="preserve">U.S. Bureau of Labor Statistics, Secretaries and Administrative Assistants:</w:t>
      </w:r>
      <w:r>
        <w:t xml:space="preserve"> </w:t>
      </w:r>
      <w:hyperlink r:id="rId80">
        <w:r>
          <w:rPr>
            <w:rStyle w:val="Hyperlink"/>
          </w:rPr>
          <w:t xml:space="preserve">https://www.bls.gov/ooh/office-and-administrative-support/secretaries-and-administrative-assistants.htm</w:t>
        </w:r>
      </w:hyperlink>
    </w:p>
    <w:p>
      <w:pPr>
        <w:pStyle w:val="FirstParagraph"/>
      </w:pPr>
      <w:r>
        <w:rPr>
          <w:bCs/>
          <w:b/>
        </w:rPr>
        <w:t xml:space="preserve">Canada</w:t>
      </w:r>
    </w:p>
    <w:p>
      <w:pPr>
        <w:numPr>
          <w:ilvl w:val="0"/>
          <w:numId w:val="1035"/>
        </w:numPr>
        <w:pStyle w:val="Compact"/>
      </w:pPr>
      <w:r>
        <w:t xml:space="preserve">Government of Canada Job Bank, Legal administrative assistants NOC 13111:</w:t>
      </w:r>
      <w:r>
        <w:t xml:space="preserve"> </w:t>
      </w:r>
      <w:hyperlink r:id="rId81">
        <w:r>
          <w:rPr>
            <w:rStyle w:val="Hyperlink"/>
          </w:rPr>
          <w:t xml:space="preserve">https://www.jobbank.gc.ca/marketreport/summary-occupation/26967/ca</w:t>
        </w:r>
      </w:hyperlink>
    </w:p>
    <w:p>
      <w:pPr>
        <w:numPr>
          <w:ilvl w:val="0"/>
          <w:numId w:val="1035"/>
        </w:numPr>
        <w:pStyle w:val="Compact"/>
      </w:pPr>
      <w:r>
        <w:t xml:space="preserve">Government of Canada Job Bank wage report:</w:t>
      </w:r>
      <w:r>
        <w:t xml:space="preserve"> </w:t>
      </w:r>
      <w:hyperlink r:id="rId82">
        <w:r>
          <w:rPr>
            <w:rStyle w:val="Hyperlink"/>
          </w:rPr>
          <w:t xml:space="preserve">https://www.jobbank.gc.ca/wagereport/occupation/296116</w:t>
        </w:r>
      </w:hyperlink>
    </w:p>
    <w:p>
      <w:pPr>
        <w:pStyle w:val="FirstParagraph"/>
      </w:pPr>
      <w:r>
        <w:rPr>
          <w:bCs/>
          <w:b/>
        </w:rPr>
        <w:t xml:space="preserve">Colombia</w:t>
      </w:r>
    </w:p>
    <w:p>
      <w:pPr>
        <w:numPr>
          <w:ilvl w:val="0"/>
          <w:numId w:val="1036"/>
        </w:numPr>
        <w:pStyle w:val="Compact"/>
      </w:pPr>
      <w:r>
        <w:t xml:space="preserve">SENA Betowa — Asistencia Administrativa:</w:t>
      </w:r>
      <w:r>
        <w:t xml:space="preserve"> </w:t>
      </w:r>
      <w:hyperlink r:id="rId83">
        <w:r>
          <w:rPr>
            <w:rStyle w:val="Hyperlink"/>
          </w:rPr>
          <w:t xml:space="preserve">https://betowa.sena.edu.co/oferta/asistencia-administrativa?offertype=company&amp;programId=179054</w:t>
        </w:r>
      </w:hyperlink>
    </w:p>
    <w:p>
      <w:pPr>
        <w:pStyle w:val="FirstParagraph"/>
      </w:pPr>
      <w:r>
        <w:rPr>
          <w:bCs/>
          <w:b/>
        </w:rPr>
        <w:t xml:space="preserve">Education, workforce, and employer support</w:t>
      </w:r>
    </w:p>
    <w:p>
      <w:pPr>
        <w:numPr>
          <w:ilvl w:val="0"/>
          <w:numId w:val="1037"/>
        </w:numPr>
        <w:pStyle w:val="Compact"/>
      </w:pPr>
      <w:r>
        <w:t xml:space="preserve">Federal Student Aid — FAFSA student steps:</w:t>
      </w:r>
      <w:r>
        <w:t xml:space="preserve"> </w:t>
      </w:r>
      <w:hyperlink r:id="rId84">
        <w:r>
          <w:rPr>
            <w:rStyle w:val="Hyperlink"/>
          </w:rPr>
          <w:t xml:space="preserve">https://studentaid.gov/articles/fafsa-student-steps/</w:t>
        </w:r>
      </w:hyperlink>
    </w:p>
    <w:p>
      <w:pPr>
        <w:numPr>
          <w:ilvl w:val="0"/>
          <w:numId w:val="1037"/>
        </w:numPr>
        <w:pStyle w:val="Compact"/>
      </w:pPr>
      <w:r>
        <w:t xml:space="preserve">U.S. Department of Labor — American Job Centers:</w:t>
      </w:r>
      <w:r>
        <w:t xml:space="preserve"> </w:t>
      </w:r>
      <w:hyperlink r:id="rId85">
        <w:r>
          <w:rPr>
            <w:rStyle w:val="Hyperlink"/>
          </w:rPr>
          <w:t xml:space="preserve">https://www.dol.gov/agencies/eta/american-job-centers</w:t>
        </w:r>
      </w:hyperlink>
    </w:p>
    <w:p>
      <w:pPr>
        <w:numPr>
          <w:ilvl w:val="0"/>
          <w:numId w:val="1037"/>
        </w:numPr>
        <w:pStyle w:val="Compact"/>
      </w:pPr>
      <w:r>
        <w:t xml:space="preserve">U.S. Department of Labor — Job Seekers:</w:t>
      </w:r>
      <w:r>
        <w:t xml:space="preserve"> </w:t>
      </w:r>
      <w:hyperlink r:id="rId86">
        <w:r>
          <w:rPr>
            <w:rStyle w:val="Hyperlink"/>
          </w:rPr>
          <w:t xml:space="preserve">https://www.dol.gov/agencies/eta/job-seekers</w:t>
        </w:r>
      </w:hyperlink>
    </w:p>
    <w:p>
      <w:pPr>
        <w:numPr>
          <w:ilvl w:val="0"/>
          <w:numId w:val="1037"/>
        </w:numPr>
        <w:pStyle w:val="Compact"/>
      </w:pPr>
      <w:r>
        <w:t xml:space="preserve">Internal Revenue Service — Section 127 educational-assistance FAQ update:</w:t>
      </w:r>
      <w:r>
        <w:t xml:space="preserve"> </w:t>
      </w:r>
      <w:hyperlink r:id="rId87">
        <w:r>
          <w:rPr>
            <w:rStyle w:val="Hyperlink"/>
          </w:rPr>
          <w:t xml:space="preserve">https://www.irs.gov/newsroom/irs-updates-frequently-asked-questions-about-section-127-educational-assistance-programs</w:t>
        </w:r>
      </w:hyperlink>
    </w:p>
    <w:p>
      <w:pPr>
        <w:numPr>
          <w:ilvl w:val="0"/>
          <w:numId w:val="1037"/>
        </w:numPr>
        <w:pStyle w:val="Compact"/>
      </w:pPr>
      <w:r>
        <w:t xml:space="preserve">Apprenticeship.gov — Occupation Finder:</w:t>
      </w:r>
      <w:r>
        <w:t xml:space="preserve"> </w:t>
      </w:r>
      <w:hyperlink r:id="rId88">
        <w:r>
          <w:rPr>
            <w:rStyle w:val="Hyperlink"/>
          </w:rPr>
          <w:t xml:space="preserve">https://www.apprenticeship.gov/apprenticeship-occupations</w:t>
        </w:r>
      </w:hyperlink>
    </w:p>
    <w:p>
      <w:pPr>
        <w:numPr>
          <w:ilvl w:val="0"/>
          <w:numId w:val="1037"/>
        </w:numPr>
        <w:pStyle w:val="Compact"/>
      </w:pPr>
      <w:r>
        <w:t xml:space="preserve">Apprenticeship.gov — Job Finder:</w:t>
      </w:r>
      <w:r>
        <w:t xml:space="preserve"> </w:t>
      </w:r>
      <w:hyperlink r:id="rId89">
        <w:r>
          <w:rPr>
            <w:rStyle w:val="Hyperlink"/>
          </w:rPr>
          <w:t xml:space="preserve">https://www.apprenticeship.gov/apprenticeship-job-finder</w:t>
        </w:r>
      </w:hyperlink>
    </w:p>
    <w:p>
      <w:pPr>
        <w:pStyle w:val="FirstParagraph"/>
      </w:pPr>
      <w:r>
        <w:rPr>
          <w:bCs/>
          <w:b/>
        </w:rPr>
        <w:t xml:space="preserve">Professional responsibility and AI</w:t>
      </w:r>
    </w:p>
    <w:p>
      <w:pPr>
        <w:numPr>
          <w:ilvl w:val="0"/>
          <w:numId w:val="1038"/>
        </w:numPr>
        <w:pStyle w:val="Compact"/>
      </w:pPr>
      <w:r>
        <w:t xml:space="preserve">American Bar Association — guidance on lawyers’ use of legal assistants / Formal Opinion 506:</w:t>
      </w:r>
      <w:r>
        <w:t xml:space="preserve"> </w:t>
      </w:r>
      <w:hyperlink r:id="rId90">
        <w:r>
          <w:rPr>
            <w:rStyle w:val="Hyperlink"/>
          </w:rPr>
          <w:t xml:space="preserve">https://www.americanbar.org/news/abanews/aba-news-archives/2023/06/guidance-legal-assistants/</w:t>
        </w:r>
      </w:hyperlink>
    </w:p>
    <w:p>
      <w:pPr>
        <w:numPr>
          <w:ilvl w:val="0"/>
          <w:numId w:val="1038"/>
        </w:numPr>
        <w:pStyle w:val="Compact"/>
      </w:pPr>
      <w:r>
        <w:t xml:space="preserve">American Bar Association — Formal Opinion 512 generative-AI guidance:</w:t>
      </w:r>
      <w:r>
        <w:t xml:space="preserve"> </w:t>
      </w:r>
      <w:hyperlink r:id="rId91">
        <w:r>
          <w:rPr>
            <w:rStyle w:val="Hyperlink"/>
          </w:rPr>
          <w:t xml:space="preserve">https://www.americanbar.org/news/abanews/aba-news-archives/2024/07/aba-issues-first-ethics-guidance-ai-tools/</w:t>
        </w:r>
      </w:hyperlink>
    </w:p>
    <w:p>
      <w:pPr>
        <w:pStyle w:val="FirstParagraph"/>
      </w:pPr>
      <w:r>
        <w:rPr>
          <w:bCs/>
          <w:b/>
        </w:rPr>
        <w:t xml:space="preserve">Accessibility</w:t>
      </w:r>
    </w:p>
    <w:p>
      <w:pPr>
        <w:numPr>
          <w:ilvl w:val="0"/>
          <w:numId w:val="1039"/>
        </w:numPr>
        <w:pStyle w:val="Compact"/>
      </w:pPr>
      <w:r>
        <w:t xml:space="preserve">U.S. Equal Employment Opportunity Commission — disability discrimination and reasonable accommodation:</w:t>
      </w:r>
      <w:r>
        <w:t xml:space="preserve"> </w:t>
      </w:r>
      <w:hyperlink r:id="rId92">
        <w:r>
          <w:rPr>
            <w:rStyle w:val="Hyperlink"/>
          </w:rPr>
          <w:t xml:space="preserve">https://www.eeoc.gov/disability-discrimination-and-reasonable-accommodation-medical-inquiries-leave-and-telework</w:t>
        </w:r>
      </w:hyperlink>
    </w:p>
    <w:p>
      <w:pPr>
        <w:pStyle w:val="FirstParagraph"/>
      </w:pPr>
      <w:r>
        <w:rPr>
          <w:bCs/>
          <w:b/>
        </w:rPr>
        <w:t xml:space="preserve">Current private U.S. market estimates</w:t>
      </w:r>
    </w:p>
    <w:p>
      <w:pPr>
        <w:numPr>
          <w:ilvl w:val="0"/>
          <w:numId w:val="1040"/>
        </w:numPr>
        <w:pStyle w:val="Compact"/>
      </w:pPr>
      <w:r>
        <w:t xml:space="preserve">ZipRecruiter — Legal Administrative Assistant:</w:t>
      </w:r>
      <w:r>
        <w:t xml:space="preserve"> </w:t>
      </w:r>
      <w:hyperlink r:id="rId93">
        <w:r>
          <w:rPr>
            <w:rStyle w:val="Hyperlink"/>
          </w:rPr>
          <w:t xml:space="preserve">https://www.ziprecruiter.com/Salaries/Legal-Administrative-Assistant-Salary</w:t>
        </w:r>
      </w:hyperlink>
    </w:p>
    <w:p>
      <w:pPr>
        <w:numPr>
          <w:ilvl w:val="0"/>
          <w:numId w:val="1040"/>
        </w:numPr>
        <w:pStyle w:val="Compact"/>
      </w:pPr>
      <w:r>
        <w:t xml:space="preserve">Indeed — Legal Assistant:</w:t>
      </w:r>
      <w:r>
        <w:t xml:space="preserve"> </w:t>
      </w:r>
      <w:hyperlink r:id="rId94">
        <w:r>
          <w:rPr>
            <w:rStyle w:val="Hyperlink"/>
          </w:rPr>
          <w:t xml:space="preserve">https://www.indeed.com/career/legal-assistant/salaries</w:t>
        </w:r>
      </w:hyperlink>
    </w:p>
    <w:bookmarkEnd w:id="95"/>
    <w:bookmarkStart w:id="96" w:name="important-disclaimers"/>
    <w:p>
      <w:pPr>
        <w:pStyle w:val="Heading3"/>
      </w:pPr>
      <w:r>
        <w:t xml:space="preserve">Important disclaimers</w:t>
      </w:r>
    </w:p>
    <w:p>
      <w:pPr>
        <w:pStyle w:val="FirstParagraph"/>
      </w:pPr>
      <w:r>
        <w:t xml:space="preserve">This guide does not guarantee employment, wages, admission, funding, apprenticeship registration, promotion, licensing, accommodation, or employer reimbursement. Private salary estimates use different methods and may cover broader or different job-title populations than government statistics.</w:t>
      </w:r>
    </w:p>
    <w:p>
      <w:pPr>
        <w:pStyle w:val="BodyText"/>
      </w:pPr>
      <w:r>
        <w:t xml:space="preserve">This guide does not authorize the practice of law. The definition of legal practice and the permitted work of nonlawyers vary by jurisdiction. Follow applicable law, court rules, regulator rules, professional-responsibility requirements, employer policy, supervision, and assigned authority.</w:t>
      </w:r>
    </w:p>
    <w:bookmarkEnd w:id="96"/>
    <w:bookmarkStart w:id="97" w:name="authorship-and-responsible-use"/>
    <w:p>
      <w:pPr>
        <w:pStyle w:val="Heading3"/>
      </w:pPr>
      <w:r>
        <w:t xml:space="preserve">Authorship and responsible use</w:t>
      </w:r>
    </w:p>
    <w:p>
      <w:pPr>
        <w:pStyle w:val="FirstParagraph"/>
      </w:pPr>
      <w:r>
        <w:rPr>
          <w:bCs/>
          <w:b/>
        </w:rPr>
        <w:t xml:space="preserve">Author:</w:t>
      </w:r>
      <w:r>
        <w:t xml:space="preserve"> </w:t>
      </w:r>
      <w:r>
        <w:t xml:space="preserve">Alberto “Al” Leiva</w:t>
      </w:r>
      <w:r>
        <w:br/>
      </w:r>
      <w:r>
        <w:rPr>
          <w:bCs/>
          <w:b/>
        </w:rPr>
        <w:t xml:space="preserve">Project:</w:t>
      </w:r>
      <w:r>
        <w:t xml:space="preserve"> </w:t>
      </w:r>
      <w:r>
        <w:t xml:space="preserve">Lifelong Opportunity Project</w:t>
      </w:r>
      <w:r>
        <w:br/>
      </w:r>
      <w:r>
        <w:rPr>
          <w:bCs/>
          <w:b/>
        </w:rPr>
        <w:t xml:space="preserve">Edition:</w:t>
      </w:r>
      <w:r>
        <w:t xml:space="preserve"> </w:t>
      </w:r>
      <w:r>
        <w:t xml:space="preserve">Controlled English working master v2</w:t>
      </w:r>
      <w:r>
        <w:br/>
      </w:r>
      <w:r>
        <w:rPr>
          <w:bCs/>
          <w:b/>
        </w:rPr>
        <w:t xml:space="preserve">Revision date:</w:t>
      </w:r>
      <w:r>
        <w:t xml:space="preserve"> </w:t>
      </w:r>
      <w:r>
        <w:t xml:space="preserve">2026-08-09</w:t>
      </w:r>
    </w:p>
    <w:p>
      <w:pPr>
        <w:pStyle w:val="BodyText"/>
      </w:pPr>
      <w:r>
        <w:t xml:space="preserve">AI tools may assist with research organization, drafting, translation support, consistency checks, and document preparation. The project remains responsible for what it publishes. AI assistance is not independent human certification.</w:t>
      </w:r>
    </w:p>
    <w:bookmarkEnd w:id="97"/>
    <w:bookmarkStart w:id="98" w:name="license"/>
    <w:p>
      <w:pPr>
        <w:pStyle w:val="Heading3"/>
      </w:pPr>
      <w:r>
        <w:t xml:space="preserve">License</w:t>
      </w:r>
    </w:p>
    <w:p>
      <w:pPr>
        <w:pStyle w:val="FirstParagraph"/>
      </w:pPr>
      <w:r>
        <w:t xml:space="preserve">Unless a repository file states otherwise, this project is distributed under</w:t>
      </w:r>
      <w:r>
        <w:t xml:space="preserve"> </w:t>
      </w:r>
      <w:r>
        <w:rPr>
          <w:bCs/>
          <w:b/>
        </w:rPr>
        <w:t xml:space="preserve">Creative Commons Attribution-NonCommercial-ShareAlike 4.0 International (CC BY-NC-SA 4.0)</w:t>
      </w:r>
      <w:r>
        <w:t xml:space="preserve">. Third-party materials remain subject to their own rights and terms.</w:t>
      </w:r>
    </w:p>
    <w:p>
      <w:r>
        <w:pict>
          <v:rect style="width:0;height:1.5pt" o:hralign="center" o:hrstd="t" o:hr="t"/>
        </w:pict>
      </w:r>
    </w:p>
    <w:p>
      <w:pPr>
        <w:pStyle w:val="FirstParagraph"/>
      </w:pPr>
      <w:r>
        <w:rPr>
          <w:bCs/>
          <w:b/>
        </w:rPr>
        <w:t xml:space="preserve">Control note:</w:t>
      </w:r>
      <w:r>
        <w:t xml:space="preserve"> </w:t>
      </w:r>
      <w:r>
        <w:t xml:space="preserve">This is the Guide 18 English working master for the 2026 controlled revision. It must pass English editorial QA, claim traceability, and source freeze before localization or publication.</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etowa.sena.edu.co/oferta/asistencia-administrativa?offertype=company&amp;programId=179054" TargetMode="External" /><Relationship Type="http://schemas.openxmlformats.org/officeDocument/2006/relationships/hyperlink" Id="rId84" Target="https://studentaid.gov/articles/fafsa-student-steps/" TargetMode="External" /><Relationship Type="http://schemas.openxmlformats.org/officeDocument/2006/relationships/hyperlink" Id="rId90" Target="https://www.americanbar.org/news/abanews/aba-news-archives/2023/06/guidance-legal-assistants/" TargetMode="External" /><Relationship Type="http://schemas.openxmlformats.org/officeDocument/2006/relationships/hyperlink" Id="rId91" Target="https://www.americanbar.org/news/abanews/aba-news-archives/2024/07/aba-issues-first-ethics-guidance-ai-tools/" TargetMode="External" /><Relationship Type="http://schemas.openxmlformats.org/officeDocument/2006/relationships/hyperlink" Id="rId89" Target="https://www.apprenticeship.gov/apprenticeship-job-finder" TargetMode="External" /><Relationship Type="http://schemas.openxmlformats.org/officeDocument/2006/relationships/hyperlink" Id="rId88" Target="https://www.apprenticeship.gov/apprenticeship-occupations" TargetMode="External" /><Relationship Type="http://schemas.openxmlformats.org/officeDocument/2006/relationships/hyperlink" Id="rId80" Target="https://www.bls.gov/ooh/office-and-administrative-support/secretaries-and-administrative-assistants.htm" TargetMode="External" /><Relationship Type="http://schemas.openxmlformats.org/officeDocument/2006/relationships/hyperlink" Id="rId85" Target="https://www.dol.gov/agencies/eta/american-job-centers" TargetMode="External" /><Relationship Type="http://schemas.openxmlformats.org/officeDocument/2006/relationships/hyperlink" Id="rId86" Target="https://www.dol.gov/agencies/eta/job-seekers" TargetMode="External" /><Relationship Type="http://schemas.openxmlformats.org/officeDocument/2006/relationships/hyperlink" Id="rId92" Target="https://www.eeoc.gov/disability-discrimination-and-reasonable-accommodation-medical-inquiries-leave-and-telework" TargetMode="External" /><Relationship Type="http://schemas.openxmlformats.org/officeDocument/2006/relationships/hyperlink" Id="rId94" Target="https://www.indeed.com/career/legal-assistant/salaries" TargetMode="External" /><Relationship Type="http://schemas.openxmlformats.org/officeDocument/2006/relationships/hyperlink" Id="rId87" Target="https://www.irs.gov/newsroom/irs-updates-frequently-asked-questions-about-section-127-educational-assistance-programs" TargetMode="External" /><Relationship Type="http://schemas.openxmlformats.org/officeDocument/2006/relationships/hyperlink" Id="rId81" Target="https://www.jobbank.gc.ca/marketreport/summary-occupation/26967/ca" TargetMode="External" /><Relationship Type="http://schemas.openxmlformats.org/officeDocument/2006/relationships/hyperlink" Id="rId82" Target="https://www.jobbank.gc.ca/wagereport/occupation/296116" TargetMode="External" /><Relationship Type="http://schemas.openxmlformats.org/officeDocument/2006/relationships/hyperlink" Id="rId79" Target="https://www.onetonline.org/link/details/43-6012.00" TargetMode="External" /><Relationship Type="http://schemas.openxmlformats.org/officeDocument/2006/relationships/hyperlink" Id="rId93" Target="https://www.ziprecruiter.com/Salaries/Legal-Administrative-Assistant-Salary" TargetMode="External" /></Relationships>
</file>

<file path=word/_rels/footnotes.xml.rels><?xml version="1.0" encoding="UTF-8"?><Relationships xmlns="http://schemas.openxmlformats.org/package/2006/relationships"><Relationship Type="http://schemas.openxmlformats.org/officeDocument/2006/relationships/hyperlink" Id="rId83" Target="https://betowa.sena.edu.co/oferta/asistencia-administrativa?offertype=company&amp;programId=179054" TargetMode="External" /><Relationship Type="http://schemas.openxmlformats.org/officeDocument/2006/relationships/hyperlink" Id="rId84" Target="https://studentaid.gov/articles/fafsa-student-steps/" TargetMode="External" /><Relationship Type="http://schemas.openxmlformats.org/officeDocument/2006/relationships/hyperlink" Id="rId90" Target="https://www.americanbar.org/news/abanews/aba-news-archives/2023/06/guidance-legal-assistants/" TargetMode="External" /><Relationship Type="http://schemas.openxmlformats.org/officeDocument/2006/relationships/hyperlink" Id="rId91" Target="https://www.americanbar.org/news/abanews/aba-news-archives/2024/07/aba-issues-first-ethics-guidance-ai-tools/" TargetMode="External" /><Relationship Type="http://schemas.openxmlformats.org/officeDocument/2006/relationships/hyperlink" Id="rId89" Target="https://www.apprenticeship.gov/apprenticeship-job-finder" TargetMode="External" /><Relationship Type="http://schemas.openxmlformats.org/officeDocument/2006/relationships/hyperlink" Id="rId88" Target="https://www.apprenticeship.gov/apprenticeship-occupations" TargetMode="External" /><Relationship Type="http://schemas.openxmlformats.org/officeDocument/2006/relationships/hyperlink" Id="rId80" Target="https://www.bls.gov/ooh/office-and-administrative-support/secretaries-and-administrative-assistants.htm" TargetMode="External" /><Relationship Type="http://schemas.openxmlformats.org/officeDocument/2006/relationships/hyperlink" Id="rId85" Target="https://www.dol.gov/agencies/eta/american-job-centers" TargetMode="External" /><Relationship Type="http://schemas.openxmlformats.org/officeDocument/2006/relationships/hyperlink" Id="rId86" Target="https://www.dol.gov/agencies/eta/job-seekers" TargetMode="External" /><Relationship Type="http://schemas.openxmlformats.org/officeDocument/2006/relationships/hyperlink" Id="rId92" Target="https://www.eeoc.gov/disability-discrimination-and-reasonable-accommodation-medical-inquiries-leave-and-telework" TargetMode="External" /><Relationship Type="http://schemas.openxmlformats.org/officeDocument/2006/relationships/hyperlink" Id="rId94" Target="https://www.indeed.com/career/legal-assistant/salaries" TargetMode="External" /><Relationship Type="http://schemas.openxmlformats.org/officeDocument/2006/relationships/hyperlink" Id="rId87" Target="https://www.irs.gov/newsroom/irs-updates-frequently-asked-questions-about-section-127-educational-assistance-programs" TargetMode="External" /><Relationship Type="http://schemas.openxmlformats.org/officeDocument/2006/relationships/hyperlink" Id="rId81" Target="https://www.jobbank.gc.ca/marketreport/summary-occupation/26967/ca" TargetMode="External" /><Relationship Type="http://schemas.openxmlformats.org/officeDocument/2006/relationships/hyperlink" Id="rId82" Target="https://www.jobbank.gc.ca/wagereport/occupation/296116" TargetMode="External" /><Relationship Type="http://schemas.openxmlformats.org/officeDocument/2006/relationships/hyperlink" Id="rId79" Target="https://www.onetonline.org/link/details/43-6012.00" TargetMode="External" /><Relationship Type="http://schemas.openxmlformats.org/officeDocument/2006/relationships/hyperlink" Id="rId93" Target="https://www.ziprecruiter.com/Salaries/Legal-Administrative-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2026-08-09T23:52:28Z</dcterms:created>
  <dcterms:modified xsi:type="dcterms:W3CDTF">2026-08-09T23:52:28Z</dcterms:modified>
</cp:coreProperties>
</file>

<file path=docProps/custom.xml><?xml version="1.0" encoding="utf-8"?>
<Properties xmlns="http://schemas.openxmlformats.org/officeDocument/2006/custom-properties" xmlns:vt="http://schemas.openxmlformats.org/officeDocument/2006/docPropsVTypes"/>
</file>