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a5ceb338993a631e3877e701168bf2d11bc875a"/>
    <w:p>
      <w:pPr>
        <w:pStyle w:val="Heading1"/>
      </w:pPr>
      <w:r>
        <w:t xml:space="preserve">Guía 21 — Examinador de títulos y especialista en registros de propiedad</w:t>
      </w:r>
    </w:p>
    <w:p>
      <w:pPr>
        <w:pStyle w:val="FirstParagraph"/>
      </w:pPr>
      <w:r>
        <w:rPr>
          <w:bCs/>
          <w:b/>
        </w:rPr>
        <w:t xml:space="preserve">Edición:</w:t>
      </w:r>
      <w:r>
        <w:t xml:space="preserve"> </w:t>
      </w:r>
      <w:r>
        <w:t xml:space="preserve">Español latinoamericano neutral (es-419)</w:t>
      </w:r>
      <w:r>
        <w:br/>
      </w:r>
      <w:r>
        <w:rPr>
          <w:bCs/>
          <w:b/>
        </w:rPr>
        <w:t xml:space="preserve">Versión:</w:t>
      </w:r>
      <w:r>
        <w:t xml:space="preserve"> </w:t>
      </w:r>
      <w:r>
        <w:t xml:space="preserve">2.0 candidata de localización</w:t>
      </w:r>
      <w:r>
        <w:br/>
      </w:r>
      <w:r>
        <w:rPr>
          <w:bCs/>
          <w:b/>
        </w:rPr>
        <w:t xml:space="preserve">Fecha de revisión controlada:</w:t>
      </w:r>
      <w:r>
        <w:t xml:space="preserve"> </w:t>
      </w:r>
      <w:r>
        <w:t xml:space="preserve">2026-08-10</w:t>
      </w:r>
      <w:r>
        <w:br/>
      </w:r>
      <w:r>
        <w:rPr>
          <w:bCs/>
          <w:b/>
        </w:rPr>
        <w:t xml:space="preserve">Estado:</w:t>
      </w:r>
      <w:r>
        <w:t xml:space="preserve"> </w:t>
      </w:r>
      <w:r>
        <w:t xml:space="preserve">Traducción desde la fuente inglesa congelada; pendiente de QA de localización</w:t>
      </w:r>
      <w:r>
        <w:br/>
      </w:r>
      <w:r>
        <w:rPr>
          <w:bCs/>
          <w:b/>
        </w:rPr>
        <w:t xml:space="preserve">Licencia:</w:t>
      </w:r>
      <w:r>
        <w:t xml:space="preserve"> </w:t>
      </w:r>
      <w:r>
        <w:t xml:space="preserve">CC BY-NC-SA 4.0</w:t>
      </w:r>
    </w:p>
    <w:bookmarkStart w:id="20" w:name="en-qué-consiste-esta-carrera"/>
    <w:p>
      <w:pPr>
        <w:pStyle w:val="Heading2"/>
      </w:pPr>
      <w:r>
        <w:t xml:space="preserve">En qué consiste esta carrera</w:t>
      </w:r>
    </w:p>
    <w:p>
      <w:pPr>
        <w:pStyle w:val="FirstParagraph"/>
      </w:pPr>
      <w:r>
        <w:t xml:space="preserve">Los examinadores de títulos, abstractores, investigadores y especialistas en registros de propiedad investigan información registrada sobre bienes inmuebles. Según el empleador y la jurisdicción, el trabajo puede incluir localizar escrituras, hipotecas, gravámenes, sentencias, servidumbres, restricciones, descripciones legales, registros tributarios, expedientes sucesorales o judiciales y otros instrumentos registrados; rastrear cadenas de titularidad; comparar nombres, identificadores de predios y descripciones legales; documentar excepciones o inconsistencias; y preparar informes fácticos para revisión por parte de personas autorizadas.</w:t>
      </w:r>
    </w:p>
    <w:p>
      <w:pPr>
        <w:pStyle w:val="BodyText"/>
      </w:pPr>
      <w:r>
        <w:t xml:space="preserve">Es una ocupación que exige mucha atención al detalle y puede ser una vía práctica para personas a quienes les gustan la investigación, los registros, los documentos jurídicos, los bienes raíces y la resolución estructurada de problemas. Puede existir en compañías de títulos, bufetes jurídicos, entidades crediticias, gobiernos locales, registros de tierras, empresas de servicios inmobiliarios y organizaciones relacionadas.</w:t>
      </w:r>
    </w:p>
    <w:p>
      <w:pPr>
        <w:pStyle w:val="BodyText"/>
      </w:pPr>
      <w:r>
        <w:t xml:space="preserve">Este trabajo no equivale a ser abogado, notario, registrador, funcionario de registro, agente de escrow, agente de cierre, profesional de transmisión inmobiliaria ni suscriptor de seguro de título. El nombre del cargo, por sí solo, no otorga autoridad jurídica, aseguradora, de cierre ni gubernamental.</w:t>
      </w:r>
    </w:p>
    <w:bookmarkEnd w:id="20"/>
    <w:bookmarkStart w:id="21" w:name="X541561123cdb98a3866f406ea9c04b740088778"/>
    <w:p>
      <w:pPr>
        <w:pStyle w:val="Heading2"/>
      </w:pPr>
      <w:r>
        <w:t xml:space="preserve">Qué puede hacer en un puesto inicial o en desarrollo</w:t>
      </w:r>
    </w:p>
    <w:p>
      <w:pPr>
        <w:pStyle w:val="FirstParagraph"/>
      </w:pPr>
      <w:r>
        <w:t xml:space="preserve">El trabajo de apoyo típico puede incluir:</w:t>
      </w:r>
    </w:p>
    <w:p>
      <w:pPr>
        <w:numPr>
          <w:ilvl w:val="0"/>
          <w:numId w:val="1001"/>
        </w:numPr>
        <w:pStyle w:val="Compact"/>
      </w:pPr>
      <w:r>
        <w:t xml:space="preserve">buscar en sistemas públicos o autorizados de registros de propiedad;</w:t>
      </w:r>
    </w:p>
    <w:p>
      <w:pPr>
        <w:numPr>
          <w:ilvl w:val="0"/>
          <w:numId w:val="1001"/>
        </w:numPr>
        <w:pStyle w:val="Compact"/>
      </w:pPr>
      <w:r>
        <w:t xml:space="preserve">localizar y organizar instrumentos registrados;</w:t>
      </w:r>
    </w:p>
    <w:p>
      <w:pPr>
        <w:numPr>
          <w:ilvl w:val="0"/>
          <w:numId w:val="1001"/>
        </w:numPr>
        <w:pStyle w:val="Compact"/>
      </w:pPr>
      <w:r>
        <w:t xml:space="preserve">comparar nombres, fechas, números de documento, descripciones legales e identificadores de predios;</w:t>
      </w:r>
    </w:p>
    <w:p>
      <w:pPr>
        <w:numPr>
          <w:ilvl w:val="0"/>
          <w:numId w:val="1001"/>
        </w:numPr>
        <w:pStyle w:val="Compact"/>
      </w:pPr>
      <w:r>
        <w:t xml:space="preserve">identificar hipotecas, gravámenes, sentencias, servidumbres, restricciones u otros elementos registrados para revisión posterior;</w:t>
      </w:r>
    </w:p>
    <w:p>
      <w:pPr>
        <w:numPr>
          <w:ilvl w:val="0"/>
          <w:numId w:val="1001"/>
        </w:numPr>
        <w:pStyle w:val="Compact"/>
      </w:pPr>
      <w:r>
        <w:t xml:space="preserve">preparar resúmenes fácticos, hojas de trabajo, listas de verificación o informes de investigación;</w:t>
      </w:r>
    </w:p>
    <w:p>
      <w:pPr>
        <w:numPr>
          <w:ilvl w:val="0"/>
          <w:numId w:val="1001"/>
        </w:numPr>
        <w:pStyle w:val="Compact"/>
      </w:pPr>
      <w:r>
        <w:t xml:space="preserve">documentar vacíos, conflictos o asuntos que requieren escalamiento;</w:t>
      </w:r>
    </w:p>
    <w:p>
      <w:pPr>
        <w:numPr>
          <w:ilvl w:val="0"/>
          <w:numId w:val="1001"/>
        </w:numPr>
        <w:pStyle w:val="Compact"/>
      </w:pPr>
      <w:r>
        <w:t xml:space="preserve">utilizar bases de datos internas de títulos, sistemas de gestión documental, herramientas GIS, portales de condados o registros y software de oficina del empleador;</w:t>
      </w:r>
    </w:p>
    <w:p>
      <w:pPr>
        <w:numPr>
          <w:ilvl w:val="0"/>
          <w:numId w:val="1001"/>
        </w:numPr>
        <w:pStyle w:val="Compact"/>
      </w:pPr>
      <w:r>
        <w:t xml:space="preserve">seguir procedimientos de privacidad, seguridad, retención y control de calidad; y</w:t>
      </w:r>
    </w:p>
    <w:p>
      <w:pPr>
        <w:numPr>
          <w:ilvl w:val="0"/>
          <w:numId w:val="1001"/>
        </w:numPr>
        <w:pStyle w:val="Compact"/>
      </w:pPr>
      <w:r>
        <w:t xml:space="preserve">remitir preguntas jurídicas, de suscripción, titularidad, prioridad o cierre a la persona debidamente autorizada.</w:t>
      </w:r>
    </w:p>
    <w:p>
      <w:pPr>
        <w:pStyle w:val="FirstParagraph"/>
      </w:pPr>
      <w:r>
        <w:t xml:space="preserve">El hábito profesional más seguro es distinguir entre un hecho encontrado en un registro oficial y una conclusión jurídica sobre lo que ese hecho significa.</w:t>
      </w:r>
    </w:p>
    <w:bookmarkEnd w:id="21"/>
    <w:bookmarkStart w:id="22" w:name="Xcc795d26477f40b47bce446a3b9d7656a50c7b1"/>
    <w:p>
      <w:pPr>
        <w:pStyle w:val="Heading2"/>
      </w:pPr>
      <w:r>
        <w:t xml:space="preserve">Qué no debe asumir que está autorizado a hacer</w:t>
      </w:r>
    </w:p>
    <w:p>
      <w:pPr>
        <w:pStyle w:val="FirstParagraph"/>
      </w:pPr>
      <w:r>
        <w:t xml:space="preserve">No asuma que la capacitación o el empleo como examinador de títulos o especialista en registros le autoriza a:</w:t>
      </w:r>
    </w:p>
    <w:p>
      <w:pPr>
        <w:numPr>
          <w:ilvl w:val="0"/>
          <w:numId w:val="1002"/>
        </w:numPr>
        <w:pStyle w:val="Compact"/>
      </w:pPr>
      <w:r>
        <w:t xml:space="preserve">dar asesoría jurídica o emitir una opinión jurídica sobre titularidad o comerciabilidad del título;</w:t>
      </w:r>
    </w:p>
    <w:p>
      <w:pPr>
        <w:numPr>
          <w:ilvl w:val="0"/>
          <w:numId w:val="1002"/>
        </w:numPr>
        <w:pStyle w:val="Compact"/>
      </w:pPr>
      <w:r>
        <w:t xml:space="preserve">determinar prioridad de gravámenes sin la revisión autorizada que corresponda;</w:t>
      </w:r>
    </w:p>
    <w:p>
      <w:pPr>
        <w:numPr>
          <w:ilvl w:val="0"/>
          <w:numId w:val="1002"/>
        </w:numPr>
        <w:pStyle w:val="Compact"/>
      </w:pPr>
      <w:r>
        <w:t xml:space="preserve">vender, solicitar, negociar, emitir o suscribir seguro de título sin la autorización y licencia requeridas cuando aplique;</w:t>
      </w:r>
    </w:p>
    <w:p>
      <w:pPr>
        <w:numPr>
          <w:ilvl w:val="0"/>
          <w:numId w:val="1002"/>
        </w:numPr>
        <w:pStyle w:val="Compact"/>
      </w:pPr>
      <w:r>
        <w:t xml:space="preserve">realizar funciones de abogado, notario, registrador, funcionario de registro, escrow, liquidación, transmisión inmobiliaria o cierre reservadas por la ley local a otras personas;</w:t>
      </w:r>
    </w:p>
    <w:p>
      <w:pPr>
        <w:numPr>
          <w:ilvl w:val="0"/>
          <w:numId w:val="1002"/>
        </w:numPr>
        <w:pStyle w:val="Compact"/>
      </w:pPr>
      <w:r>
        <w:t xml:space="preserve">alterar registros oficiales de tierras o propiedad;</w:t>
      </w:r>
    </w:p>
    <w:p>
      <w:pPr>
        <w:numPr>
          <w:ilvl w:val="0"/>
          <w:numId w:val="1002"/>
        </w:numPr>
        <w:pStyle w:val="Compact"/>
      </w:pPr>
      <w:r>
        <w:t xml:space="preserve">certificar que un resumen privado equivale a un certificado oficial del registro; o</w:t>
      </w:r>
    </w:p>
    <w:p>
      <w:pPr>
        <w:numPr>
          <w:ilvl w:val="0"/>
          <w:numId w:val="1002"/>
        </w:numPr>
        <w:pStyle w:val="Compact"/>
      </w:pPr>
      <w:r>
        <w:t xml:space="preserve">cargar datos de clientes, entidades crediticias, escrow, identidad u otra información sensible en un sistema externo de IA únicamente porque algunos registros relacionados sean públicos.</w:t>
      </w:r>
    </w:p>
    <w:p>
      <w:pPr>
        <w:pStyle w:val="FirstParagraph"/>
      </w:pPr>
      <w:r>
        <w:t xml:space="preserve">Las reglas varían por país, estado, provincia, territorio, municipio, empleador y tarea. Verifique las funciones y la autoridad reales antes de aceptar responsabilidades reguladas o pagar capacitación especializada.</w:t>
      </w:r>
    </w:p>
    <w:bookmarkEnd w:id="22"/>
    <w:bookmarkStart w:id="23" w:name="educación-y-vías-de-ingreso"/>
    <w:p>
      <w:pPr>
        <w:pStyle w:val="Heading2"/>
      </w:pPr>
      <w:r>
        <w:t xml:space="preserve">Educación y vías de ingreso</w:t>
      </w:r>
    </w:p>
    <w:p>
      <w:pPr>
        <w:pStyle w:val="FirstParagraph"/>
      </w:pPr>
      <w:r>
        <w:t xml:space="preserve">No existe un único requisito educativo universal para esta ocupación en Estados Unidos. O*NET informa una combinación de rutas de ingreso equivalentes a secundaria, certificados postsecundarios y títulos universitarios entre las personas encuestadas. Los empleadores pueden valorar una combinación de investigación documental, conocimientos inmobiliarios, familiaridad con documentos jurídicos, tecnología de oficina, precisión y conocimiento de los sistemas locales.</w:t>
      </w:r>
    </w:p>
    <w:p>
      <w:pPr>
        <w:pStyle w:val="BodyText"/>
      </w:pPr>
      <w:r>
        <w:t xml:space="preserve">Campos de estudio útiles pueden incluir:</w:t>
      </w:r>
    </w:p>
    <w:p>
      <w:pPr>
        <w:numPr>
          <w:ilvl w:val="0"/>
          <w:numId w:val="1003"/>
        </w:numPr>
        <w:pStyle w:val="Compact"/>
      </w:pPr>
      <w:r>
        <w:t xml:space="preserve">estudios paralegales o jurídicos;</w:t>
      </w:r>
    </w:p>
    <w:p>
      <w:pPr>
        <w:numPr>
          <w:ilvl w:val="0"/>
          <w:numId w:val="1003"/>
        </w:numPr>
        <w:pStyle w:val="Compact"/>
      </w:pPr>
      <w:r>
        <w:t xml:space="preserve">bienes raíces;</w:t>
      </w:r>
    </w:p>
    <w:p>
      <w:pPr>
        <w:numPr>
          <w:ilvl w:val="0"/>
          <w:numId w:val="1003"/>
        </w:numPr>
        <w:pStyle w:val="Compact"/>
      </w:pPr>
      <w:r>
        <w:t xml:space="preserve">gestión de documentos e información;</w:t>
      </w:r>
    </w:p>
    <w:p>
      <w:pPr>
        <w:numPr>
          <w:ilvl w:val="0"/>
          <w:numId w:val="1003"/>
        </w:numPr>
        <w:pStyle w:val="Compact"/>
      </w:pPr>
      <w:r>
        <w:t xml:space="preserve">administración pública;</w:t>
      </w:r>
    </w:p>
    <w:p>
      <w:pPr>
        <w:numPr>
          <w:ilvl w:val="0"/>
          <w:numId w:val="1003"/>
        </w:numPr>
        <w:pStyle w:val="Compact"/>
      </w:pPr>
      <w:r>
        <w:t xml:space="preserve">administración de empresas;</w:t>
      </w:r>
    </w:p>
    <w:p>
      <w:pPr>
        <w:numPr>
          <w:ilvl w:val="0"/>
          <w:numId w:val="1003"/>
        </w:numPr>
        <w:pStyle w:val="Compact"/>
      </w:pPr>
      <w:r>
        <w:t xml:space="preserve">fundamentos de GIS o cartografía;</w:t>
      </w:r>
    </w:p>
    <w:p>
      <w:pPr>
        <w:numPr>
          <w:ilvl w:val="0"/>
          <w:numId w:val="1003"/>
        </w:numPr>
        <w:pStyle w:val="Compact"/>
      </w:pPr>
      <w:r>
        <w:t xml:space="preserve">gestión documental;</w:t>
      </w:r>
    </w:p>
    <w:p>
      <w:pPr>
        <w:numPr>
          <w:ilvl w:val="0"/>
          <w:numId w:val="1003"/>
        </w:numPr>
        <w:pStyle w:val="Compact"/>
      </w:pPr>
      <w:r>
        <w:t xml:space="preserve">tecnología de oficina; y</w:t>
      </w:r>
    </w:p>
    <w:p>
      <w:pPr>
        <w:numPr>
          <w:ilvl w:val="0"/>
          <w:numId w:val="1003"/>
        </w:numPr>
        <w:pStyle w:val="Compact"/>
      </w:pPr>
      <w:r>
        <w:t xml:space="preserve">privacidad de datos y seguridad de la información.</w:t>
      </w:r>
    </w:p>
    <w:p>
      <w:pPr>
        <w:pStyle w:val="FirstParagraph"/>
      </w:pPr>
      <w:r>
        <w:t xml:space="preserve">Un curso corto puede desarrollar habilidades, pero no debe describirse como una licencia salvo que la autoridad emisora indique expresamente que lo es.</w:t>
      </w:r>
    </w:p>
    <w:bookmarkEnd w:id="23"/>
    <w:bookmarkStart w:id="30" w:name="X7d639f9d7fc8b7dd147ca77bfe6a55e6696d9cd"/>
    <w:p>
      <w:pPr>
        <w:pStyle w:val="Heading2"/>
      </w:pPr>
      <w:r>
        <w:t xml:space="preserve">Secuencia práctica de aprendizaje de bajo costo</w:t>
      </w:r>
    </w:p>
    <w:bookmarkStart w:id="24" w:name="semanas-12-aprenda-el-vocabulario"/>
    <w:p>
      <w:pPr>
        <w:pStyle w:val="Heading3"/>
      </w:pPr>
      <w:r>
        <w:t xml:space="preserve">Semanas 1–2: Aprenda el vocabulario</w:t>
      </w:r>
    </w:p>
    <w:p>
      <w:pPr>
        <w:pStyle w:val="FirstParagraph"/>
      </w:pPr>
      <w:r>
        <w:t xml:space="preserve">Estudie terminología básica de registros de bienes inmuebles: escritura, otorgante, beneficiario, hipoteca o deed of trust, gravamen, sentencia, servidumbre, restricción, descripción legal, identificador de predio, cadena de titularidad, fecha de registro, número de instrumento y registro tributario.</w:t>
      </w:r>
    </w:p>
    <w:p>
      <w:pPr>
        <w:pStyle w:val="BodyText"/>
      </w:pPr>
      <w:r>
        <w:t xml:space="preserve">Use glosarios en lenguaje claro de fuentes oficiales gubernamentales, judiciales, registrales o educativas confiables. Mantenga un glosario personal y escriba definiciones de una sola oración con sus propias palabras.</w:t>
      </w:r>
    </w:p>
    <w:bookmarkEnd w:id="24"/>
    <w:bookmarkStart w:id="25" w:name="X5bbd4faea105f1512bc2473d3a0428ede982905"/>
    <w:p>
      <w:pPr>
        <w:pStyle w:val="Heading3"/>
      </w:pPr>
      <w:r>
        <w:t xml:space="preserve">Semanas 3–4: Practique la organización de registros</w:t>
      </w:r>
    </w:p>
    <w:p>
      <w:pPr>
        <w:pStyle w:val="FirstParagraph"/>
      </w:pPr>
      <w:r>
        <w:t xml:space="preserve">Construya un expediente ficticio de propiedad usando documentos de muestra o materiales de acceso abierto. Practique nombres de archivo consistentes, el registro de fuente y fecha, la distinción entre número de documento y número de predio y la creación de un índice cronológico.</w:t>
      </w:r>
    </w:p>
    <w:p>
      <w:pPr>
        <w:pStyle w:val="BodyText"/>
      </w:pPr>
      <w:r>
        <w:t xml:space="preserve">No use información sensible de una persona real para practicar salvo que tenga autorización.</w:t>
      </w:r>
    </w:p>
    <w:bookmarkEnd w:id="25"/>
    <w:bookmarkStart w:id="26" w:name="X0e2319e2fc10a9c1ac161af2faeb08935e40f16"/>
    <w:p>
      <w:pPr>
        <w:pStyle w:val="Heading3"/>
      </w:pPr>
      <w:r>
        <w:t xml:space="preserve">Semanas 5–6: Aprenda los sistemas locales de registros públicos</w:t>
      </w:r>
    </w:p>
    <w:p>
      <w:pPr>
        <w:pStyle w:val="FirstParagraph"/>
      </w:pPr>
      <w:r>
        <w:t xml:space="preserve">Identifique la autoridad oficial de registros de propiedad donde vive o espera trabajar. Aprenda qué registros son oficiales, cuáles son copias informativas, cómo se gestionan las correcciones y qué tarifas o restricciones de acceso se aplican.</w:t>
      </w:r>
    </w:p>
    <w:p>
      <w:pPr>
        <w:pStyle w:val="BodyText"/>
      </w:pPr>
      <w:r>
        <w:t xml:space="preserve">En Estados Unidos, esto puede involucrar sistemas del registrador, secretario, tasador, tribunal, autoridad tributaria o GIS del condado o municipio. En Canadá, los sistemas de registro de tierras y los requisitos ocupacionales varían por provincia y territorio. En Colombia, use los sistemas oficiales de la Superintendencia de Notariado y Registro y otros sistemas autorizados relacionados, en lugar de tratar los procedimientos estadounidenses de seguro de título como si fueran equivalentes.</w:t>
      </w:r>
    </w:p>
    <w:bookmarkEnd w:id="26"/>
    <w:bookmarkStart w:id="27" w:name="X1d0551f7b09471c7d4adb3aaf5fb04cd1ddc818"/>
    <w:p>
      <w:pPr>
        <w:pStyle w:val="Heading3"/>
      </w:pPr>
      <w:r>
        <w:t xml:space="preserve">Semanas 7–8: Desarrolle una rutina de control de calidad</w:t>
      </w:r>
    </w:p>
    <w:p>
      <w:pPr>
        <w:pStyle w:val="FirstParagraph"/>
      </w:pPr>
      <w:r>
        <w:t xml:space="preserve">Practique la verificación de nombres, fechas, descripciones legales, identificadores de predios, referencias documentales y vacíos. Cree una hoja de trabajo de dos columnas: “hecho registrado” y “pregunta que requiere revisión”. Esto ayuda a evitar que la investigación fáctica se convierta en conclusiones jurídicas no autorizadas.</w:t>
      </w:r>
    </w:p>
    <w:bookmarkEnd w:id="27"/>
    <w:bookmarkStart w:id="28" w:name="X4c7903532c8be93082f68b99febb37edae8c370"/>
    <w:p>
      <w:pPr>
        <w:pStyle w:val="Heading3"/>
      </w:pPr>
      <w:r>
        <w:t xml:space="preserve">Semanas 9–10: Incorpore privacidad y seguridad</w:t>
      </w:r>
    </w:p>
    <w:p>
      <w:pPr>
        <w:pStyle w:val="FirstParagraph"/>
      </w:pPr>
      <w:r>
        <w:t xml:space="preserve">Aprenda las reglas de su empleador para información de clientes, autenticación, uso aceptable, retención documental, intercambio seguro y herramientas de IA. Que un registro sea público no autoriza automáticamente la agregación, republicación, retención o uso de información relacionada no pública de clientes.</w:t>
      </w:r>
    </w:p>
    <w:bookmarkEnd w:id="28"/>
    <w:bookmarkStart w:id="29" w:name="X12bf57ff6feffee51057e1fbeaada22fe18b2c0"/>
    <w:p>
      <w:pPr>
        <w:pStyle w:val="Heading3"/>
      </w:pPr>
      <w:r>
        <w:t xml:space="preserve">Semanas 11–12: Prepare un portafolio de empleo</w:t>
      </w:r>
    </w:p>
    <w:p>
      <w:pPr>
        <w:pStyle w:val="FirstParagraph"/>
      </w:pPr>
      <w:r>
        <w:t xml:space="preserve">Cree un pequeño portafolio usando material ficticio o de dominio público. Incluya una cronología, índice de documentos, registro de discrepancias, lista de fuentes y una breve explicación de sus reglas de escalamiento. Nunca incluya datos confidenciales de empleadores o clientes.</w:t>
      </w:r>
    </w:p>
    <w:bookmarkEnd w:id="29"/>
    <w:bookmarkEnd w:id="30"/>
    <w:bookmarkStart w:id="33" w:name="vía-en-estados-unidos"/>
    <w:p>
      <w:pPr>
        <w:pStyle w:val="Heading2"/>
      </w:pPr>
      <w:r>
        <w:t xml:space="preserve">Vía en Estados Unidos</w:t>
      </w:r>
    </w:p>
    <w:p>
      <w:pPr>
        <w:pStyle w:val="FirstParagraph"/>
      </w:pPr>
      <w:r>
        <w:t xml:space="preserve">O</w:t>
      </w:r>
      <w:r>
        <w:rPr>
          <w:iCs/>
          <w:i/>
        </w:rPr>
        <w:t xml:space="preserve">NET clasifica a</w:t>
      </w:r>
      <w:r>
        <w:rPr>
          <w:iCs/>
          <w:i/>
        </w:rPr>
        <w:t xml:space="preserve"> </w:t>
      </w:r>
      <w:r>
        <w:rPr>
          <w:bCs/>
          <w:b/>
          <w:iCs/>
          <w:i/>
        </w:rPr>
        <w:t xml:space="preserve">Title Examiners, Abstractors, and Searchers</w:t>
      </w:r>
      <w:r>
        <w:rPr>
          <w:iCs/>
          <w:i/>
        </w:rPr>
        <w:t xml:space="preserve"> </w:t>
      </w:r>
      <w:r>
        <w:rPr>
          <w:iCs/>
          <w:i/>
        </w:rPr>
        <w:t xml:space="preserve">bajo la ocupación 23-2093.00. Los datos actuales de O</w:t>
      </w:r>
      <w:r>
        <w:t xml:space="preserve">NET informan salarios medianos de 2025 de</w:t>
      </w:r>
      <w:r>
        <w:t xml:space="preserve"> </w:t>
      </w:r>
      <w:r>
        <w:rPr>
          <w:bCs/>
          <w:b/>
        </w:rPr>
        <w:t xml:space="preserve">US</w:t>
      </w:r>
      <m:oMath>
        <m:r>
          <m:t>28.20</m:t>
        </m:r>
        <m:r>
          <m:t>p</m:t>
        </m:r>
        <m:r>
          <m:t>o</m:t>
        </m:r>
        <m:r>
          <m:t>r</m:t>
        </m:r>
        <m:r>
          <m:t>h</m:t>
        </m:r>
        <m:r>
          <m:t>o</m:t>
        </m:r>
        <m:r>
          <m:t>r</m:t>
        </m:r>
        <m:r>
          <m:t>a</m:t>
        </m:r>
        <m:r>
          <m:t>y</m:t>
        </m:r>
        <m:r>
          <m:t>U</m:t>
        </m:r>
        <m:r>
          <m:t>S</m:t>
        </m:r>
      </m:oMath>
      <w:r>
        <w:rPr>
          <w:bCs/>
          <w:b/>
        </w:rPr>
        <w:t xml:space="preserve">58,650 por año</w:t>
      </w:r>
      <w:r>
        <w:t xml:space="preserve">, con un rango anual del percentil 10 al 90 de</w:t>
      </w:r>
      <w:r>
        <w:t xml:space="preserve"> </w:t>
      </w:r>
      <w:r>
        <w:rPr>
          <w:bCs/>
          <w:b/>
        </w:rPr>
        <w:t xml:space="preserve">US</w:t>
      </w:r>
      <m:oMath>
        <m:r>
          <m:t>38</m:t>
        </m:r>
        <m:r>
          <m:rPr>
            <m:sty m:val="p"/>
          </m:rPr>
          <m:t>,</m:t>
        </m:r>
        <m:r>
          <m:t>170</m:t>
        </m:r>
        <m:r>
          <m:t>a</m:t>
        </m:r>
        <m:r>
          <m:t>U</m:t>
        </m:r>
        <m:r>
          <m:t>S</m:t>
        </m:r>
      </m:oMath>
      <w:r>
        <w:rPr>
          <w:bCs/>
          <w:b/>
        </w:rPr>
        <w:t xml:space="preserve">90,830</w:t>
      </w:r>
      <w:r>
        <w:t xml:space="preserve">. O*NET informa 57,400 trabajadores en 2024, crecimiento proyectado de 1%–2% entre 2024 y 2034 y aproximadamente 5,400 vacantes proyectadas durante ese período.</w:t>
      </w:r>
    </w:p>
    <w:p>
      <w:pPr>
        <w:pStyle w:val="BodyText"/>
      </w:pPr>
      <w:r>
        <w:t xml:space="preserve">Estas son estimaciones a nivel ocupacional, no una promesa de ingresos. La remuneración real depende de la ubicación, el empleador, la experiencia, las funciones, el horario, las responsabilidades de licencia y las condiciones del mercado.</w:t>
      </w:r>
    </w:p>
    <w:bookmarkStart w:id="31" w:name="X6f408be2d6026ab82a4b5361014d9f1b70df899"/>
    <w:p>
      <w:pPr>
        <w:pStyle w:val="Heading3"/>
      </w:pPr>
      <w:r>
        <w:t xml:space="preserve">Estimaciones actuales no gubernamentales de ingresos en Estados Unidos</w:t>
      </w:r>
    </w:p>
    <w:p>
      <w:pPr>
        <w:pStyle w:val="FirstParagraph"/>
      </w:pPr>
      <w:r>
        <w:t xml:space="preserve">Las fuentes privadas de salarios utilizan muestras y metodologías distintas y deben leerse como señales complementarias del mercado, no como estadísticas oficiales.</w:t>
      </w:r>
    </w:p>
    <w:p>
      <w:pPr>
        <w:numPr>
          <w:ilvl w:val="0"/>
          <w:numId w:val="1004"/>
        </w:numPr>
        <w:pStyle w:val="Compact"/>
      </w:pPr>
      <w:r>
        <w:rPr>
          <w:bCs/>
          <w:b/>
        </w:rPr>
        <w:t xml:space="preserve">Indeed — Title Examiner:</w:t>
      </w:r>
      <w:r>
        <w:t xml:space="preserve"> </w:t>
      </w:r>
      <w:r>
        <w:t xml:space="preserve">promedio de salario base de US$60,541 por año, basado en 184 observaciones salariales provenientes de anuncios de empleo durante los 36 meses anteriores; la página indicaba actualización del 17 de julio de 2026. Verificado el 10 de agosto de 2026.</w:t>
      </w:r>
    </w:p>
    <w:p>
      <w:pPr>
        <w:numPr>
          <w:ilvl w:val="0"/>
          <w:numId w:val="1004"/>
        </w:numPr>
        <w:pStyle w:val="Compact"/>
      </w:pPr>
      <w:r>
        <w:rPr>
          <w:bCs/>
          <w:b/>
        </w:rPr>
        <w:t xml:space="preserve">ZipRecruiter — Title Examiner:</w:t>
      </w:r>
      <w:r>
        <w:t xml:space="preserve"> </w:t>
      </w:r>
      <w:r>
        <w:t xml:space="preserve">promedio de US</w:t>
      </w:r>
      <m:oMath>
        <m:r>
          <m:t>51</m:t>
        </m:r>
        <m:r>
          <m:rPr>
            <m:sty m:val="p"/>
          </m:rPr>
          <m:t>,</m:t>
        </m:r>
        <m:r>
          <m:t>098</m:t>
        </m:r>
        <m:r>
          <m:t>p</m:t>
        </m:r>
        <m:r>
          <m:t>o</m:t>
        </m:r>
        <m:r>
          <m:t>r</m:t>
        </m:r>
        <m:r>
          <m:t>a</m:t>
        </m:r>
        <m:r>
          <m:t>ñ</m:t>
        </m:r>
        <m:r>
          <m:t>o</m:t>
        </m:r>
        <m:r>
          <m:rPr>
            <m:sty m:val="p"/>
          </m:rPr>
          <m:t>,</m:t>
        </m:r>
        <m:r>
          <m:t>a</m:t>
        </m:r>
        <m:r>
          <m:t>p</m:t>
        </m:r>
        <m:r>
          <m:t>r</m:t>
        </m:r>
        <m:r>
          <m:t>o</m:t>
        </m:r>
        <m:r>
          <m:t>x</m:t>
        </m:r>
        <m:r>
          <m:t>i</m:t>
        </m:r>
        <m:r>
          <m:t>m</m:t>
        </m:r>
        <m:r>
          <m:t>a</m:t>
        </m:r>
        <m:r>
          <m:t>d</m:t>
        </m:r>
        <m:r>
          <m:t>a</m:t>
        </m:r>
        <m:r>
          <m:t>m</m:t>
        </m:r>
        <m:r>
          <m:t>e</m:t>
        </m:r>
        <m:r>
          <m:t>n</m:t>
        </m:r>
        <m:r>
          <m:t>t</m:t>
        </m:r>
        <m:r>
          <m:t>e</m:t>
        </m:r>
        <m:r>
          <m:t>U</m:t>
        </m:r>
        <m:r>
          <m:t>S</m:t>
        </m:r>
      </m:oMath>
      <w:r>
        <w:t xml:space="preserve">24.57 por hora, indicado al 27 de julio de 2026; el rango central informado incluía aproximadamente US</w:t>
      </w:r>
      <m:oMath>
        <m:r>
          <m:t>38</m:t>
        </m:r>
        <m:r>
          <m:rPr>
            <m:sty m:val="p"/>
          </m:rPr>
          <m:t>,</m:t>
        </m:r>
        <m:r>
          <m:t>000</m:t>
        </m:r>
        <m:r>
          <m:rPr>
            <m:sty m:val="p"/>
          </m:rPr>
          <m:t>–</m:t>
        </m:r>
        <m:r>
          <m:t>U</m:t>
        </m:r>
        <m:r>
          <m:t>S</m:t>
        </m:r>
      </m:oMath>
      <w:r>
        <w:t xml:space="preserve">59,500 entre los percentiles 25 y 75. Verificado el 10 de agosto de 2026.</w:t>
      </w:r>
    </w:p>
    <w:p>
      <w:pPr>
        <w:pStyle w:val="FirstParagraph"/>
      </w:pPr>
      <w:r>
        <w:t xml:space="preserve">No promedie estas cifras para crear un salario supuestamente autoritativo. Las diferencias pueden reflejar denominación del cargo, geografía, experiencia, ventana de muestreo, mezcla de empleadores y metodología.</w:t>
      </w:r>
    </w:p>
    <w:bookmarkEnd w:id="31"/>
    <w:bookmarkStart w:id="32" w:name="X37e34528ac20542da3591c5c96b9cacd0c45359"/>
    <w:p>
      <w:pPr>
        <w:pStyle w:val="Heading3"/>
      </w:pPr>
      <w:r>
        <w:t xml:space="preserve">Límite de licenciamiento en Estados Unidos</w:t>
      </w:r>
    </w:p>
    <w:p>
      <w:pPr>
        <w:pStyle w:val="FirstParagraph"/>
      </w:pPr>
      <w:r>
        <w:t xml:space="preserve">El licenciamiento de seguros se administra a nivel estatal. La National Association of Insurance Commissioners indica que quienes venden, solicitan o negocian seguros deben contar con licencia como productores de seguros, y sus materiales de licenciamiento incluyen a los agentes de seguro de título. Por lo tanto, la experiencia en investigación o examen de títulos nunca debe presentarse como autorización automática para vender, emitir, negociar o suscribir seguro de título.</w:t>
      </w:r>
    </w:p>
    <w:p>
      <w:pPr>
        <w:pStyle w:val="BodyText"/>
      </w:pPr>
      <w:r>
        <w:t xml:space="preserve">Consulte al regulador estatal de seguros y al empleador antes de realizar funciones aseguradoras reguladas.</w:t>
      </w:r>
    </w:p>
    <w:bookmarkEnd w:id="32"/>
    <w:bookmarkEnd w:id="33"/>
    <w:bookmarkStart w:id="34" w:name="vía-en-canadá"/>
    <w:p>
      <w:pPr>
        <w:pStyle w:val="Heading2"/>
      </w:pPr>
      <w:r>
        <w:t xml:space="preserve">Vía en Canadá</w:t>
      </w:r>
    </w:p>
    <w:p>
      <w:pPr>
        <w:pStyle w:val="FirstParagraph"/>
      </w:pPr>
      <w:r>
        <w:t xml:space="preserve">Job Bank del Gobierno de Canadá vincula el trabajo de title searcher y land-titles examiner con la categoría más amplia</w:t>
      </w:r>
      <w:r>
        <w:t xml:space="preserve"> </w:t>
      </w:r>
      <w:r>
        <w:rPr>
          <w:bCs/>
          <w:b/>
        </w:rPr>
        <w:t xml:space="preserve">NOC 42200, Paralegals and related occupations</w:t>
      </w:r>
      <w:r>
        <w:t xml:space="preserve">. La visualización nacional actual de salarios informa aproximadamente</w:t>
      </w:r>
      <w:r>
        <w:t xml:space="preserve"> </w:t>
      </w:r>
      <w:r>
        <w:rPr>
          <w:bCs/>
          <w:b/>
        </w:rPr>
        <w:t xml:space="preserve">CAD $21.63/hora en el nivel bajo, $33.05/hora como mediana y $52.19/hora en el nivel alto</w:t>
      </w:r>
      <w:r>
        <w:t xml:space="preserve">, con base en el período de referencia mostrado y actualización del 19 de noviembre de 2025.</w:t>
      </w:r>
    </w:p>
    <w:p>
      <w:pPr>
        <w:pStyle w:val="BodyText"/>
      </w:pPr>
      <w:r>
        <w:t xml:space="preserve">Esta clasificación ocupacional es más amplia que un solo puesto de búsqueda de títulos. Los requisitos pueden incluir educación jurídica o paralegal, capacitación del empleador o de la industria, experiencia y, cuando las funciones involucren servicios jurídicos regulados, licenciamiento provincial u otra autorización.</w:t>
      </w:r>
    </w:p>
    <w:p>
      <w:pPr>
        <w:pStyle w:val="BodyText"/>
      </w:pPr>
      <w:r>
        <w:t xml:space="preserve">Antes de pagar por un programa, verifique:</w:t>
      </w:r>
    </w:p>
    <w:p>
      <w:pPr>
        <w:numPr>
          <w:ilvl w:val="0"/>
          <w:numId w:val="1005"/>
        </w:numPr>
        <w:pStyle w:val="Compact"/>
      </w:pPr>
      <w:r>
        <w:t xml:space="preserve">la provincia o territorio donde pretende trabajar;</w:t>
      </w:r>
    </w:p>
    <w:p>
      <w:pPr>
        <w:numPr>
          <w:ilvl w:val="0"/>
          <w:numId w:val="1005"/>
        </w:numPr>
        <w:pStyle w:val="Compact"/>
      </w:pPr>
      <w:r>
        <w:t xml:space="preserve">las funciones reales del puesto;</w:t>
      </w:r>
    </w:p>
    <w:p>
      <w:pPr>
        <w:numPr>
          <w:ilvl w:val="0"/>
          <w:numId w:val="1005"/>
        </w:numPr>
        <w:pStyle w:val="Compact"/>
      </w:pPr>
      <w:r>
        <w:t xml:space="preserve">si el cargo corresponde a apoyo como empleado, trabajo de registro, servicio jurídico independiente u otra función regulada;</w:t>
      </w:r>
    </w:p>
    <w:p>
      <w:pPr>
        <w:numPr>
          <w:ilvl w:val="0"/>
          <w:numId w:val="1005"/>
        </w:numPr>
        <w:pStyle w:val="Compact"/>
      </w:pPr>
      <w:r>
        <w:t xml:space="preserve">los requisitos del empleador; y</w:t>
      </w:r>
    </w:p>
    <w:p>
      <w:pPr>
        <w:numPr>
          <w:ilvl w:val="0"/>
          <w:numId w:val="1005"/>
        </w:numPr>
        <w:pStyle w:val="Compact"/>
      </w:pPr>
      <w:r>
        <w:t xml:space="preserve">las reglas vigentes de registro de tierras y servicios jurídicos de la provincia.</w:t>
      </w:r>
    </w:p>
    <w:bookmarkEnd w:id="34"/>
    <w:bookmarkStart w:id="36" w:name="vía-en-colombia"/>
    <w:p>
      <w:pPr>
        <w:pStyle w:val="Heading2"/>
      </w:pPr>
      <w:r>
        <w:t xml:space="preserve">Vía en Colombia</w:t>
      </w:r>
    </w:p>
    <w:p>
      <w:pPr>
        <w:pStyle w:val="FirstParagraph"/>
      </w:pPr>
      <w:r>
        <w:t xml:space="preserve">Colombia utiliza su propio marco de registro de la propiedad y no debe tratarse como una versión traducida del sistema estadounidense de seguro de título.</w:t>
      </w:r>
    </w:p>
    <w:p>
      <w:pPr>
        <w:pStyle w:val="BodyText"/>
      </w:pPr>
      <w:r>
        <w:t xml:space="preserve">La</w:t>
      </w:r>
      <w:r>
        <w:t xml:space="preserve"> </w:t>
      </w:r>
      <w:r>
        <w:rPr>
          <w:bCs/>
          <w:b/>
        </w:rPr>
        <w:t xml:space="preserve">Superintendencia de Notariado y Registro (SNR)</w:t>
      </w:r>
      <w:r>
        <w:t xml:space="preserve"> </w:t>
      </w:r>
      <w:r>
        <w:t xml:space="preserve">administra el sistema de registro público y las Oficinas de Registro de Instrumentos Públicos. El</w:t>
      </w:r>
      <w:r>
        <w:t xml:space="preserve"> </w:t>
      </w:r>
      <w:r>
        <w:rPr>
          <w:bCs/>
          <w:b/>
        </w:rPr>
        <w:t xml:space="preserve">Certificado de Tradición y Libertad</w:t>
      </w:r>
      <w:r>
        <w:t xml:space="preserve"> </w:t>
      </w:r>
      <w:r>
        <w:t xml:space="preserve">es un servicio oficial utilizado para conocer la situación jurídica registrada y el historial de un inmueble. La</w:t>
      </w:r>
      <w:r>
        <w:t xml:space="preserve"> </w:t>
      </w:r>
      <w:r>
        <w:rPr>
          <w:bCs/>
          <w:b/>
        </w:rPr>
        <w:t xml:space="preserve">Ley 1579 de 2012</w:t>
      </w:r>
      <w:r>
        <w:t xml:space="preserve"> </w:t>
      </w:r>
      <w:r>
        <w:t xml:space="preserve">establece el Estatuto de Registro de Instrumentos Públicos.</w:t>
      </w:r>
    </w:p>
    <w:p>
      <w:pPr>
        <w:pStyle w:val="BodyText"/>
      </w:pPr>
      <w:r>
        <w:t xml:space="preserve">Una vía realista en Colombia puede incluir administración de registros, control documental, apoyo en oficinas jurídicas, trabajo administrativo inmobiliario, investigación de registros públicos o funciones adyacentes al registro en las que el empleador proporcione capacitación específica para la tarea. Los trabajadores deben apoyarse en SNR/VUR y otros sistemas autorizados para registros oficiales y no deben representar un resumen preparado de manera privada, una captura de pantalla, un extracto de base de datos o una salida de IA como si fuera un certificado oficial o una actuación registral.</w:t>
      </w:r>
    </w:p>
    <w:bookmarkStart w:id="35" w:name="X36b3046b61f129d180ad0bc9e443357561be36f"/>
    <w:p>
      <w:pPr>
        <w:pStyle w:val="Heading3"/>
      </w:pPr>
      <w:r>
        <w:t xml:space="preserve">Capacitación gratuita o de bajo costo en Colombia</w:t>
      </w:r>
    </w:p>
    <w:p>
      <w:pPr>
        <w:pStyle w:val="FirstParagraph"/>
      </w:pPr>
      <w:r>
        <w:t xml:space="preserve">SENA es una fuente pública principal de capacitación que conviene revisar antes de pagar capacitación comercial. Durante la investigación de la revisión 2026, SENA Betowa mostraba un</w:t>
      </w:r>
      <w:r>
        <w:t xml:space="preserve"> </w:t>
      </w:r>
      <w:r>
        <w:rPr>
          <w:bCs/>
          <w:b/>
        </w:rPr>
        <w:t xml:space="preserve">curso complementario de 48 horas en Organización de archivos de gestión</w:t>
      </w:r>
      <w:r>
        <w:t xml:space="preserve">. Es una formación básica útil para registros, no una licencia de examinador de títulos, credencial jurídica, nombramiento registral ni sustituto de la capacitación específica del empleador.</w:t>
      </w:r>
    </w:p>
    <w:p>
      <w:pPr>
        <w:pStyle w:val="BodyText"/>
      </w:pPr>
      <w:r>
        <w:t xml:space="preserve">Las ofertas y ventanas de inscripción de SENA cambian. Verifique la disponibilidad vigente directamente antes de planificar alrededor de un curso específico.</w:t>
      </w:r>
    </w:p>
    <w:bookmarkEnd w:id="35"/>
    <w:bookmarkEnd w:id="36"/>
    <w:bookmarkStart w:id="37" w:name="vías-en-otros-países-de-américa-latina"/>
    <w:p>
      <w:pPr>
        <w:pStyle w:val="Heading2"/>
      </w:pPr>
      <w:r>
        <w:t xml:space="preserve">Vías en otros países de América Latina</w:t>
      </w:r>
    </w:p>
    <w:p>
      <w:pPr>
        <w:pStyle w:val="FirstParagraph"/>
      </w:pPr>
      <w:r>
        <w:t xml:space="preserve">Los sistemas de registro de tierras, notariales, catastrales y de transmisión inmobiliaria difieren considerablemente en América Latina. Comience por la autoridad oficial de registro de tierras, catastro, justicia, notariado o propiedad del país e identifique el equivalente ocupacional local antes de escoger capacitación.</w:t>
      </w:r>
    </w:p>
    <w:p>
      <w:pPr>
        <w:pStyle w:val="BodyText"/>
      </w:pPr>
      <w:r>
        <w:t xml:space="preserve">Habilidades transferibles útiles incluyen:</w:t>
      </w:r>
    </w:p>
    <w:p>
      <w:pPr>
        <w:numPr>
          <w:ilvl w:val="0"/>
          <w:numId w:val="1006"/>
        </w:numPr>
        <w:pStyle w:val="Compact"/>
      </w:pPr>
      <w:r>
        <w:t xml:space="preserve">indexación documental y gestión de registros;</w:t>
      </w:r>
    </w:p>
    <w:p>
      <w:pPr>
        <w:numPr>
          <w:ilvl w:val="0"/>
          <w:numId w:val="1006"/>
        </w:numPr>
        <w:pStyle w:val="Compact"/>
      </w:pPr>
      <w:r>
        <w:t xml:space="preserve">vocabulario jurídico e inmobiliario;</w:t>
      </w:r>
    </w:p>
    <w:p>
      <w:pPr>
        <w:numPr>
          <w:ilvl w:val="0"/>
          <w:numId w:val="1006"/>
        </w:numPr>
        <w:pStyle w:val="Compact"/>
      </w:pPr>
      <w:r>
        <w:t xml:space="preserve">precisión con hojas de cálculo;</w:t>
      </w:r>
    </w:p>
    <w:p>
      <w:pPr>
        <w:numPr>
          <w:ilvl w:val="0"/>
          <w:numId w:val="1006"/>
        </w:numPr>
        <w:pStyle w:val="Compact"/>
      </w:pPr>
      <w:r>
        <w:t xml:space="preserve">fundamentos de GIS y referencias de predios;</w:t>
      </w:r>
    </w:p>
    <w:p>
      <w:pPr>
        <w:numPr>
          <w:ilvl w:val="0"/>
          <w:numId w:val="1006"/>
        </w:numPr>
        <w:pStyle w:val="Compact"/>
      </w:pPr>
      <w:r>
        <w:t xml:space="preserve">documentación de servicio al cliente;</w:t>
      </w:r>
    </w:p>
    <w:p>
      <w:pPr>
        <w:numPr>
          <w:ilvl w:val="0"/>
          <w:numId w:val="1006"/>
        </w:numPr>
        <w:pStyle w:val="Compact"/>
      </w:pPr>
      <w:r>
        <w:t xml:space="preserve">disciplina de privacidad y manejo de datos;</w:t>
      </w:r>
    </w:p>
    <w:p>
      <w:pPr>
        <w:numPr>
          <w:ilvl w:val="0"/>
          <w:numId w:val="1006"/>
        </w:numPr>
        <w:pStyle w:val="Compact"/>
      </w:pPr>
      <w:r>
        <w:t xml:space="preserve">aseguramiento de calidad; y</w:t>
      </w:r>
    </w:p>
    <w:p>
      <w:pPr>
        <w:numPr>
          <w:ilvl w:val="0"/>
          <w:numId w:val="1006"/>
        </w:numPr>
        <w:pStyle w:val="Compact"/>
      </w:pPr>
      <w:r>
        <w:t xml:space="preserve">terminología bilingüe cuando sea relevante.</w:t>
      </w:r>
    </w:p>
    <w:p>
      <w:pPr>
        <w:pStyle w:val="FirstParagraph"/>
      </w:pPr>
      <w:r>
        <w:t xml:space="preserve">No asuma que una credencial o denominación de cargo de Estados Unidos, Canadá, Colombia u otro país transfiere automáticamente autoridad jurídica a través de fronteras.</w:t>
      </w:r>
    </w:p>
    <w:bookmarkEnd w:id="37"/>
    <w:bookmarkStart w:id="41" w:name="Xe37b24bbd606123f505b919105156cb9a397d3b"/>
    <w:p>
      <w:pPr>
        <w:pStyle w:val="Heading2"/>
      </w:pPr>
      <w:r>
        <w:t xml:space="preserve">Financiamiento, becas, aprendizajes y apoyo del empleador</w:t>
      </w:r>
    </w:p>
    <w:bookmarkStart w:id="38" w:name="estados-unidos"/>
    <w:p>
      <w:pPr>
        <w:pStyle w:val="Heading3"/>
      </w:pPr>
      <w:r>
        <w:t xml:space="preserve">Estados Unidos</w:t>
      </w:r>
    </w:p>
    <w:p>
      <w:pPr>
        <w:pStyle w:val="FirstParagraph"/>
      </w:pPr>
      <w:r>
        <w:t xml:space="preserve">Antes de autofinanciarse, consulte</w:t>
      </w:r>
      <w:r>
        <w:t xml:space="preserve"> </w:t>
      </w:r>
      <w:r>
        <w:rPr>
          <w:bCs/>
          <w:b/>
        </w:rPr>
        <w:t xml:space="preserve">CareerOneStop</w:t>
      </w:r>
      <w:r>
        <w:t xml:space="preserve">, su</w:t>
      </w:r>
      <w:r>
        <w:t xml:space="preserve"> </w:t>
      </w:r>
      <w:r>
        <w:rPr>
          <w:bCs/>
          <w:b/>
        </w:rPr>
        <w:t xml:space="preserve">American Job Center</w:t>
      </w:r>
      <w:r>
        <w:t xml:space="preserve"> </w:t>
      </w:r>
      <w:r>
        <w:t xml:space="preserve">local y la elegibilidad para</w:t>
      </w:r>
      <w:r>
        <w:t xml:space="preserve"> </w:t>
      </w:r>
      <w:r>
        <w:rPr>
          <w:bCs/>
          <w:b/>
        </w:rPr>
        <w:t xml:space="preserve">WIOA</w:t>
      </w:r>
      <w:r>
        <w:t xml:space="preserve">. Según las reglas locales y la elegibilidad del proveedor, el financiamiento de desarrollo laboral puede apoyar estudios jurídicos, registros, GIS, tecnología de oficina, bienes raíces o capacitación relacionada. El financiamiento no es automático; confirme por escrito la elegibilidad y el estatus del proveedor.</w:t>
      </w:r>
    </w:p>
    <w:p>
      <w:pPr>
        <w:pStyle w:val="BodyText"/>
      </w:pPr>
      <w:r>
        <w:t xml:space="preserve">Consulte</w:t>
      </w:r>
      <w:r>
        <w:t xml:space="preserve"> </w:t>
      </w:r>
      <w:r>
        <w:rPr>
          <w:bCs/>
          <w:b/>
        </w:rPr>
        <w:t xml:space="preserve">Apprenticeship.gov</w:t>
      </w:r>
      <w:r>
        <w:t xml:space="preserve"> </w:t>
      </w:r>
      <w:r>
        <w:t xml:space="preserve">para oportunidades relacionadas vigentes. O*NET dirige a los estudiantes al buscador federal de aprendizajes, pero no debe asumirse que exista un aprendizaje específico de examinador de títulos en todas las ubicaciones o en todo momento.</w:t>
      </w:r>
    </w:p>
    <w:p>
      <w:pPr>
        <w:pStyle w:val="BodyText"/>
      </w:pPr>
      <w:r>
        <w:t xml:space="preserve">Pregunte a los empleadores si ofrecen incorporación pagada, capacitación en bases internas de títulos, capacitación en sistemas de registro, educación continua, apoyo de matrícula, reembolso de certificaciones o capacitación cruzada. Considere el apoyo del empleador como algo que debe verificarse, no como un beneficio garantizado.</w:t>
      </w:r>
    </w:p>
    <w:bookmarkEnd w:id="38"/>
    <w:bookmarkStart w:id="39" w:name="canadá"/>
    <w:p>
      <w:pPr>
        <w:pStyle w:val="Heading3"/>
      </w:pPr>
      <w:r>
        <w:t xml:space="preserve">Canadá</w:t>
      </w:r>
    </w:p>
    <w:p>
      <w:pPr>
        <w:pStyle w:val="FirstParagraph"/>
      </w:pPr>
      <w:r>
        <w:t xml:space="preserve">Consulte servicios provinciales de empleo, instituciones públicas de educación superior, programas de desarrollo laboral, reembolso del empleador y becas vigentes antes de comprar capacitación privada. Debido a que los requisitos varían por provincia y función, confirme que cualquier programa sea reconocido para el trabajo que realmente pretende realizar.</w:t>
      </w:r>
    </w:p>
    <w:bookmarkEnd w:id="39"/>
    <w:bookmarkStart w:id="40" w:name="américa-latina"/>
    <w:p>
      <w:pPr>
        <w:pStyle w:val="Heading3"/>
      </w:pPr>
      <w:r>
        <w:t xml:space="preserve">América Latina</w:t>
      </w:r>
    </w:p>
    <w:p>
      <w:pPr>
        <w:pStyle w:val="FirstParagraph"/>
      </w:pPr>
      <w:r>
        <w:t xml:space="preserve">Priorice educación técnica pública, servicios nacionales o regionales de empleo, capacitación del empleador y programas oficiales de becas antes que bootcamps comerciales. En Colombia, consulte primero SENA para opciones gratuitas o de bajo costo relacionadas con registros, administración, habilidades digitales, servicio al cliente y gestión documental.</w:t>
      </w:r>
    </w:p>
    <w:bookmarkEnd w:id="40"/>
    <w:bookmarkEnd w:id="41"/>
    <w:bookmarkStart w:id="42" w:name="X7e55315ffc58265af3669b79f51bd667d9522f8"/>
    <w:p>
      <w:pPr>
        <w:pStyle w:val="Heading2"/>
      </w:pPr>
      <w:r>
        <w:t xml:space="preserve">Uso seguro de IA en el trabajo con registros de propiedad</w:t>
      </w:r>
    </w:p>
    <w:p>
      <w:pPr>
        <w:pStyle w:val="FirstParagraph"/>
      </w:pPr>
      <w:r>
        <w:t xml:space="preserve">La IA puede ser útil para:</w:t>
      </w:r>
    </w:p>
    <w:p>
      <w:pPr>
        <w:numPr>
          <w:ilvl w:val="0"/>
          <w:numId w:val="1007"/>
        </w:numPr>
        <w:pStyle w:val="Compact"/>
      </w:pPr>
      <w:r>
        <w:t xml:space="preserve">explicar terminología en lenguaje claro;</w:t>
      </w:r>
    </w:p>
    <w:p>
      <w:pPr>
        <w:numPr>
          <w:ilvl w:val="0"/>
          <w:numId w:val="1007"/>
        </w:numPr>
        <w:pStyle w:val="Compact"/>
      </w:pPr>
      <w:r>
        <w:t xml:space="preserve">crear planes de estudio y cuestionarios;</w:t>
      </w:r>
    </w:p>
    <w:p>
      <w:pPr>
        <w:numPr>
          <w:ilvl w:val="0"/>
          <w:numId w:val="1007"/>
        </w:numPr>
        <w:pStyle w:val="Compact"/>
      </w:pPr>
      <w:r>
        <w:t xml:space="preserve">redactar listas de verificación no autoritativas;</w:t>
      </w:r>
    </w:p>
    <w:p>
      <w:pPr>
        <w:numPr>
          <w:ilvl w:val="0"/>
          <w:numId w:val="1007"/>
        </w:numPr>
        <w:pStyle w:val="Compact"/>
      </w:pPr>
      <w:r>
        <w:t xml:space="preserve">organizar expedientes ficticios de práctica;</w:t>
      </w:r>
    </w:p>
    <w:p>
      <w:pPr>
        <w:numPr>
          <w:ilvl w:val="0"/>
          <w:numId w:val="1007"/>
        </w:numPr>
        <w:pStyle w:val="Compact"/>
      </w:pPr>
      <w:r>
        <w:t xml:space="preserve">sugerir campos para un índice documental; y</w:t>
      </w:r>
    </w:p>
    <w:p>
      <w:pPr>
        <w:numPr>
          <w:ilvl w:val="0"/>
          <w:numId w:val="1007"/>
        </w:numPr>
        <w:pStyle w:val="Compact"/>
      </w:pPr>
      <w:r>
        <w:t xml:space="preserve">redactar un resumen neutral que será verificado por una persona.</w:t>
      </w:r>
    </w:p>
    <w:p>
      <w:pPr>
        <w:pStyle w:val="FirstParagraph"/>
      </w:pPr>
      <w:r>
        <w:t xml:space="preserve">La IA</w:t>
      </w:r>
      <w:r>
        <w:t xml:space="preserve"> </w:t>
      </w:r>
      <w:r>
        <w:rPr>
          <w:bCs/>
          <w:b/>
        </w:rPr>
        <w:t xml:space="preserve">no</w:t>
      </w:r>
      <w:r>
        <w:t xml:space="preserve"> </w:t>
      </w:r>
      <w:r>
        <w:t xml:space="preserve">debe tratarse como fuente autoritativa para titularidad, prioridad de gravámenes, descripciones legales, comerciabilidad del título, estado actual del registro, decisiones de suscripción, instrucciones de cierre o actuaciones registrales.</w:t>
      </w:r>
    </w:p>
    <w:p>
      <w:pPr>
        <w:pStyle w:val="BodyText"/>
      </w:pPr>
      <w:r>
        <w:t xml:space="preserve">Para hechos de alto impacto, verifique contra registros autoritativos y obtenga revisión de la persona profesional o funcionaria debidamente autorizada cuando sea necesario. No cargue información sensible o no pública de clientes, propiedades, entidades crediticias, escrow, identidad o finanzas en un sistema externo de IA salvo que la organización haya autorizado expresamente ese uso y se cumplan los requisitos aplicables de privacidad, confidencialidad, seguridad, contratos y retención.</w:t>
      </w:r>
    </w:p>
    <w:bookmarkEnd w:id="42"/>
    <w:bookmarkStart w:id="43" w:name="Xdb90dae60fbf34c0ebbd9613242529d6f1b5334"/>
    <w:p>
      <w:pPr>
        <w:pStyle w:val="Heading2"/>
      </w:pPr>
      <w:r>
        <w:t xml:space="preserve">Hábitos de privacidad y seguridad de la información</w:t>
      </w:r>
    </w:p>
    <w:p>
      <w:pPr>
        <w:pStyle w:val="FirstParagraph"/>
      </w:pPr>
      <w:r>
        <w:t xml:space="preserve">Aplique minimización de datos. Recopile solo lo necesario, utilice sistemas aprobados, proteja credenciales, siga las reglas de retención y evite copiar datos personales en notas personales o herramientas no aprobadas.</w:t>
      </w:r>
    </w:p>
    <w:p>
      <w:pPr>
        <w:pStyle w:val="BodyText"/>
      </w:pPr>
      <w:r>
        <w:t xml:space="preserve">En Estados Unidos, la FTC Safeguards Rule se aplica a instituciones financieras cubiertas y exige salvaguardas para la información de clientes. La cobertura depende de las actividades, no únicamente de la denominación de la empresa. En Colombia, los derechos sobre datos personales y los requisitos de habeas data de la SNR refuerzan la necesidad de manejar con cuidado la identidad y la información personal vinculada a inmuebles.</w:t>
      </w:r>
    </w:p>
    <w:p>
      <w:pPr>
        <w:pStyle w:val="BodyText"/>
      </w:pPr>
      <w:r>
        <w:t xml:space="preserve">Las políticas del empleador y la ley local determinan las reglas específicas para su función.</w:t>
      </w:r>
    </w:p>
    <w:bookmarkEnd w:id="43"/>
    <w:bookmarkStart w:id="44" w:name="qué-pueden-buscar-los-empleadores"/>
    <w:p>
      <w:pPr>
        <w:pStyle w:val="Heading2"/>
      </w:pPr>
      <w:r>
        <w:t xml:space="preserve">Qué pueden buscar los empleadores</w:t>
      </w:r>
    </w:p>
    <w:p>
      <w:pPr>
        <w:pStyle w:val="FirstParagraph"/>
      </w:pPr>
      <w:r>
        <w:t xml:space="preserve">Fortalezas comunes incluyen:</w:t>
      </w:r>
    </w:p>
    <w:p>
      <w:pPr>
        <w:numPr>
          <w:ilvl w:val="0"/>
          <w:numId w:val="1008"/>
        </w:numPr>
        <w:pStyle w:val="Compact"/>
      </w:pPr>
      <w:r>
        <w:t xml:space="preserve">atención excepcional al detalle;</w:t>
      </w:r>
    </w:p>
    <w:p>
      <w:pPr>
        <w:numPr>
          <w:ilvl w:val="0"/>
          <w:numId w:val="1008"/>
        </w:numPr>
        <w:pStyle w:val="Compact"/>
      </w:pPr>
      <w:r>
        <w:t xml:space="preserve">capacidad de comparar documentos sin adivinar;</w:t>
      </w:r>
    </w:p>
    <w:p>
      <w:pPr>
        <w:numPr>
          <w:ilvl w:val="0"/>
          <w:numId w:val="1008"/>
        </w:numPr>
        <w:pStyle w:val="Compact"/>
      </w:pPr>
      <w:r>
        <w:t xml:space="preserve">documentación consistente;</w:t>
      </w:r>
    </w:p>
    <w:p>
      <w:pPr>
        <w:numPr>
          <w:ilvl w:val="0"/>
          <w:numId w:val="1008"/>
        </w:numPr>
        <w:pStyle w:val="Compact"/>
      </w:pPr>
      <w:r>
        <w:t xml:space="preserve">persistencia en la investigación;</w:t>
      </w:r>
    </w:p>
    <w:p>
      <w:pPr>
        <w:numPr>
          <w:ilvl w:val="0"/>
          <w:numId w:val="1008"/>
        </w:numPr>
        <w:pStyle w:val="Compact"/>
      </w:pPr>
      <w:r>
        <w:t xml:space="preserve">comodidad con controles de calidad repetitivos;</w:t>
      </w:r>
    </w:p>
    <w:p>
      <w:pPr>
        <w:numPr>
          <w:ilvl w:val="0"/>
          <w:numId w:val="1008"/>
        </w:numPr>
        <w:pStyle w:val="Compact"/>
      </w:pPr>
      <w:r>
        <w:t xml:space="preserve">escalamiento claro de la incertidumbre;</w:t>
      </w:r>
    </w:p>
    <w:p>
      <w:pPr>
        <w:numPr>
          <w:ilvl w:val="0"/>
          <w:numId w:val="1008"/>
        </w:numPr>
        <w:pStyle w:val="Compact"/>
      </w:pPr>
      <w:r>
        <w:t xml:space="preserve">disciplina de confidencialidad y seguridad;</w:t>
      </w:r>
    </w:p>
    <w:p>
      <w:pPr>
        <w:numPr>
          <w:ilvl w:val="0"/>
          <w:numId w:val="1008"/>
        </w:numPr>
        <w:pStyle w:val="Compact"/>
      </w:pPr>
      <w:r>
        <w:t xml:space="preserve">habilidades básicas con hojas de cálculo y software de oficina;</w:t>
      </w:r>
    </w:p>
    <w:p>
      <w:pPr>
        <w:numPr>
          <w:ilvl w:val="0"/>
          <w:numId w:val="1008"/>
        </w:numPr>
        <w:pStyle w:val="Compact"/>
      </w:pPr>
      <w:r>
        <w:t xml:space="preserve">capacidad para aprender sistemas locales de registros; y</w:t>
      </w:r>
    </w:p>
    <w:p>
      <w:pPr>
        <w:numPr>
          <w:ilvl w:val="0"/>
          <w:numId w:val="1008"/>
        </w:numPr>
        <w:pStyle w:val="Compact"/>
      </w:pPr>
      <w:r>
        <w:t xml:space="preserve">comunicación escrita profesional.</w:t>
      </w:r>
    </w:p>
    <w:p>
      <w:pPr>
        <w:pStyle w:val="FirstParagraph"/>
      </w:pPr>
      <w:r>
        <w:t xml:space="preserve">Un candidato que diga “Encontré este hecho registrado y escalé la conclusión jurídica” demuestra un juicio más seguro que alguien que exagera su autoridad.</w:t>
      </w:r>
    </w:p>
    <w:bookmarkEnd w:id="44"/>
    <w:bookmarkStart w:id="45" w:name="X06aa1c19b9ba9e69e45d50ab90af741bfb295bc"/>
    <w:p>
      <w:pPr>
        <w:pStyle w:val="Heading2"/>
      </w:pPr>
      <w:r>
        <w:t xml:space="preserve">Preguntas que debe hacer antes de aceptar capacitación o un empleo</w:t>
      </w:r>
    </w:p>
    <w:p>
      <w:pPr>
        <w:pStyle w:val="FirstParagraph"/>
      </w:pPr>
      <w:r>
        <w:t xml:space="preserve">Pregunte:</w:t>
      </w:r>
    </w:p>
    <w:p>
      <w:pPr>
        <w:numPr>
          <w:ilvl w:val="0"/>
          <w:numId w:val="1009"/>
        </w:numPr>
        <w:pStyle w:val="Compact"/>
      </w:pPr>
      <w:r>
        <w:t xml:space="preserve">¿Qué registros y sistemas exactos utilizaré?</w:t>
      </w:r>
    </w:p>
    <w:p>
      <w:pPr>
        <w:numPr>
          <w:ilvl w:val="0"/>
          <w:numId w:val="1009"/>
        </w:numPr>
        <w:pStyle w:val="Compact"/>
      </w:pPr>
      <w:r>
        <w:t xml:space="preserve">¿Qué tareas son apoyo de investigación y cuáles requieren una persona con licencia u otra autorización?</w:t>
      </w:r>
    </w:p>
    <w:p>
      <w:pPr>
        <w:numPr>
          <w:ilvl w:val="0"/>
          <w:numId w:val="1009"/>
        </w:numPr>
        <w:pStyle w:val="Compact"/>
      </w:pPr>
      <w:r>
        <w:t xml:space="preserve">¿Este puesto involucra seguro de título, escrow, liquidación, cierre, transmisión inmobiliaria o servicios jurídicos independientes?</w:t>
      </w:r>
    </w:p>
    <w:p>
      <w:pPr>
        <w:numPr>
          <w:ilvl w:val="0"/>
          <w:numId w:val="1009"/>
        </w:numPr>
        <w:pStyle w:val="Compact"/>
      </w:pPr>
      <w:r>
        <w:t xml:space="preserve">¿Qué licencias o nombramientos se requieren en esta jurisdicción?</w:t>
      </w:r>
    </w:p>
    <w:p>
      <w:pPr>
        <w:numPr>
          <w:ilvl w:val="0"/>
          <w:numId w:val="1009"/>
        </w:numPr>
        <w:pStyle w:val="Compact"/>
      </w:pPr>
      <w:r>
        <w:t xml:space="preserve">¿El empleador capacita a las nuevas contrataciones en sistemas y procedimientos locales?</w:t>
      </w:r>
    </w:p>
    <w:p>
      <w:pPr>
        <w:numPr>
          <w:ilvl w:val="0"/>
          <w:numId w:val="1009"/>
        </w:numPr>
        <w:pStyle w:val="Compact"/>
      </w:pPr>
      <w:r>
        <w:t xml:space="preserve">¿La capacitación es pagada, reembolsada o está vinculada a un acuerdo de devolución?</w:t>
      </w:r>
    </w:p>
    <w:p>
      <w:pPr>
        <w:numPr>
          <w:ilvl w:val="0"/>
          <w:numId w:val="1009"/>
        </w:numPr>
        <w:pStyle w:val="Compact"/>
      </w:pPr>
      <w:r>
        <w:t xml:space="preserve">¿Qué reglas de privacidad, retención y uso de IA se aplican?</w:t>
      </w:r>
    </w:p>
    <w:p>
      <w:pPr>
        <w:numPr>
          <w:ilvl w:val="0"/>
          <w:numId w:val="1009"/>
        </w:numPr>
        <w:pStyle w:val="Compact"/>
      </w:pPr>
      <w:r>
        <w:t xml:space="preserve">¿Cómo se revisa la calidad antes de que se confíe en un informe?</w:t>
      </w:r>
    </w:p>
    <w:p>
      <w:pPr>
        <w:numPr>
          <w:ilvl w:val="0"/>
          <w:numId w:val="1009"/>
        </w:numPr>
        <w:pStyle w:val="Compact"/>
      </w:pPr>
      <w:r>
        <w:t xml:space="preserve">¿Las cifras de compensación corresponden solo a salario base o incluyen horas extra, comisión o bonos?</w:t>
      </w:r>
    </w:p>
    <w:p>
      <w:pPr>
        <w:numPr>
          <w:ilvl w:val="0"/>
          <w:numId w:val="1009"/>
        </w:numPr>
        <w:pStyle w:val="Compact"/>
      </w:pPr>
      <w:r>
        <w:t xml:space="preserve">¿Qué ocurre si las funciones se amplían hacia trabajo regulado?</w:t>
      </w:r>
    </w:p>
    <w:bookmarkEnd w:id="45"/>
    <w:bookmarkStart w:id="46" w:name="X9fdd1152f5d52ec25eb84008accead801edf824"/>
    <w:p>
      <w:pPr>
        <w:pStyle w:val="Heading2"/>
      </w:pPr>
      <w:r>
        <w:t xml:space="preserve">Cuándo conviene detenerse antes de pagar capacitación</w:t>
      </w:r>
    </w:p>
    <w:p>
      <w:pPr>
        <w:pStyle w:val="FirstParagraph"/>
      </w:pPr>
      <w:r>
        <w:t xml:space="preserve">Deténgase o retrase el pago cuando:</w:t>
      </w:r>
    </w:p>
    <w:p>
      <w:pPr>
        <w:numPr>
          <w:ilvl w:val="0"/>
          <w:numId w:val="1010"/>
        </w:numPr>
        <w:pStyle w:val="Compact"/>
      </w:pPr>
      <w:r>
        <w:t xml:space="preserve">el proveedor prometa empleo o ingresos garantizados;</w:t>
      </w:r>
    </w:p>
    <w:p>
      <w:pPr>
        <w:numPr>
          <w:ilvl w:val="0"/>
          <w:numId w:val="1010"/>
        </w:numPr>
        <w:pStyle w:val="Compact"/>
      </w:pPr>
      <w:r>
        <w:t xml:space="preserve">el proveedor llame “licencia” a un curso sin identificar la autoridad gubernamental o profesional que la emite;</w:t>
      </w:r>
    </w:p>
    <w:p>
      <w:pPr>
        <w:numPr>
          <w:ilvl w:val="0"/>
          <w:numId w:val="1010"/>
        </w:numPr>
        <w:pStyle w:val="Compact"/>
      </w:pPr>
      <w:r>
        <w:t xml:space="preserve">el plan de estudios enseñe una jurisdicción como si aplicara en todas partes;</w:t>
      </w:r>
    </w:p>
    <w:p>
      <w:pPr>
        <w:numPr>
          <w:ilvl w:val="0"/>
          <w:numId w:val="1010"/>
        </w:numPr>
        <w:pStyle w:val="Compact"/>
      </w:pPr>
      <w:r>
        <w:t xml:space="preserve">no se hayan verificado los requisitos de los empleadores en su mercado objetivo;</w:t>
      </w:r>
    </w:p>
    <w:p>
      <w:pPr>
        <w:numPr>
          <w:ilvl w:val="0"/>
          <w:numId w:val="1010"/>
        </w:numPr>
        <w:pStyle w:val="Compact"/>
      </w:pPr>
      <w:r>
        <w:t xml:space="preserve">el financiamiento, beca, reembolso, cancelación o condiciones de devolución no estén por escrito;</w:t>
      </w:r>
    </w:p>
    <w:p>
      <w:pPr>
        <w:numPr>
          <w:ilvl w:val="0"/>
          <w:numId w:val="1010"/>
        </w:numPr>
        <w:pStyle w:val="Compact"/>
      </w:pPr>
      <w:r>
        <w:t xml:space="preserve">el programa incentive a los estudiantes a emitir conclusiones jurídicas fuera de su autoridad; o</w:t>
      </w:r>
    </w:p>
    <w:p>
      <w:pPr>
        <w:numPr>
          <w:ilvl w:val="0"/>
          <w:numId w:val="1010"/>
        </w:numPr>
        <w:pStyle w:val="Compact"/>
      </w:pPr>
      <w:r>
        <w:t xml:space="preserve">la capacitación promueva cargar registros confidenciales en herramientas públicas de IA sin aprobación organizacional.</w:t>
      </w:r>
    </w:p>
    <w:bookmarkEnd w:id="46"/>
    <w:bookmarkStart w:id="63" w:name="registro-de-fuentes"/>
    <w:p>
      <w:pPr>
        <w:pStyle w:val="Heading2"/>
      </w:pPr>
      <w:r>
        <w:t xml:space="preserve">Registro de fuentes</w:t>
      </w:r>
    </w:p>
    <w:p>
      <w:pPr>
        <w:pStyle w:val="FirstParagraph"/>
      </w:pPr>
      <w:r>
        <w:t xml:space="preserve">Fuentes oficiales y primarias utilizadas para la revisión controlada de 2026 incluyen:</w:t>
      </w:r>
    </w:p>
    <w:p>
      <w:pPr>
        <w:numPr>
          <w:ilvl w:val="0"/>
          <w:numId w:val="1011"/>
        </w:numPr>
        <w:pStyle w:val="Compact"/>
      </w:pPr>
      <w:r>
        <w:t xml:space="preserve">O*NET OnLine, Title Examiners, Abstractors, and Searchers, ocupación 23-2093.00:</w:t>
      </w:r>
      <w:r>
        <w:t xml:space="preserve"> </w:t>
      </w:r>
      <w:hyperlink r:id="rId47">
        <w:r>
          <w:rPr>
            <w:rStyle w:val="Hyperlink"/>
          </w:rPr>
          <w:t xml:space="preserve">https://www.onetonline.org/link/summary/23-2093.00</w:t>
        </w:r>
      </w:hyperlink>
    </w:p>
    <w:p>
      <w:pPr>
        <w:numPr>
          <w:ilvl w:val="0"/>
          <w:numId w:val="1011"/>
        </w:numPr>
        <w:pStyle w:val="Compact"/>
      </w:pPr>
      <w:r>
        <w:t xml:space="preserve">U.S. Bureau of Labor Statistics, Occupational Employment and Wages 23-2093:</w:t>
      </w:r>
      <w:r>
        <w:t xml:space="preserve"> </w:t>
      </w:r>
      <w:hyperlink r:id="rId48">
        <w:r>
          <w:rPr>
            <w:rStyle w:val="Hyperlink"/>
          </w:rPr>
          <w:t xml:space="preserve">https://www.bls.gov/oes/2023/may/oes232093.htm</w:t>
        </w:r>
      </w:hyperlink>
    </w:p>
    <w:p>
      <w:pPr>
        <w:numPr>
          <w:ilvl w:val="0"/>
          <w:numId w:val="1011"/>
        </w:numPr>
        <w:pStyle w:val="Compact"/>
      </w:pPr>
      <w:r>
        <w:t xml:space="preserve">National Association of Insurance Commissioners, Producer Licensing:</w:t>
      </w:r>
      <w:r>
        <w:t xml:space="preserve"> </w:t>
      </w:r>
      <w:hyperlink r:id="rId49">
        <w:r>
          <w:rPr>
            <w:rStyle w:val="Hyperlink"/>
          </w:rPr>
          <w:t xml:space="preserve">https://content.naic.org/insurance-topics/producer-licensing</w:t>
        </w:r>
      </w:hyperlink>
    </w:p>
    <w:p>
      <w:pPr>
        <w:numPr>
          <w:ilvl w:val="0"/>
          <w:numId w:val="1011"/>
        </w:numPr>
        <w:pStyle w:val="Compact"/>
      </w:pPr>
      <w:r>
        <w:t xml:space="preserve">NAIC State Licensing Handbook:</w:t>
      </w:r>
      <w:r>
        <w:t xml:space="preserve"> </w:t>
      </w:r>
      <w:hyperlink r:id="rId50">
        <w:r>
          <w:rPr>
            <w:rStyle w:val="Hyperlink"/>
          </w:rPr>
          <w:t xml:space="preserve">https://content.naic.org/state_licensing_handbook.htm</w:t>
        </w:r>
      </w:hyperlink>
    </w:p>
    <w:p>
      <w:pPr>
        <w:numPr>
          <w:ilvl w:val="0"/>
          <w:numId w:val="1011"/>
        </w:numPr>
        <w:pStyle w:val="Compact"/>
      </w:pPr>
      <w:r>
        <w:t xml:space="preserve">Federal Trade Commission, Safeguards Rule:</w:t>
      </w:r>
      <w:r>
        <w:t xml:space="preserve"> </w:t>
      </w:r>
      <w:hyperlink r:id="rId51">
        <w:r>
          <w:rPr>
            <w:rStyle w:val="Hyperlink"/>
          </w:rPr>
          <w:t xml:space="preserve">https://www.ftc.gov/legal-library/browse/rules/safeguards-rule</w:t>
        </w:r>
      </w:hyperlink>
    </w:p>
    <w:p>
      <w:pPr>
        <w:numPr>
          <w:ilvl w:val="0"/>
          <w:numId w:val="1011"/>
        </w:numPr>
        <w:pStyle w:val="Compact"/>
      </w:pPr>
      <w:r>
        <w:t xml:space="preserve">FTC, orientación empresarial sobre la Safeguards Rule:</w:t>
      </w:r>
      <w:r>
        <w:t xml:space="preserve"> </w:t>
      </w:r>
      <w:hyperlink r:id="rId52">
        <w:r>
          <w:rPr>
            <w:rStyle w:val="Hyperlink"/>
          </w:rPr>
          <w:t xml:space="preserve">https://www.ftc.gov/business-guidance/resources/ftc-safeguards-rule-what-your-business-needs-know</w:t>
        </w:r>
      </w:hyperlink>
    </w:p>
    <w:p>
      <w:pPr>
        <w:numPr>
          <w:ilvl w:val="0"/>
          <w:numId w:val="1011"/>
        </w:numPr>
        <w:pStyle w:val="Compact"/>
      </w:pPr>
      <w:r>
        <w:t xml:space="preserve">Government of Canada Job Bank, salarios y requisitos de Title Searcher:</w:t>
      </w:r>
      <w:r>
        <w:t xml:space="preserve"> </w:t>
      </w:r>
      <w:hyperlink r:id="rId53">
        <w:r>
          <w:rPr>
            <w:rStyle w:val="Hyperlink"/>
          </w:rPr>
          <w:t xml:space="preserve">https://www.jobbank.gc.ca/marketreport/wages-occupation/16033/ca</w:t>
        </w:r>
      </w:hyperlink>
      <w:r>
        <w:t xml:space="preserve"> </w:t>
      </w:r>
      <w:r>
        <w:t xml:space="preserve">y</w:t>
      </w:r>
      <w:r>
        <w:t xml:space="preserve"> </w:t>
      </w:r>
      <w:hyperlink r:id="rId54">
        <w:r>
          <w:rPr>
            <w:rStyle w:val="Hyperlink"/>
          </w:rPr>
          <w:t xml:space="preserve">https://www.jobbank.gc.ca/marketreport/requirements/16033/ca</w:t>
        </w:r>
      </w:hyperlink>
    </w:p>
    <w:p>
      <w:pPr>
        <w:numPr>
          <w:ilvl w:val="0"/>
          <w:numId w:val="1011"/>
        </w:numPr>
        <w:pStyle w:val="Compact"/>
      </w:pPr>
      <w:r>
        <w:t xml:space="preserve">Superintendencia de Notariado y Registro, trámites, servicios y marco legal:</w:t>
      </w:r>
      <w:r>
        <w:t xml:space="preserve"> </w:t>
      </w:r>
      <w:hyperlink r:id="rId55">
        <w:r>
          <w:rPr>
            <w:rStyle w:val="Hyperlink"/>
          </w:rPr>
          <w:t xml:space="preserve">https://www.supernotariado.gov.co/atencion-servicios-ciudadania/tramites-y-servicios/</w:t>
        </w:r>
      </w:hyperlink>
      <w:r>
        <w:t xml:space="preserve"> </w:t>
      </w:r>
      <w:r>
        <w:t xml:space="preserve">y</w:t>
      </w:r>
      <w:r>
        <w:t xml:space="preserve"> </w:t>
      </w:r>
      <w:hyperlink r:id="rId56">
        <w:r>
          <w:rPr>
            <w:rStyle w:val="Hyperlink"/>
          </w:rPr>
          <w:t xml:space="preserve">https://www.supernotariado.gov.co/transparencia/leyes/</w:t>
        </w:r>
      </w:hyperlink>
    </w:p>
    <w:p>
      <w:pPr>
        <w:numPr>
          <w:ilvl w:val="0"/>
          <w:numId w:val="1011"/>
        </w:numPr>
        <w:pStyle w:val="Compact"/>
      </w:pPr>
      <w:r>
        <w:t xml:space="preserve">SNR Habeas Data:</w:t>
      </w:r>
      <w:r>
        <w:t xml:space="preserve"> </w:t>
      </w:r>
      <w:hyperlink r:id="rId57">
        <w:r>
          <w:rPr>
            <w:rStyle w:val="Hyperlink"/>
          </w:rPr>
          <w:t xml:space="preserve">https://www.supernotariado.gov.co/transparencia/habeas-data/</w:t>
        </w:r>
      </w:hyperlink>
    </w:p>
    <w:p>
      <w:pPr>
        <w:numPr>
          <w:ilvl w:val="0"/>
          <w:numId w:val="1011"/>
        </w:numPr>
        <w:pStyle w:val="Compact"/>
      </w:pPr>
      <w:r>
        <w:t xml:space="preserve">SENA Betowa, Organización de archivos de gestión:</w:t>
      </w:r>
      <w:r>
        <w:t xml:space="preserve"> </w:t>
      </w:r>
      <w:hyperlink r:id="rId58">
        <w:r>
          <w:rPr>
            <w:rStyle w:val="Hyperlink"/>
          </w:rPr>
          <w:t xml:space="preserve">https://betowa.sena.edu.co/oferta/organizacion-de-archivos-de-gestion</w:t>
        </w:r>
      </w:hyperlink>
    </w:p>
    <w:p>
      <w:pPr>
        <w:numPr>
          <w:ilvl w:val="0"/>
          <w:numId w:val="1011"/>
        </w:numPr>
        <w:pStyle w:val="Compact"/>
      </w:pPr>
      <w:r>
        <w:t xml:space="preserve">CareerOneStop, buscador de capacitación WIOA:</w:t>
      </w:r>
      <w:r>
        <w:t xml:space="preserve"> </w:t>
      </w:r>
      <w:hyperlink r:id="rId59">
        <w:r>
          <w:rPr>
            <w:rStyle w:val="Hyperlink"/>
          </w:rPr>
          <w:t xml:space="preserve">https://www.careeronestop.org/LocalHelp/EmploymentAndTraining/find-WIOA-training-programs.aspx</w:t>
        </w:r>
      </w:hyperlink>
    </w:p>
    <w:p>
      <w:pPr>
        <w:numPr>
          <w:ilvl w:val="0"/>
          <w:numId w:val="1011"/>
        </w:numPr>
        <w:pStyle w:val="Compact"/>
      </w:pPr>
      <w:r>
        <w:t xml:space="preserve">Apprenticeship.gov:</w:t>
      </w:r>
      <w:r>
        <w:t xml:space="preserve"> </w:t>
      </w:r>
      <w:hyperlink r:id="rId60">
        <w:r>
          <w:rPr>
            <w:rStyle w:val="Hyperlink"/>
          </w:rPr>
          <w:t xml:space="preserve">https://www.apprenticeship.gov/</w:t>
        </w:r>
      </w:hyperlink>
    </w:p>
    <w:p>
      <w:pPr>
        <w:pStyle w:val="FirstParagraph"/>
      </w:pPr>
      <w:r>
        <w:t xml:space="preserve">Fuentes complementarias no gubernamentales de ingresos:</w:t>
      </w:r>
    </w:p>
    <w:p>
      <w:pPr>
        <w:numPr>
          <w:ilvl w:val="0"/>
          <w:numId w:val="1012"/>
        </w:numPr>
        <w:pStyle w:val="Compact"/>
      </w:pPr>
      <w:r>
        <w:t xml:space="preserve">Indeed, salarios de Title Examiner:</w:t>
      </w:r>
      <w:r>
        <w:t xml:space="preserve"> </w:t>
      </w:r>
      <w:hyperlink r:id="rId61">
        <w:r>
          <w:rPr>
            <w:rStyle w:val="Hyperlink"/>
          </w:rPr>
          <w:t xml:space="preserve">https://www.indeed.com/career/title-examiner/salaries</w:t>
        </w:r>
      </w:hyperlink>
    </w:p>
    <w:p>
      <w:pPr>
        <w:numPr>
          <w:ilvl w:val="0"/>
          <w:numId w:val="1012"/>
        </w:numPr>
        <w:pStyle w:val="Compact"/>
      </w:pPr>
      <w:r>
        <w:t xml:space="preserve">ZipRecruiter, salario de Title Examiner:</w:t>
      </w:r>
      <w:r>
        <w:t xml:space="preserve"> </w:t>
      </w:r>
      <w:hyperlink r:id="rId62">
        <w:r>
          <w:rPr>
            <w:rStyle w:val="Hyperlink"/>
          </w:rPr>
          <w:t xml:space="preserve">https://www.ziprecruiter.com/Salaries/Title-Examiner-Salary</w:t>
        </w:r>
      </w:hyperlink>
    </w:p>
    <w:bookmarkEnd w:id="63"/>
    <w:bookmarkStart w:id="64" w:name="nota-final-de-uso-responsable"/>
    <w:p>
      <w:pPr>
        <w:pStyle w:val="Heading2"/>
      </w:pPr>
      <w:r>
        <w:t xml:space="preserve">Nota final de uso responsable</w:t>
      </w:r>
    </w:p>
    <w:p>
      <w:pPr>
        <w:pStyle w:val="FirstParagraph"/>
      </w:pPr>
      <w:r>
        <w:t xml:space="preserve">Esta guía es material educativo de orientación profesional. No constituye asesoría jurídica, opinión de título, suscripción de seguros, autoridad de cierre o transmisión inmobiliaria, certificación de registros, licencia profesional, acreditación, certificación independiente de accesibilidad o traducción, ni garantía de empleo o ingresos.</w:t>
      </w:r>
    </w:p>
    <w:p>
      <w:pPr>
        <w:pStyle w:val="BodyText"/>
      </w:pPr>
      <w:r>
        <w:t xml:space="preserve">Verifique siempre los requisitos vigentes de la jurisdicción, el empleador, la entidad reguladora y el proveedor de capacitación antes de tomar una decisión de alto impacto.</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betowa.sena.edu.co/oferta/organizacion-de-archivos-de-gestion" TargetMode="External" /><Relationship Type="http://schemas.openxmlformats.org/officeDocument/2006/relationships/hyperlink" Id="rId49" Target="https://content.naic.org/insurance-topics/producer-licensing" TargetMode="External" /><Relationship Type="http://schemas.openxmlformats.org/officeDocument/2006/relationships/hyperlink" Id="rId50" Target="https://content.naic.org/state_licensing_handbook.htm" TargetMode="External" /><Relationship Type="http://schemas.openxmlformats.org/officeDocument/2006/relationships/hyperlink" Id="rId60" Target="https://www.apprenticeship.gov/" TargetMode="External" /><Relationship Type="http://schemas.openxmlformats.org/officeDocument/2006/relationships/hyperlink" Id="rId48" Target="https://www.bls.gov/oes/2023/may/oes232093.htm" TargetMode="External" /><Relationship Type="http://schemas.openxmlformats.org/officeDocument/2006/relationships/hyperlink" Id="rId59" Target="https://www.careeronestop.org/LocalHelp/EmploymentAndTraining/find-WIOA-training-programs.aspx" TargetMode="External" /><Relationship Type="http://schemas.openxmlformats.org/officeDocument/2006/relationships/hyperlink" Id="rId52" Target="https://www.ftc.gov/business-guidance/resources/ftc-safeguards-rule-what-your-business-needs-know" TargetMode="External" /><Relationship Type="http://schemas.openxmlformats.org/officeDocument/2006/relationships/hyperlink" Id="rId51" Target="https://www.ftc.gov/legal-library/browse/rules/safeguards-rule" TargetMode="External" /><Relationship Type="http://schemas.openxmlformats.org/officeDocument/2006/relationships/hyperlink" Id="rId61" Target="https://www.indeed.com/career/title-examiner/salaries" TargetMode="External" /><Relationship Type="http://schemas.openxmlformats.org/officeDocument/2006/relationships/hyperlink" Id="rId54" Target="https://www.jobbank.gc.ca/marketreport/requirements/16033/ca" TargetMode="External" /><Relationship Type="http://schemas.openxmlformats.org/officeDocument/2006/relationships/hyperlink" Id="rId53" Target="https://www.jobbank.gc.ca/marketreport/wages-occupation/16033/ca" TargetMode="External" /><Relationship Type="http://schemas.openxmlformats.org/officeDocument/2006/relationships/hyperlink" Id="rId47" Target="https://www.onetonline.org/link/summary/23-2093.00" TargetMode="External" /><Relationship Type="http://schemas.openxmlformats.org/officeDocument/2006/relationships/hyperlink" Id="rId55" Target="https://www.supernotariado.gov.co/atencion-servicios-ciudadania/tramites-y-servicios/" TargetMode="External" /><Relationship Type="http://schemas.openxmlformats.org/officeDocument/2006/relationships/hyperlink" Id="rId57" Target="https://www.supernotariado.gov.co/transparencia/habeas-data/" TargetMode="External" /><Relationship Type="http://schemas.openxmlformats.org/officeDocument/2006/relationships/hyperlink" Id="rId56" Target="https://www.supernotariado.gov.co/transparencia/leyes/" TargetMode="External" /><Relationship Type="http://schemas.openxmlformats.org/officeDocument/2006/relationships/hyperlink" Id="rId62" Target="https://www.ziprecruiter.com/Salaries/Title-Examiner-Salary" TargetMode="External" /></Relationships>
</file>

<file path=word/_rels/footnotes.xml.rels><?xml version="1.0" encoding="UTF-8"?><Relationships xmlns="http://schemas.openxmlformats.org/package/2006/relationships"><Relationship Type="http://schemas.openxmlformats.org/officeDocument/2006/relationships/hyperlink" Id="rId58" Target="https://betowa.sena.edu.co/oferta/organizacion-de-archivos-de-gestion" TargetMode="External" /><Relationship Type="http://schemas.openxmlformats.org/officeDocument/2006/relationships/hyperlink" Id="rId49" Target="https://content.naic.org/insurance-topics/producer-licensing" TargetMode="External" /><Relationship Type="http://schemas.openxmlformats.org/officeDocument/2006/relationships/hyperlink" Id="rId50" Target="https://content.naic.org/state_licensing_handbook.htm" TargetMode="External" /><Relationship Type="http://schemas.openxmlformats.org/officeDocument/2006/relationships/hyperlink" Id="rId60" Target="https://www.apprenticeship.gov/" TargetMode="External" /><Relationship Type="http://schemas.openxmlformats.org/officeDocument/2006/relationships/hyperlink" Id="rId48" Target="https://www.bls.gov/oes/2023/may/oes232093.htm" TargetMode="External" /><Relationship Type="http://schemas.openxmlformats.org/officeDocument/2006/relationships/hyperlink" Id="rId59" Target="https://www.careeronestop.org/LocalHelp/EmploymentAndTraining/find-WIOA-training-programs.aspx" TargetMode="External" /><Relationship Type="http://schemas.openxmlformats.org/officeDocument/2006/relationships/hyperlink" Id="rId52" Target="https://www.ftc.gov/business-guidance/resources/ftc-safeguards-rule-what-your-business-needs-know" TargetMode="External" /><Relationship Type="http://schemas.openxmlformats.org/officeDocument/2006/relationships/hyperlink" Id="rId51" Target="https://www.ftc.gov/legal-library/browse/rules/safeguards-rule" TargetMode="External" /><Relationship Type="http://schemas.openxmlformats.org/officeDocument/2006/relationships/hyperlink" Id="rId61" Target="https://www.indeed.com/career/title-examiner/salaries" TargetMode="External" /><Relationship Type="http://schemas.openxmlformats.org/officeDocument/2006/relationships/hyperlink" Id="rId54" Target="https://www.jobbank.gc.ca/marketreport/requirements/16033/ca" TargetMode="External" /><Relationship Type="http://schemas.openxmlformats.org/officeDocument/2006/relationships/hyperlink" Id="rId53" Target="https://www.jobbank.gc.ca/marketreport/wages-occupation/16033/ca" TargetMode="External" /><Relationship Type="http://schemas.openxmlformats.org/officeDocument/2006/relationships/hyperlink" Id="rId47" Target="https://www.onetonline.org/link/summary/23-2093.00" TargetMode="External" /><Relationship Type="http://schemas.openxmlformats.org/officeDocument/2006/relationships/hyperlink" Id="rId55" Target="https://www.supernotariado.gov.co/atencion-servicios-ciudadania/tramites-y-servicios/" TargetMode="External" /><Relationship Type="http://schemas.openxmlformats.org/officeDocument/2006/relationships/hyperlink" Id="rId57" Target="https://www.supernotariado.gov.co/transparencia/habeas-data/" TargetMode="External" /><Relationship Type="http://schemas.openxmlformats.org/officeDocument/2006/relationships/hyperlink" Id="rId56" Target="https://www.supernotariado.gov.co/transparencia/leyes/" TargetMode="External" /><Relationship Type="http://schemas.openxmlformats.org/officeDocument/2006/relationships/hyperlink" Id="rId62" Target="https://www.ziprecruiter.com/Salaries/Title-Examin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2026-08-10T04:01:08Z</dcterms:created>
  <dcterms:modified xsi:type="dcterms:W3CDTF">2026-08-10T04:01:08Z</dcterms:modified>
</cp:coreProperties>
</file>

<file path=docProps/custom.xml><?xml version="1.0" encoding="utf-8"?>
<Properties xmlns="http://schemas.openxmlformats.org/officeDocument/2006/custom-properties" xmlns:vt="http://schemas.openxmlformats.org/officeDocument/2006/docPropsVTypes"/>
</file>