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12e276e434368a06cfb648b12ebcb7e5bd93e7"/>
    <w:p>
      <w:pPr>
        <w:pStyle w:val="Heading1"/>
      </w:pPr>
      <w:r>
        <w:t xml:space="preserve">Guide 23 — Property Manager and Community Association Manager</w:t>
      </w:r>
    </w:p>
    <w:p>
      <w:pPr>
        <w:pStyle w:val="FirstParagraph"/>
      </w:pPr>
      <w:r>
        <w:rPr>
          <w:bCs/>
          <w:b/>
        </w:rPr>
        <w:t xml:space="preserve">Edition:</w:t>
      </w:r>
      <w:r>
        <w:t xml:space="preserve"> </w:t>
      </w:r>
      <w:r>
        <w:t xml:space="preserve">English</w:t>
      </w:r>
      <w:r>
        <w:br/>
      </w:r>
      <w:r>
        <w:rPr>
          <w:bCs/>
          <w:b/>
        </w:rPr>
        <w:t xml:space="preserve">Version:</w:t>
      </w:r>
      <w:r>
        <w:t xml:space="preserve"> </w:t>
      </w:r>
      <w:r>
        <w:t xml:space="preserve">2.0 working master</w:t>
      </w:r>
      <w:r>
        <w:br/>
      </w:r>
      <w:r>
        <w:rPr>
          <w:bCs/>
          <w:b/>
        </w:rPr>
        <w:t xml:space="preserve">Controlled revision date:</w:t>
      </w:r>
      <w:r>
        <w:t xml:space="preserve"> </w:t>
      </w:r>
      <w:r>
        <w:t xml:space="preserve">2026-08-10</w:t>
      </w:r>
      <w:r>
        <w:br/>
      </w:r>
      <w:r>
        <w:rPr>
          <w:bCs/>
          <w:b/>
        </w:rPr>
        <w:t xml:space="preserve">Status:</w:t>
      </w:r>
      <w:r>
        <w:t xml:space="preserve"> </w:t>
      </w:r>
      <w:r>
        <w:t xml:space="preserve">English editorial candidate; not yet localization source</w:t>
      </w:r>
      <w:r>
        <w:br/>
      </w:r>
      <w:r>
        <w:rPr>
          <w:bCs/>
          <w:b/>
        </w:rPr>
        <w:t xml:space="preserve">License:</w:t>
      </w:r>
      <w:r>
        <w:t xml:space="preserve"> </w:t>
      </w:r>
      <w:r>
        <w:t xml:space="preserve">CC BY-NC-SA 4.0</w:t>
      </w:r>
    </w:p>
    <w:bookmarkStart w:id="20" w:name="purpose"/>
    <w:p>
      <w:pPr>
        <w:pStyle w:val="Heading2"/>
      </w:pPr>
      <w:r>
        <w:t xml:space="preserve">Purpose</w:t>
      </w:r>
    </w:p>
    <w:p>
      <w:pPr>
        <w:pStyle w:val="FirstParagraph"/>
      </w:pPr>
      <w:r>
        <w:t xml:space="preserve">Property and community-association management can provide a practical path into housing operations, customer service, facilities coordination, budgeting, vendor management, resident relations, and real-estate administration. It can also involve regulated activities, fair-housing duties, governing documents, resident and owner data, financial controls, emergency procedures, and legal or technical issues that exceed a manager's authority.</w:t>
      </w:r>
    </w:p>
    <w:p>
      <w:pPr>
        <w:pStyle w:val="BodyText"/>
      </w:pPr>
      <w:r>
        <w:t xml:space="preserve">This guide helps learners build employable skills while separating operational work from activities that require a real-estate licence, community-association credential, legal authority, accounting authority, licensed trade, safety qualification, or other jurisdiction-specific permission.</w:t>
      </w:r>
    </w:p>
    <w:p>
      <w:pPr>
        <w:pStyle w:val="BodyText"/>
      </w:pPr>
      <w:r>
        <w:t xml:space="preserve">This guide is educational. It is not legal, property-management, brokerage, accounting, tax, insurance, engineering, building-code, safety, fair-housing, or investment advice. Requirements vary by country, state or province, municipality, employer, property type, governing documents, and exact duties. Verify the rules that apply where you intend to work before paying for training or accepting regulated responsibilities.</w:t>
      </w:r>
    </w:p>
    <w:bookmarkEnd w:id="20"/>
    <w:bookmarkStart w:id="21" w:name="Xb23f4eeee88f50f1b01d816de888292806848c3"/>
    <w:p>
      <w:pPr>
        <w:pStyle w:val="Heading2"/>
      </w:pPr>
      <w:r>
        <w:t xml:space="preserve">1. What these jobs involve</w:t>
      </w:r>
    </w:p>
    <w:p>
      <w:pPr>
        <w:pStyle w:val="FirstParagraph"/>
      </w:pPr>
      <w:r>
        <w:t xml:space="preserve">Property managers and community-association managers help coordinate the day-to-day operation of residential, commercial, industrial, or mixed-use property. Depending on the employer and jurisdiction, work may include:</w:t>
      </w:r>
    </w:p>
    <w:p>
      <w:pPr>
        <w:numPr>
          <w:ilvl w:val="0"/>
          <w:numId w:val="1001"/>
        </w:numPr>
        <w:pStyle w:val="Compact"/>
      </w:pPr>
      <w:r>
        <w:t xml:space="preserve">responding to owners, residents, tenants, applicants, boards, and vendors;</w:t>
      </w:r>
    </w:p>
    <w:p>
      <w:pPr>
        <w:numPr>
          <w:ilvl w:val="0"/>
          <w:numId w:val="1001"/>
        </w:numPr>
        <w:pStyle w:val="Compact"/>
      </w:pPr>
      <w:r>
        <w:t xml:space="preserve">coordinating maintenance, inspections, repairs, and preventive work;</w:t>
      </w:r>
    </w:p>
    <w:p>
      <w:pPr>
        <w:numPr>
          <w:ilvl w:val="0"/>
          <w:numId w:val="1001"/>
        </w:numPr>
        <w:pStyle w:val="Compact"/>
      </w:pPr>
      <w:r>
        <w:t xml:space="preserve">administering leases, community rules, service requests, and approved procedures;</w:t>
      </w:r>
    </w:p>
    <w:p>
      <w:pPr>
        <w:numPr>
          <w:ilvl w:val="0"/>
          <w:numId w:val="1001"/>
        </w:numPr>
        <w:pStyle w:val="Compact"/>
      </w:pPr>
      <w:r>
        <w:t xml:space="preserve">preparing budgets, tracking invoices, collecting approved charges, and reporting variances;</w:t>
      </w:r>
    </w:p>
    <w:p>
      <w:pPr>
        <w:numPr>
          <w:ilvl w:val="0"/>
          <w:numId w:val="1001"/>
        </w:numPr>
        <w:pStyle w:val="Compact"/>
      </w:pPr>
      <w:r>
        <w:t xml:space="preserve">maintaining records, contracts, certificates, incident files, and vendor documentation;</w:t>
      </w:r>
    </w:p>
    <w:p>
      <w:pPr>
        <w:numPr>
          <w:ilvl w:val="0"/>
          <w:numId w:val="1001"/>
        </w:numPr>
        <w:pStyle w:val="Compact"/>
      </w:pPr>
      <w:r>
        <w:t xml:space="preserve">supporting leasing, renewals, move-ins, move-outs, or resident communications;</w:t>
      </w:r>
    </w:p>
    <w:p>
      <w:pPr>
        <w:numPr>
          <w:ilvl w:val="0"/>
          <w:numId w:val="1001"/>
        </w:numPr>
        <w:pStyle w:val="Compact"/>
      </w:pPr>
      <w:r>
        <w:t xml:space="preserve">scheduling staff, contractors, security, cleaning, landscaping, and maintenance services;</w:t>
      </w:r>
    </w:p>
    <w:p>
      <w:pPr>
        <w:numPr>
          <w:ilvl w:val="0"/>
          <w:numId w:val="1001"/>
        </w:numPr>
        <w:pStyle w:val="Compact"/>
      </w:pPr>
      <w:r>
        <w:t xml:space="preserve">preparing board or owner-meeting materials and following valid decisions;</w:t>
      </w:r>
    </w:p>
    <w:p>
      <w:pPr>
        <w:numPr>
          <w:ilvl w:val="0"/>
          <w:numId w:val="1001"/>
        </w:numPr>
        <w:pStyle w:val="Compact"/>
      </w:pPr>
      <w:r>
        <w:t xml:space="preserve">monitoring building access, keys, credentials, parking, amenity use, and emergency contacts;</w:t>
      </w:r>
    </w:p>
    <w:p>
      <w:pPr>
        <w:numPr>
          <w:ilvl w:val="0"/>
          <w:numId w:val="1001"/>
        </w:numPr>
        <w:pStyle w:val="Compact"/>
      </w:pPr>
      <w:r>
        <w:t xml:space="preserve">coordinating insurance, inspections, or compliance follow-up within the worker's assigned authority.</w:t>
      </w:r>
    </w:p>
    <w:p>
      <w:pPr>
        <w:pStyle w:val="FirstParagraph"/>
      </w:pPr>
      <w:r>
        <w:t xml:space="preserve">A property manager may work for an owner, management company, housing authority, university, senior-living operator, commercial-property company, institutional landlord, or other organization. A community-association manager may support condominium, homeowners', strata, co-ownership, or similar associations.</w:t>
      </w:r>
    </w:p>
    <w:p>
      <w:pPr>
        <w:pStyle w:val="BodyText"/>
      </w:pPr>
      <w:r>
        <w:t xml:space="preserve">The titles are not interchangeable across countries. Job title alone never establishes legal authority.</w:t>
      </w:r>
    </w:p>
    <w:bookmarkEnd w:id="21"/>
    <w:bookmarkStart w:id="22" w:name="X5dbd4b70b648c593e4cddc3c9d0aaf51644e3cb"/>
    <w:p>
      <w:pPr>
        <w:pStyle w:val="Heading2"/>
      </w:pPr>
      <w:r>
        <w:t xml:space="preserve">2. Core skills that transfer across employers</w:t>
      </w:r>
    </w:p>
    <w:p>
      <w:pPr>
        <w:pStyle w:val="FirstParagraph"/>
      </w:pPr>
      <w:r>
        <w:t xml:space="preserve">Useful skills include:</w:t>
      </w:r>
    </w:p>
    <w:p>
      <w:pPr>
        <w:numPr>
          <w:ilvl w:val="0"/>
          <w:numId w:val="1002"/>
        </w:numPr>
        <w:pStyle w:val="Compact"/>
      </w:pPr>
      <w:r>
        <w:t xml:space="preserve">professional written and verbal communication;</w:t>
      </w:r>
    </w:p>
    <w:p>
      <w:pPr>
        <w:numPr>
          <w:ilvl w:val="0"/>
          <w:numId w:val="1002"/>
        </w:numPr>
        <w:pStyle w:val="Compact"/>
      </w:pPr>
      <w:r>
        <w:t xml:space="preserve">customer and resident service;</w:t>
      </w:r>
    </w:p>
    <w:p>
      <w:pPr>
        <w:numPr>
          <w:ilvl w:val="0"/>
          <w:numId w:val="1002"/>
        </w:numPr>
        <w:pStyle w:val="Compact"/>
      </w:pPr>
      <w:r>
        <w:t xml:space="preserve">conflict de-escalation and complaint handling;</w:t>
      </w:r>
    </w:p>
    <w:p>
      <w:pPr>
        <w:numPr>
          <w:ilvl w:val="0"/>
          <w:numId w:val="1002"/>
        </w:numPr>
        <w:pStyle w:val="Compact"/>
      </w:pPr>
      <w:r>
        <w:t xml:space="preserve">scheduling and work-order coordination;</w:t>
      </w:r>
    </w:p>
    <w:p>
      <w:pPr>
        <w:numPr>
          <w:ilvl w:val="0"/>
          <w:numId w:val="1002"/>
        </w:numPr>
        <w:pStyle w:val="Compact"/>
      </w:pPr>
      <w:r>
        <w:t xml:space="preserve">spreadsheet and basic financial literacy;</w:t>
      </w:r>
    </w:p>
    <w:p>
      <w:pPr>
        <w:numPr>
          <w:ilvl w:val="0"/>
          <w:numId w:val="1002"/>
        </w:numPr>
        <w:pStyle w:val="Compact"/>
      </w:pPr>
      <w:r>
        <w:t xml:space="preserve">invoice and purchase-order review;</w:t>
      </w:r>
    </w:p>
    <w:p>
      <w:pPr>
        <w:numPr>
          <w:ilvl w:val="0"/>
          <w:numId w:val="1002"/>
        </w:numPr>
        <w:pStyle w:val="Compact"/>
      </w:pPr>
      <w:r>
        <w:t xml:space="preserve">records management and document control;</w:t>
      </w:r>
    </w:p>
    <w:p>
      <w:pPr>
        <w:numPr>
          <w:ilvl w:val="0"/>
          <w:numId w:val="1002"/>
        </w:numPr>
        <w:pStyle w:val="Compact"/>
      </w:pPr>
      <w:r>
        <w:t xml:space="preserve">vendor onboarding and certificate tracking;</w:t>
      </w:r>
    </w:p>
    <w:p>
      <w:pPr>
        <w:numPr>
          <w:ilvl w:val="0"/>
          <w:numId w:val="1002"/>
        </w:numPr>
        <w:pStyle w:val="Compact"/>
      </w:pPr>
      <w:r>
        <w:t xml:space="preserve">contract-administration support;</w:t>
      </w:r>
    </w:p>
    <w:p>
      <w:pPr>
        <w:numPr>
          <w:ilvl w:val="0"/>
          <w:numId w:val="1002"/>
        </w:numPr>
        <w:pStyle w:val="Compact"/>
      </w:pPr>
      <w:r>
        <w:t xml:space="preserve">basic facilities and preventive-maintenance vocabulary;</w:t>
      </w:r>
    </w:p>
    <w:p>
      <w:pPr>
        <w:numPr>
          <w:ilvl w:val="0"/>
          <w:numId w:val="1002"/>
        </w:numPr>
        <w:pStyle w:val="Compact"/>
      </w:pPr>
      <w:r>
        <w:t xml:space="preserve">meeting preparation, minutes support, and action tracking;</w:t>
      </w:r>
    </w:p>
    <w:p>
      <w:pPr>
        <w:numPr>
          <w:ilvl w:val="0"/>
          <w:numId w:val="1002"/>
        </w:numPr>
        <w:pStyle w:val="Compact"/>
      </w:pPr>
      <w:r>
        <w:t xml:space="preserve">consistent application of approved policies;</w:t>
      </w:r>
    </w:p>
    <w:p>
      <w:pPr>
        <w:numPr>
          <w:ilvl w:val="0"/>
          <w:numId w:val="1002"/>
        </w:numPr>
        <w:pStyle w:val="Compact"/>
      </w:pPr>
      <w:r>
        <w:t xml:space="preserve">privacy-aware handling of identity, lease, payment, access-control, camera, complaint, and emergency-contact data;</w:t>
      </w:r>
    </w:p>
    <w:p>
      <w:pPr>
        <w:numPr>
          <w:ilvl w:val="0"/>
          <w:numId w:val="1002"/>
        </w:numPr>
        <w:pStyle w:val="Compact"/>
      </w:pPr>
      <w:r>
        <w:t xml:space="preserve">accessible communication with people who have different language, mobility, sensory, or cognitive needs;</w:t>
      </w:r>
    </w:p>
    <w:p>
      <w:pPr>
        <w:numPr>
          <w:ilvl w:val="0"/>
          <w:numId w:val="1002"/>
        </w:numPr>
        <w:pStyle w:val="Compact"/>
      </w:pPr>
      <w:r>
        <w:t xml:space="preserve">incident escalation and accurate factual documentation;</w:t>
      </w:r>
    </w:p>
    <w:p>
      <w:pPr>
        <w:numPr>
          <w:ilvl w:val="0"/>
          <w:numId w:val="1002"/>
        </w:numPr>
        <w:pStyle w:val="Compact"/>
      </w:pPr>
      <w:r>
        <w:t xml:space="preserve">strong authentication, secure file sharing, and least-privilege system access.</w:t>
      </w:r>
    </w:p>
    <w:p>
      <w:pPr>
        <w:pStyle w:val="FirstParagraph"/>
      </w:pPr>
      <w:r>
        <w:t xml:space="preserve">These skills also transfer to facilities administration, resident services, housing-program support, office management, leasing administration, vendor coordination, customer success, compliance support, and operations roles.</w:t>
      </w:r>
    </w:p>
    <w:bookmarkEnd w:id="22"/>
    <w:bookmarkStart w:id="27" w:name="Xe218cfca71f65a9ad8d25423279d132dad2bb4a"/>
    <w:p>
      <w:pPr>
        <w:pStyle w:val="Heading2"/>
      </w:pPr>
      <w:r>
        <w:t xml:space="preserve">3. United States pathway</w:t>
      </w:r>
    </w:p>
    <w:bookmarkStart w:id="23" w:name="occupation-and-entry"/>
    <w:p>
      <w:pPr>
        <w:pStyle w:val="Heading3"/>
      </w:pPr>
      <w:r>
        <w:t xml:space="preserve">Occupation and entry</w:t>
      </w:r>
    </w:p>
    <w:p>
      <w:pPr>
        <w:pStyle w:val="FirstParagraph"/>
      </w:pPr>
      <w:r>
        <w:t xml:space="preserve">O*NET classifies</w:t>
      </w:r>
      <w:r>
        <w:t xml:space="preserve"> </w:t>
      </w:r>
      <w:r>
        <w:rPr>
          <w:bCs/>
          <w:b/>
        </w:rPr>
        <w:t xml:space="preserve">Property, Real Estate, and Community Association Managers</w:t>
      </w:r>
      <w:r>
        <w:t xml:space="preserve"> </w:t>
      </w:r>
      <w:r>
        <w:t xml:space="preserve">under occupation 11-9141.00. The work can include leasing, budgeting, maintenance coordination, contracts, resident and owner communication, records, collections, inspections, and community-association administration.</w:t>
      </w:r>
    </w:p>
    <w:p>
      <w:pPr>
        <w:pStyle w:val="BodyText"/>
      </w:pPr>
      <w:r>
        <w:t xml:space="preserve">The U.S. Bureau of Labor Statistics lists a high-school diploma or equivalent as the typical entry education for the occupation, with several years of related experience and short-term on-the-job training commonly expected. Employers may prefer coursework in business, accounting, real estate, facilities management, housing, customer service, or communications, but there is no single national degree requirement for every property-management role.</w:t>
      </w:r>
    </w:p>
    <w:p>
      <w:pPr>
        <w:pStyle w:val="BodyText"/>
      </w:pPr>
      <w:r>
        <w:t xml:space="preserve">A lower-risk entry route is often leasing administration, resident services, property-office support, maintenance coordination, accounts-receivable support, vendor administration, or assistant property management while learning the local legal and operational framework.</w:t>
      </w:r>
    </w:p>
    <w:bookmarkEnd w:id="23"/>
    <w:bookmarkStart w:id="24" w:name="licensing-and-authority-boundary"/>
    <w:p>
      <w:pPr>
        <w:pStyle w:val="Heading3"/>
      </w:pPr>
      <w:r>
        <w:t xml:space="preserve">Licensing and authority boundary</w:t>
      </w:r>
    </w:p>
    <w:p>
      <w:pPr>
        <w:pStyle w:val="FirstParagraph"/>
      </w:pPr>
      <w:r>
        <w:t xml:space="preserve">Licensing requirements vary by state and by actual duty. In many states, a property manager who performs regulated leasing, brokerage, rent collection, trust-account, or real-estate activity may need a property-management or real-estate broker licence, may need to work under a licensed broker, or may fall under an owner-employee exemption. Some states separately regulate community-association managers.</w:t>
      </w:r>
    </w:p>
    <w:p>
      <w:pPr>
        <w:pStyle w:val="BodyText"/>
      </w:pPr>
      <w:r>
        <w:t xml:space="preserve">Do not assume a generic property-management certificate authorizes you to:</w:t>
      </w:r>
    </w:p>
    <w:p>
      <w:pPr>
        <w:numPr>
          <w:ilvl w:val="0"/>
          <w:numId w:val="1003"/>
        </w:numPr>
        <w:pStyle w:val="Compact"/>
      </w:pPr>
      <w:r>
        <w:t xml:space="preserve">negotiate or execute regulated real-estate transactions;</w:t>
      </w:r>
    </w:p>
    <w:p>
      <w:pPr>
        <w:numPr>
          <w:ilvl w:val="0"/>
          <w:numId w:val="1003"/>
        </w:numPr>
        <w:pStyle w:val="Compact"/>
      </w:pPr>
      <w:r>
        <w:t xml:space="preserve">hold or disburse trust or escrow funds;</w:t>
      </w:r>
    </w:p>
    <w:p>
      <w:pPr>
        <w:numPr>
          <w:ilvl w:val="0"/>
          <w:numId w:val="1003"/>
        </w:numPr>
        <w:pStyle w:val="Compact"/>
      </w:pPr>
      <w:r>
        <w:t xml:space="preserve">provide legal advice or represent a party in court;</w:t>
      </w:r>
    </w:p>
    <w:p>
      <w:pPr>
        <w:numPr>
          <w:ilvl w:val="0"/>
          <w:numId w:val="1003"/>
        </w:numPr>
        <w:pStyle w:val="Compact"/>
      </w:pPr>
      <w:r>
        <w:t xml:space="preserve">prepare or interpret legal documents beyond authorized administrative duties;</w:t>
      </w:r>
    </w:p>
    <w:p>
      <w:pPr>
        <w:numPr>
          <w:ilvl w:val="0"/>
          <w:numId w:val="1003"/>
        </w:numPr>
        <w:pStyle w:val="Compact"/>
      </w:pPr>
      <w:r>
        <w:t xml:space="preserve">perform licensed electrical, plumbing, engineering, fire-safety, pest-control, elevator, or other technical work;</w:t>
      </w:r>
    </w:p>
    <w:p>
      <w:pPr>
        <w:numPr>
          <w:ilvl w:val="0"/>
          <w:numId w:val="1003"/>
        </w:numPr>
        <w:pStyle w:val="Compact"/>
      </w:pPr>
      <w:r>
        <w:t xml:space="preserve">make accounting, tax, insurance, or investment decisions outside your role.</w:t>
      </w:r>
    </w:p>
    <w:p>
      <w:pPr>
        <w:pStyle w:val="FirstParagraph"/>
      </w:pPr>
      <w:r>
        <w:t xml:space="preserve">Before paying for licence-preparation training, identify the applicable state real-estate commission, community-association regulator, housing authority, or other competent authority and verify the rules for your exact duties.</w:t>
      </w:r>
    </w:p>
    <w:bookmarkEnd w:id="24"/>
    <w:bookmarkStart w:id="25" w:name="us-official-income-research"/>
    <w:p>
      <w:pPr>
        <w:pStyle w:val="Heading3"/>
      </w:pPr>
      <w:r>
        <w:t xml:space="preserve">U.S. official income research</w:t>
      </w:r>
    </w:p>
    <w:p>
      <w:pPr>
        <w:pStyle w:val="FirstParagraph"/>
      </w:pPr>
      <w:r>
        <w:t xml:space="preserve">O*NET's current national wage view, incorporating BLS 2025 data, reports a median of</w:t>
      </w:r>
      <w:r>
        <w:t xml:space="preserve"> </w:t>
      </w:r>
      <w:r>
        <w:rPr>
          <w:bCs/>
          <w:b/>
        </w:rPr>
        <w:t xml:space="preserve">$69,990 per year /</w:t>
      </w:r>
      <w:r>
        <w:rPr>
          <w:bCs/>
          <w:b/>
        </w:rPr>
        <w:t xml:space="preserve"> </w:t>
      </w:r>
      <m:oMath>
        <m:r>
          <m:t>33.65</m:t>
        </m:r>
        <m:r>
          <m:t>p</m:t>
        </m:r>
        <m:r>
          <m:t>e</m:t>
        </m:r>
        <m:r>
          <m:t>r</m:t>
        </m:r>
        <m:r>
          <m:t>h</m:t>
        </m:r>
        <m:r>
          <m:t>o</m:t>
        </m:r>
        <m:r>
          <m:t>u</m:t>
        </m:r>
        <m:r>
          <m:t>r</m:t>
        </m:r>
        <m:r>
          <m:rPr>
            <m:sty m:val="p"/>
          </m:rPr>
          <m:t>*</m:t>
        </m:r>
        <m:r>
          <m:rPr>
            <m:sty m:val="p"/>
          </m:rPr>
          <m:t>*</m:t>
        </m:r>
        <m:r>
          <m:rPr>
            <m:sty m:val="p"/>
          </m:rPr>
          <m:t>,</m:t>
        </m:r>
        <m:r>
          <m:t>w</m:t>
        </m:r>
        <m:r>
          <m:t>i</m:t>
        </m:r>
        <m:r>
          <m:t>t</m:t>
        </m:r>
        <m:r>
          <m:t>h</m:t>
        </m:r>
        <m:r>
          <m:t>a</m:t>
        </m:r>
        <m:r>
          <m:t>p</m:t>
        </m:r>
        <m:r>
          <m:t>p</m:t>
        </m:r>
        <m:r>
          <m:t>r</m:t>
        </m:r>
        <m:r>
          <m:t>o</m:t>
        </m:r>
        <m:r>
          <m:t>x</m:t>
        </m:r>
        <m:r>
          <m:t>i</m:t>
        </m:r>
        <m:r>
          <m:t>m</m:t>
        </m:r>
        <m:r>
          <m:t>a</m:t>
        </m:r>
        <m:r>
          <m:t>t</m:t>
        </m:r>
        <m:r>
          <m:t>e</m:t>
        </m:r>
        <m:r>
          <m:t>l</m:t>
        </m:r>
        <m:r>
          <m:t>y</m:t>
        </m:r>
        <m:r>
          <m:rPr>
            <m:sty m:val="p"/>
          </m:rPr>
          <m:t>*</m:t>
        </m:r>
        <m:r>
          <m:rPr>
            <m:sty m:val="p"/>
          </m:rPr>
          <m:t>*</m:t>
        </m:r>
      </m:oMath>
      <w:r>
        <w:rPr>
          <w:bCs/>
          <w:b/>
        </w:rPr>
        <w:t xml:space="preserve">41,010</w:t>
      </w:r>
      <w:r>
        <w:t xml:space="preserve"> </w:t>
      </w:r>
      <w:r>
        <w:t xml:space="preserve">at the 10th percentile and</w:t>
      </w:r>
      <w:r>
        <w:t xml:space="preserve"> </w:t>
      </w:r>
      <w:r>
        <w:rPr>
          <w:bCs/>
          <w:b/>
        </w:rPr>
        <w:t xml:space="preserve">$139,680</w:t>
      </w:r>
      <w:r>
        <w:t xml:space="preserve"> </w:t>
      </w:r>
      <w:r>
        <w:t xml:space="preserve">at the 90th percentile.</w:t>
      </w:r>
    </w:p>
    <w:p>
      <w:pPr>
        <w:pStyle w:val="BodyText"/>
      </w:pPr>
      <w:r>
        <w:t xml:space="preserve">The BLS Occupational Outlook Handbook separately reports a</w:t>
      </w:r>
      <w:r>
        <w:t xml:space="preserve"> </w:t>
      </w:r>
      <w:r>
        <w:rPr>
          <w:bCs/>
          <w:b/>
        </w:rPr>
        <w:t xml:space="preserve">May 2024 median annual wage of $66,700</w:t>
      </w:r>
      <w:r>
        <w:t xml:space="preserve">, approximately</w:t>
      </w:r>
      <w:r>
        <w:t xml:space="preserve"> </w:t>
      </w:r>
      <w:r>
        <w:rPr>
          <w:bCs/>
          <w:b/>
        </w:rPr>
        <w:t xml:space="preserve">466,100 jobs</w:t>
      </w:r>
      <w:r>
        <w:t xml:space="preserve">,</w:t>
      </w:r>
      <w:r>
        <w:t xml:space="preserve"> </w:t>
      </w:r>
      <w:r>
        <w:rPr>
          <w:bCs/>
          <w:b/>
        </w:rPr>
        <w:t xml:space="preserve">4% projected employment growth from 2024 to 2034</w:t>
      </w:r>
      <w:r>
        <w:t xml:space="preserve">, and about</w:t>
      </w:r>
      <w:r>
        <w:t xml:space="preserve"> </w:t>
      </w:r>
      <w:r>
        <w:rPr>
          <w:bCs/>
          <w:b/>
        </w:rPr>
        <w:t xml:space="preserve">39,000 openings per year</w:t>
      </w:r>
      <w:r>
        <w:t xml:space="preserve"> </w:t>
      </w:r>
      <w:r>
        <w:t xml:space="preserve">on average over that decade.</w:t>
      </w:r>
    </w:p>
    <w:p>
      <w:pPr>
        <w:pStyle w:val="BodyText"/>
      </w:pPr>
      <w:r>
        <w:t xml:space="preserve">These are occupation-level estimates, not promised earnings. Geography, portfolio size, property type, on-call obligations, licensing, bonuses, housing discounts, commissions, seniority, and employer structure can materially change compensation.</w:t>
      </w:r>
    </w:p>
    <w:bookmarkEnd w:id="25"/>
    <w:bookmarkStart w:id="26" w:name="current-non-government-us-estimates"/>
    <w:p>
      <w:pPr>
        <w:pStyle w:val="Heading3"/>
      </w:pPr>
      <w:r>
        <w:t xml:space="preserve">Current non-government U.S. estimates</w:t>
      </w:r>
    </w:p>
    <w:p>
      <w:pPr>
        <w:pStyle w:val="FirstParagraph"/>
      </w:pPr>
      <w:r>
        <w:t xml:space="preserve">Private salary platforms are useful only as supplementary market signals.</w:t>
      </w:r>
    </w:p>
    <w:p>
      <w:pPr>
        <w:numPr>
          <w:ilvl w:val="0"/>
          <w:numId w:val="1004"/>
        </w:numPr>
        <w:pStyle w:val="Compact"/>
      </w:pPr>
      <w:r>
        <w:t xml:space="preserve">Indeed reported an average base salary of approximately</w:t>
      </w:r>
      <w:r>
        <w:t xml:space="preserve"> </w:t>
      </w:r>
      <m:oMath>
        <m:r>
          <m:t>66</m:t>
        </m:r>
        <m:r>
          <m:rPr>
            <m:sty m:val="p"/>
          </m:rPr>
          <m:t>,</m:t>
        </m:r>
        <m:r>
          <m:t>189</m:t>
        </m:r>
        <m:r>
          <m:t>p</m:t>
        </m:r>
        <m:r>
          <m:t>e</m:t>
        </m:r>
        <m:r>
          <m:t>r</m:t>
        </m:r>
        <m:r>
          <m:t>y</m:t>
        </m:r>
        <m:r>
          <m:t>e</m:t>
        </m:r>
        <m:r>
          <m:t>a</m:t>
        </m:r>
        <m:r>
          <m:t>r</m:t>
        </m:r>
        <m:r>
          <m:t>f</m:t>
        </m:r>
        <m:r>
          <m:t>o</m:t>
        </m:r>
        <m:r>
          <m:t>r</m:t>
        </m:r>
        <m:r>
          <m:t>P</m:t>
        </m:r>
        <m:r>
          <m:t>r</m:t>
        </m:r>
        <m:r>
          <m:t>o</m:t>
        </m:r>
        <m:r>
          <m:t>p</m:t>
        </m:r>
        <m:r>
          <m:t>e</m:t>
        </m:r>
        <m:r>
          <m:t>r</m:t>
        </m:r>
        <m:r>
          <m:t>t</m:t>
        </m:r>
        <m:r>
          <m:t>y</m:t>
        </m:r>
        <m:r>
          <m:t>M</m:t>
        </m:r>
        <m:r>
          <m:t>a</m:t>
        </m:r>
        <m:r>
          <m:t>n</m:t>
        </m:r>
        <m:r>
          <m:t>a</m:t>
        </m:r>
        <m:r>
          <m:t>g</m:t>
        </m:r>
        <m:r>
          <m:t>e</m:t>
        </m:r>
        <m:r>
          <m:t>r</m:t>
        </m:r>
        <m:r>
          <m:rPr>
            <m:sty m:val="p"/>
          </m:rPr>
          <m:t>*</m:t>
        </m:r>
        <m:r>
          <m:rPr>
            <m:sty m:val="p"/>
          </m:rPr>
          <m:t>*</m:t>
        </m:r>
        <m:r>
          <m:rPr>
            <m:sty m:val="p"/>
          </m:rPr>
          <m:t>,</m:t>
        </m:r>
        <m:r>
          <m:t>w</m:t>
        </m:r>
        <m:r>
          <m:t>i</m:t>
        </m:r>
        <m:r>
          <m:t>t</m:t>
        </m:r>
        <m:r>
          <m:t>h</m:t>
        </m:r>
        <m:r>
          <m:t>a</m:t>
        </m:r>
        <m:r>
          <m:t>d</m:t>
        </m:r>
        <m:r>
          <m:t>i</m:t>
        </m:r>
        <m:r>
          <m:t>s</m:t>
        </m:r>
        <m:r>
          <m:t>p</m:t>
        </m:r>
        <m:r>
          <m:t>l</m:t>
        </m:r>
        <m:r>
          <m:t>a</m:t>
        </m:r>
        <m:r>
          <m:t>y</m:t>
        </m:r>
        <m:r>
          <m:t>e</m:t>
        </m:r>
        <m:r>
          <m:t>d</m:t>
        </m:r>
        <m:r>
          <m:t>r</m:t>
        </m:r>
        <m:r>
          <m:t>a</m:t>
        </m:r>
        <m:r>
          <m:t>n</m:t>
        </m:r>
        <m:r>
          <m:t>g</m:t>
        </m:r>
        <m:r>
          <m:t>e</m:t>
        </m:r>
        <m:r>
          <m:t>o</m:t>
        </m:r>
        <m:r>
          <m:t>f</m:t>
        </m:r>
        <m:r>
          <m:t>a</m:t>
        </m:r>
        <m:r>
          <m:t>b</m:t>
        </m:r>
        <m:r>
          <m:t>o</m:t>
        </m:r>
        <m:r>
          <m:t>u</m:t>
        </m:r>
        <m:r>
          <m:t>t</m:t>
        </m:r>
        <m:r>
          <m:rPr>
            <m:sty m:val="p"/>
          </m:rPr>
          <m:t>*</m:t>
        </m:r>
        <m:r>
          <m:rPr>
            <m:sty m:val="p"/>
          </m:rPr>
          <m:t>*</m:t>
        </m:r>
      </m:oMath>
      <w:r>
        <w:rPr>
          <w:bCs/>
          <w:b/>
        </w:rPr>
        <w:t xml:space="preserve">43,430 to $100,875</w:t>
      </w:r>
      <w:r>
        <w:t xml:space="preserve">, based on roughly 16.8 thousand salary observations and updated</w:t>
      </w:r>
      <w:r>
        <w:t xml:space="preserve"> </w:t>
      </w:r>
      <w:r>
        <w:rPr>
          <w:bCs/>
          <w:b/>
        </w:rPr>
        <w:t xml:space="preserve">July 20, 2026</w:t>
      </w:r>
      <w:r>
        <w:t xml:space="preserve">.</w:t>
      </w:r>
    </w:p>
    <w:p>
      <w:pPr>
        <w:numPr>
          <w:ilvl w:val="0"/>
          <w:numId w:val="1004"/>
        </w:numPr>
        <w:pStyle w:val="Compact"/>
      </w:pPr>
      <w:r>
        <w:t xml:space="preserve">ZipRecruiter reported an average of approximately</w:t>
      </w:r>
      <w:r>
        <w:t xml:space="preserve"> </w:t>
      </w:r>
      <w:r>
        <w:rPr>
          <w:bCs/>
          <w:b/>
        </w:rPr>
        <w:t xml:space="preserve">$58,335 per year /</w:t>
      </w:r>
      <w:r>
        <w:rPr>
          <w:bCs/>
          <w:b/>
        </w:rPr>
        <w:t xml:space="preserve"> </w:t>
      </w:r>
      <m:oMath>
        <m:r>
          <m:t>28.05</m:t>
        </m:r>
        <m:r>
          <m:t>p</m:t>
        </m:r>
        <m:r>
          <m:t>e</m:t>
        </m:r>
        <m:r>
          <m:t>r</m:t>
        </m:r>
        <m:r>
          <m:t>h</m:t>
        </m:r>
        <m:r>
          <m:t>o</m:t>
        </m:r>
        <m:r>
          <m:t>u</m:t>
        </m:r>
        <m:r>
          <m:t>r</m:t>
        </m:r>
        <m:r>
          <m:t>f</m:t>
        </m:r>
        <m:r>
          <m:t>o</m:t>
        </m:r>
        <m:r>
          <m:t>r</m:t>
        </m:r>
        <m:r>
          <m:t>P</m:t>
        </m:r>
        <m:r>
          <m:t>r</m:t>
        </m:r>
        <m:r>
          <m:t>o</m:t>
        </m:r>
        <m:r>
          <m:t>p</m:t>
        </m:r>
        <m:r>
          <m:t>e</m:t>
        </m:r>
        <m:r>
          <m:t>r</m:t>
        </m:r>
        <m:r>
          <m:t>t</m:t>
        </m:r>
        <m:r>
          <m:t>y</m:t>
        </m:r>
        <m:r>
          <m:t>M</m:t>
        </m:r>
        <m:r>
          <m:t>a</m:t>
        </m:r>
        <m:r>
          <m:t>n</m:t>
        </m:r>
        <m:r>
          <m:t>a</m:t>
        </m:r>
        <m:r>
          <m:t>g</m:t>
        </m:r>
        <m:r>
          <m:t>e</m:t>
        </m:r>
        <m:r>
          <m:t>r</m:t>
        </m:r>
        <m:r>
          <m:rPr>
            <m:sty m:val="p"/>
          </m:rPr>
          <m:t>*</m:t>
        </m:r>
        <m:r>
          <m:rPr>
            <m:sty m:val="p"/>
          </m:rPr>
          <m:t>*</m:t>
        </m:r>
        <m:r>
          <m:t>a</m:t>
        </m:r>
        <m:r>
          <m:t>s</m:t>
        </m:r>
        <m:r>
          <m:t>o</m:t>
        </m:r>
        <m:r>
          <m:t>f</m:t>
        </m:r>
        <m:r>
          <m:rPr>
            <m:sty m:val="p"/>
          </m:rPr>
          <m:t>*</m:t>
        </m:r>
        <m:r>
          <m:rPr>
            <m:sty m:val="p"/>
          </m:rPr>
          <m:t>*</m:t>
        </m:r>
        <m:r>
          <m:t>J</m:t>
        </m:r>
        <m:r>
          <m:t>u</m:t>
        </m:r>
        <m:r>
          <m:t>l</m:t>
        </m:r>
        <m:r>
          <m:t>y</m:t>
        </m:r>
        <m:r>
          <m:t>19</m:t>
        </m:r>
        <m:r>
          <m:rPr>
            <m:sty m:val="p"/>
          </m:rPr>
          <m:t>,</m:t>
        </m:r>
        <m:r>
          <m:t>2026</m:t>
        </m:r>
        <m:r>
          <m:rPr>
            <m:sty m:val="p"/>
          </m:rPr>
          <m:t>*</m:t>
        </m:r>
        <m:r>
          <m:rPr>
            <m:sty m:val="p"/>
          </m:rPr>
          <m:t>*</m:t>
        </m:r>
        <m:r>
          <m:rPr>
            <m:sty m:val="p"/>
          </m:rPr>
          <m:t>,</m:t>
        </m:r>
        <m:r>
          <m:t>w</m:t>
        </m:r>
        <m:r>
          <m:t>i</m:t>
        </m:r>
        <m:r>
          <m:t>t</m:t>
        </m:r>
        <m:r>
          <m:t>h</m:t>
        </m:r>
        <m:r>
          <m:t>a</m:t>
        </m:r>
        <m:r>
          <m:t>d</m:t>
        </m:r>
        <m:r>
          <m:t>i</m:t>
        </m:r>
        <m:r>
          <m:t>s</m:t>
        </m:r>
        <m:r>
          <m:t>p</m:t>
        </m:r>
        <m:r>
          <m:t>l</m:t>
        </m:r>
        <m:r>
          <m:t>a</m:t>
        </m:r>
        <m:r>
          <m:t>y</m:t>
        </m:r>
        <m:r>
          <m:t>e</m:t>
        </m:r>
        <m:r>
          <m:t>d</m:t>
        </m:r>
        <m:r>
          <m:t>m</m:t>
        </m:r>
        <m:r>
          <m:t>a</m:t>
        </m:r>
        <m:r>
          <m:t>j</m:t>
        </m:r>
        <m:r>
          <m:t>o</m:t>
        </m:r>
        <m:r>
          <m:t>r</m:t>
        </m:r>
        <m:r>
          <m:t>i</m:t>
        </m:r>
        <m:r>
          <m:t>t</m:t>
        </m:r>
        <m:r>
          <m:t>y</m:t>
        </m:r>
        <m:r>
          <m:t>r</m:t>
        </m:r>
        <m:r>
          <m:t>a</m:t>
        </m:r>
        <m:r>
          <m:t>n</m:t>
        </m:r>
        <m:r>
          <m:t>g</m:t>
        </m:r>
        <m:r>
          <m:t>e</m:t>
        </m:r>
        <m:r>
          <m:t>o</m:t>
        </m:r>
        <m:r>
          <m:t>f</m:t>
        </m:r>
        <m:r>
          <m:t>r</m:t>
        </m:r>
        <m:r>
          <m:t>o</m:t>
        </m:r>
        <m:r>
          <m:t>u</m:t>
        </m:r>
        <m:r>
          <m:t>g</m:t>
        </m:r>
        <m:r>
          <m:t>h</m:t>
        </m:r>
        <m:r>
          <m:t>l</m:t>
        </m:r>
        <m:r>
          <m:t>y</m:t>
        </m:r>
        <m:r>
          <m:rPr>
            <m:sty m:val="p"/>
          </m:rPr>
          <m:t>*</m:t>
        </m:r>
        <m:r>
          <m:rPr>
            <m:sty m:val="p"/>
          </m:rPr>
          <m:t>*</m:t>
        </m:r>
      </m:oMath>
      <w:r>
        <w:rPr>
          <w:bCs/>
          <w:b/>
        </w:rPr>
        <w:t xml:space="preserve">44,000 to</w:t>
      </w:r>
      <w:r>
        <w:rPr>
          <w:bCs/>
          <w:b/>
        </w:rPr>
        <w:t xml:space="preserve"> </w:t>
      </w:r>
      <m:oMath>
        <m:r>
          <m:t>68</m:t>
        </m:r>
        <m:r>
          <m:rPr>
            <m:sty m:val="p"/>
          </m:rPr>
          <m:t>,</m:t>
        </m:r>
        <m:r>
          <m:t>000</m:t>
        </m:r>
        <m:r>
          <m:rPr>
            <m:sty m:val="p"/>
          </m:rPr>
          <m:t>*</m:t>
        </m:r>
        <m:r>
          <m:rPr>
            <m:sty m:val="p"/>
          </m:rPr>
          <m:t>*</m:t>
        </m:r>
        <m:r>
          <m:t>a</m:t>
        </m:r>
        <m:r>
          <m:t>n</m:t>
        </m:r>
        <m:r>
          <m:t>d</m:t>
        </m:r>
        <m:r>
          <m:t>t</m:t>
        </m:r>
        <m:r>
          <m:t>o</m:t>
        </m:r>
        <m:r>
          <m:t>p</m:t>
        </m:r>
        <m:r>
          <m:t>e</m:t>
        </m:r>
        <m:r>
          <m:t>a</m:t>
        </m:r>
        <m:r>
          <m:t>r</m:t>
        </m:r>
        <m:r>
          <m:t>n</m:t>
        </m:r>
        <m:r>
          <m:t>e</m:t>
        </m:r>
        <m:r>
          <m:t>r</m:t>
        </m:r>
        <m:r>
          <m:t>s</m:t>
        </m:r>
        <m:r>
          <m:t>a</m:t>
        </m:r>
        <m:r>
          <m:t>r</m:t>
        </m:r>
        <m:r>
          <m:t>o</m:t>
        </m:r>
        <m:r>
          <m:t>u</m:t>
        </m:r>
        <m:r>
          <m:t>n</m:t>
        </m:r>
        <m:r>
          <m:t>d</m:t>
        </m:r>
        <m:r>
          <m:rPr>
            <m:sty m:val="p"/>
          </m:rPr>
          <m:t>*</m:t>
        </m:r>
        <m:r>
          <m:rPr>
            <m:sty m:val="p"/>
          </m:rPr>
          <m:t>*</m:t>
        </m:r>
      </m:oMath>
      <w:r>
        <w:rPr>
          <w:bCs/>
          <w:b/>
        </w:rPr>
        <w:t xml:space="preserve">83,500</w:t>
      </w:r>
      <w:r>
        <w:t xml:space="preserve">.</w:t>
      </w:r>
    </w:p>
    <w:p>
      <w:pPr>
        <w:pStyle w:val="FirstParagraph"/>
      </w:pPr>
      <w:r>
        <w:t xml:space="preserve">Do not average these private figures with government data. Their titles, samples, geography, employer mix, and methods differ. Compare local postings, total compensation, housing discounts, bonuses, and required on-call coverage before making a financial decision.</w:t>
      </w:r>
    </w:p>
    <w:bookmarkEnd w:id="26"/>
    <w:bookmarkEnd w:id="27"/>
    <w:bookmarkStart w:id="28" w:name="Xe4c7498f599aa89843cf8298b7894f89653a2fb"/>
    <w:p>
      <w:pPr>
        <w:pStyle w:val="Heading2"/>
      </w:pPr>
      <w:r>
        <w:t xml:space="preserve">4. Fair housing and equal service in the United States</w:t>
      </w:r>
    </w:p>
    <w:p>
      <w:pPr>
        <w:pStyle w:val="FirstParagraph"/>
      </w:pPr>
      <w:r>
        <w:t xml:space="preserve">The federal Fair Housing Act prohibits housing discrimination because of race, color, national origin, religion, sex, familial status, or disability. State and local laws may protect additional groups.</w:t>
      </w:r>
    </w:p>
    <w:p>
      <w:pPr>
        <w:pStyle w:val="BodyText"/>
      </w:pPr>
      <w:r>
        <w:t xml:space="preserve">Property and community-association managers should use consistent, approved procedures for advertising, inquiries, leasing, screening, fees, rule enforcement, maintenance, amenity access, accommodations, communications, and complaints. Do not invent different standards for different applicants, tenants, residents, or owners based on protected characteristics.</w:t>
      </w:r>
    </w:p>
    <w:p>
      <w:pPr>
        <w:pStyle w:val="BodyText"/>
      </w:pPr>
      <w:r>
        <w:t xml:space="preserve">Disability-related requests can require careful handling. Follow the organization's accommodation and modification procedures, avoid assumptions about a person's needs, document facts accurately, and escalate questions that require legal interpretation.</w:t>
      </w:r>
    </w:p>
    <w:p>
      <w:pPr>
        <w:pStyle w:val="BodyText"/>
      </w:pPr>
      <w:r>
        <w:t xml:space="preserve">Fair-housing compliance is an operational discipline: written criteria, trained staff, consistent records, approved notices, controlled access to sensitive information, and documented escalation reduce both discrimination risk and customer harm.</w:t>
      </w:r>
    </w:p>
    <w:bookmarkEnd w:id="28"/>
    <w:bookmarkStart w:id="29" w:name="Xee009780b03593087896ab3b75c1e24b54509fa"/>
    <w:p>
      <w:pPr>
        <w:pStyle w:val="Heading2"/>
      </w:pPr>
      <w:r>
        <w:t xml:space="preserve">5. Funding, free and lower-cost learning in the United States</w:t>
      </w:r>
    </w:p>
    <w:p>
      <w:pPr>
        <w:pStyle w:val="FirstParagraph"/>
      </w:pPr>
      <w:r>
        <w:t xml:space="preserve">Before paying for an expensive property-management program, compare public, employer-sponsored, and lower-cost options.</w:t>
      </w:r>
    </w:p>
    <w:p>
      <w:pPr>
        <w:pStyle w:val="BodyText"/>
      </w:pPr>
      <w:r>
        <w:t xml:space="preserve">CareerOneStop and American Job Centers can help eligible learners identify Workforce Innovation and Opportunity Act (WIOA) services and approved training providers. A local workforce program may support training in property operations, facilities, bookkeeping, customer service, business administration, or related areas, but eligibility is individual and a funded course does not automatically satisfy licensing rules.</w:t>
      </w:r>
    </w:p>
    <w:p>
      <w:pPr>
        <w:pStyle w:val="BodyText"/>
      </w:pPr>
      <w:r>
        <w:t xml:space="preserve">Useful cost-control steps include:</w:t>
      </w:r>
    </w:p>
    <w:p>
      <w:pPr>
        <w:numPr>
          <w:ilvl w:val="0"/>
          <w:numId w:val="1005"/>
        </w:numPr>
        <w:pStyle w:val="Compact"/>
      </w:pPr>
      <w:r>
        <w:t xml:space="preserve">Verify whether your target duties require a state licence or credential before buying training.</w:t>
      </w:r>
    </w:p>
    <w:p>
      <w:pPr>
        <w:numPr>
          <w:ilvl w:val="0"/>
          <w:numId w:val="1005"/>
        </w:numPr>
        <w:pStyle w:val="Compact"/>
      </w:pPr>
      <w:r>
        <w:t xml:space="preserve">Ask an American Job Center whether you qualify for WIOA or other public workforce funding.</w:t>
      </w:r>
    </w:p>
    <w:p>
      <w:pPr>
        <w:numPr>
          <w:ilvl w:val="0"/>
          <w:numId w:val="1005"/>
        </w:numPr>
        <w:pStyle w:val="Compact"/>
      </w:pPr>
      <w:r>
        <w:t xml:space="preserve">Ask employers whether they pay for onboarding, software, fair-housing, facilities, bookkeeping, safety, community-association, or licence preparation.</w:t>
      </w:r>
    </w:p>
    <w:p>
      <w:pPr>
        <w:numPr>
          <w:ilvl w:val="0"/>
          <w:numId w:val="1005"/>
        </w:numPr>
        <w:pStyle w:val="Compact"/>
      </w:pPr>
      <w:r>
        <w:t xml:space="preserve">Search Apprenticeship.gov for current work-based-learning opportunities in facilities, maintenance, housing, administration, customer service, or related occupations. Do not assume a dedicated property-manager apprenticeship exists locally.</w:t>
      </w:r>
    </w:p>
    <w:p>
      <w:pPr>
        <w:numPr>
          <w:ilvl w:val="0"/>
          <w:numId w:val="1005"/>
        </w:numPr>
        <w:pStyle w:val="Compact"/>
      </w:pPr>
      <w:r>
        <w:t xml:space="preserve">Compare community-college, public-library, regulator, housing-agency, and employer training before commercial bootcamps.</w:t>
      </w:r>
    </w:p>
    <w:p>
      <w:pPr>
        <w:numPr>
          <w:ilvl w:val="0"/>
          <w:numId w:val="1005"/>
        </w:numPr>
        <w:pStyle w:val="Compact"/>
      </w:pPr>
      <w:r>
        <w:t xml:space="preserve">Get tuition-reimbursement and repayment obligations in writing before enrolling.</w:t>
      </w:r>
    </w:p>
    <w:bookmarkEnd w:id="29"/>
    <w:bookmarkStart w:id="32" w:name="Xd2e339932172c6b0ca115d66b1e9653a3597247"/>
    <w:p>
      <w:pPr>
        <w:pStyle w:val="Heading2"/>
      </w:pPr>
      <w:r>
        <w:t xml:space="preserve">6. Canada pathway</w:t>
      </w:r>
    </w:p>
    <w:p>
      <w:pPr>
        <w:pStyle w:val="FirstParagraph"/>
      </w:pPr>
      <w:r>
        <w:t xml:space="preserve">Government of Canada Job Bank maps practical residential property-administration and residential-property-manager work to</w:t>
      </w:r>
      <w:r>
        <w:t xml:space="preserve"> </w:t>
      </w:r>
      <w:r>
        <w:rPr>
          <w:bCs/>
          <w:b/>
        </w:rPr>
        <w:t xml:space="preserve">NOC 13101</w:t>
      </w:r>
      <w:r>
        <w:t xml:space="preserve">. Secondary education is commonly required; property, strata, or real-estate training may be required; and several years of administrative experience may be expected.</w:t>
      </w:r>
    </w:p>
    <w:p>
      <w:pPr>
        <w:pStyle w:val="BodyText"/>
      </w:pPr>
      <w:r>
        <w:t xml:space="preserve">Job Bank specifically notes that</w:t>
      </w:r>
      <w:r>
        <w:t xml:space="preserve"> </w:t>
      </w:r>
      <w:r>
        <w:rPr>
          <w:bCs/>
          <w:b/>
        </w:rPr>
        <w:t xml:space="preserve">strata property managers require a licence in British Columbia</w:t>
      </w:r>
      <w:r>
        <w:t xml:space="preserve">. Other provinces and territories can have different rules for condominium, strata, real-estate, trust-account, tenancy, or management activities.</w:t>
      </w:r>
    </w:p>
    <w:p>
      <w:pPr>
        <w:pStyle w:val="BodyText"/>
      </w:pPr>
      <w:r>
        <w:t xml:space="preserve">Do not rely on the NOC title alone. Verify the actual duties, province or territory, regulator, employer requirements, trust-account responsibilities, and whether a different NOC better fits a senior management role.</w:t>
      </w:r>
    </w:p>
    <w:bookmarkStart w:id="30" w:name="canadian-income-research"/>
    <w:p>
      <w:pPr>
        <w:pStyle w:val="Heading3"/>
      </w:pPr>
      <w:r>
        <w:t xml:space="preserve">Canadian income research</w:t>
      </w:r>
    </w:p>
    <w:p>
      <w:pPr>
        <w:pStyle w:val="FirstParagraph"/>
      </w:pPr>
      <w:r>
        <w:t xml:space="preserve">Job Bank currently displays national wages of approximately</w:t>
      </w:r>
      <w:r>
        <w:t xml:space="preserve"> </w:t>
      </w:r>
      <w:r>
        <w:rPr>
          <w:bCs/>
          <w:b/>
        </w:rPr>
        <w:t xml:space="preserve">CAD $18.46 per hour low, CAD $31.25 median, and CAD $56.41 high</w:t>
      </w:r>
      <w:r>
        <w:t xml:space="preserve"> </w:t>
      </w:r>
      <w:r>
        <w:t xml:space="preserve">for the NOC 13101 pathway, with the wage page updated</w:t>
      </w:r>
      <w:r>
        <w:t xml:space="preserve"> </w:t>
      </w:r>
      <w:r>
        <w:rPr>
          <w:bCs/>
          <w:b/>
        </w:rPr>
        <w:t xml:space="preserve">November 19, 2025</w:t>
      </w:r>
      <w:r>
        <w:t xml:space="preserve">.</w:t>
      </w:r>
    </w:p>
    <w:p>
      <w:pPr>
        <w:pStyle w:val="BodyText"/>
      </w:pPr>
      <w:r>
        <w:t xml:space="preserve">Treat this as occupational context rather than a personal income forecast. Local housing markets, portfolio size, province, property type, licensing, union coverage, benefits, and seniority affect actual compensation.</w:t>
      </w:r>
    </w:p>
    <w:bookmarkEnd w:id="30"/>
    <w:bookmarkStart w:id="31" w:name="canada-cost-control-strategy"/>
    <w:p>
      <w:pPr>
        <w:pStyle w:val="Heading3"/>
      </w:pPr>
      <w:r>
        <w:t xml:space="preserve">Canada cost-control strategy</w:t>
      </w:r>
    </w:p>
    <w:p>
      <w:pPr>
        <w:pStyle w:val="FirstParagraph"/>
      </w:pPr>
      <w:r>
        <w:t xml:space="preserve">Before purchasing a private credential, check provincial employment services, public colleges, employer training, regulator-approved programs, grants, scholarships, student aid, and work-based learning. If a course claims to satisfy a legal requirement, verify that claim directly with the competent provincial or territorial authority.</w:t>
      </w:r>
    </w:p>
    <w:bookmarkEnd w:id="31"/>
    <w:bookmarkEnd w:id="32"/>
    <w:bookmarkStart w:id="34" w:name="X3a49792b541fbe8d8e669430b81036b2947302c"/>
    <w:p>
      <w:pPr>
        <w:pStyle w:val="Heading2"/>
      </w:pPr>
      <w:r>
        <w:t xml:space="preserve">7. Colombia pathway — propiedad horizontal</w:t>
      </w:r>
    </w:p>
    <w:p>
      <w:pPr>
        <w:pStyle w:val="FirstParagraph"/>
      </w:pPr>
      <w:r>
        <w:t xml:space="preserve">Colombia's</w:t>
      </w:r>
      <w:r>
        <w:t xml:space="preserve"> </w:t>
      </w:r>
      <w:r>
        <w:rPr>
          <w:bCs/>
          <w:b/>
        </w:rPr>
        <w:t xml:space="preserve">Ley 675 de 2001</w:t>
      </w:r>
      <w:r>
        <w:t xml:space="preserve"> </w:t>
      </w:r>
      <w:r>
        <w:t xml:space="preserve">governs the régimen de propiedad horizontal. It establishes governance and administration responsibilities among the assembly of owners, the council or board where applicable, and the administrator.</w:t>
      </w:r>
    </w:p>
    <w:p>
      <w:pPr>
        <w:pStyle w:val="BodyText"/>
      </w:pPr>
      <w:r>
        <w:t xml:space="preserve">An administrator's authority comes from applicable law, the property's governing documents, valid decisions of the competent bodies, and the specific appointment or contract. The title does not create unlimited authority.</w:t>
      </w:r>
    </w:p>
    <w:p>
      <w:pPr>
        <w:pStyle w:val="BodyText"/>
      </w:pPr>
      <w:r>
        <w:t xml:space="preserve">A property-horizontal administrator should not present themselves as automatically authorized to perform:</w:t>
      </w:r>
    </w:p>
    <w:p>
      <w:pPr>
        <w:numPr>
          <w:ilvl w:val="0"/>
          <w:numId w:val="1006"/>
        </w:numPr>
        <w:pStyle w:val="Compact"/>
      </w:pPr>
      <w:r>
        <w:t xml:space="preserve">real-estate brokerage or commercial intermediation beyond applicable rules;</w:t>
      </w:r>
    </w:p>
    <w:p>
      <w:pPr>
        <w:numPr>
          <w:ilvl w:val="0"/>
          <w:numId w:val="1006"/>
        </w:numPr>
        <w:pStyle w:val="Compact"/>
      </w:pPr>
      <w:r>
        <w:t xml:space="preserve">legal representation or legal advice outside permitted functions;</w:t>
      </w:r>
    </w:p>
    <w:p>
      <w:pPr>
        <w:numPr>
          <w:ilvl w:val="0"/>
          <w:numId w:val="1006"/>
        </w:numPr>
        <w:pStyle w:val="Compact"/>
      </w:pPr>
      <w:r>
        <w:t xml:space="preserve">public-notary or land-registry functions;</w:t>
      </w:r>
    </w:p>
    <w:p>
      <w:pPr>
        <w:numPr>
          <w:ilvl w:val="0"/>
          <w:numId w:val="1006"/>
        </w:numPr>
        <w:pStyle w:val="Compact"/>
      </w:pPr>
      <w:r>
        <w:t xml:space="preserve">independent accounting, audit, or tax practice requiring separate qualifications;</w:t>
      </w:r>
    </w:p>
    <w:p>
      <w:pPr>
        <w:numPr>
          <w:ilvl w:val="0"/>
          <w:numId w:val="1006"/>
        </w:numPr>
        <w:pStyle w:val="Compact"/>
      </w:pPr>
      <w:r>
        <w:t xml:space="preserve">licensed engineering, electrical, gas, elevator, structural, fire-safety, occupational-safety, or other technical work;</w:t>
      </w:r>
    </w:p>
    <w:p>
      <w:pPr>
        <w:numPr>
          <w:ilvl w:val="0"/>
          <w:numId w:val="1006"/>
        </w:numPr>
        <w:pStyle w:val="Compact"/>
      </w:pPr>
      <w:r>
        <w:t xml:space="preserve">banking, insurance, investment, or fiduciary functions outside assigned authority.</w:t>
      </w:r>
    </w:p>
    <w:p>
      <w:pPr>
        <w:pStyle w:val="FirstParagraph"/>
      </w:pPr>
      <w:r>
        <w:t xml:space="preserve">Before accepting a role, verify the current law, building regulations, appointment documents, insurance expectations, contracts, municipal rules, data-protection requirements, occupational-safety obligations, and authority for financial transactions.</w:t>
      </w:r>
    </w:p>
    <w:bookmarkStart w:id="33" w:name="free-and-low-cost-colombia-pathways"/>
    <w:p>
      <w:pPr>
        <w:pStyle w:val="Heading3"/>
      </w:pPr>
      <w:r>
        <w:t xml:space="preserve">Free and low-cost Colombia pathways</w:t>
      </w:r>
    </w:p>
    <w:p>
      <w:pPr>
        <w:pStyle w:val="FirstParagraph"/>
      </w:pPr>
      <w:r>
        <w:t xml:space="preserve">SENA is a primary public skills and employment source. Its</w:t>
      </w:r>
      <w:r>
        <w:t xml:space="preserve"> </w:t>
      </w:r>
      <w:r>
        <w:rPr>
          <w:bCs/>
          <w:b/>
        </w:rPr>
        <w:t xml:space="preserve">Agencia Pública de Empleo (APE)</w:t>
      </w:r>
      <w:r>
        <w:t xml:space="preserve"> </w:t>
      </w:r>
      <w:r>
        <w:t xml:space="preserve">provides free employment services and current vacancies can help learners understand employer demand for property-horizontal administrators.</w:t>
      </w:r>
    </w:p>
    <w:p>
      <w:pPr>
        <w:pStyle w:val="BodyText"/>
      </w:pPr>
      <w:r>
        <w:t xml:space="preserve">Current vacancy examples reviewed during this controlled revision included resident/customer service, collection of administration fees under applicable rules, supervision of security, maintenance and cleaning services, coordination of contracts, meeting support, property-horizontal programs, and inventory control. These are labor-market examples, not a universal legal scope of practice.</w:t>
      </w:r>
    </w:p>
    <w:p>
      <w:pPr>
        <w:pStyle w:val="BodyText"/>
      </w:pPr>
      <w:r>
        <w:t xml:space="preserve">Use</w:t>
      </w:r>
      <w:r>
        <w:t xml:space="preserve"> </w:t>
      </w:r>
      <w:r>
        <w:rPr>
          <w:bCs/>
          <w:b/>
        </w:rPr>
        <w:t xml:space="preserve">SENA / Betowa</w:t>
      </w:r>
      <w:r>
        <w:t xml:space="preserve"> </w:t>
      </w:r>
      <w:r>
        <w:t xml:space="preserve">to search current offerings in administration, bookkeeping, Excel, customer service, records management, conflict management, facilities support, digital skills, occupational safety, and related areas. No current dedicated SENA/Betowa course titled specifically for property-horizontal administration was verified during this research session, so do not pay or plan around an assumed offering without rechecking current availability.</w:t>
      </w:r>
    </w:p>
    <w:bookmarkEnd w:id="33"/>
    <w:bookmarkEnd w:id="34"/>
    <w:bookmarkStart w:id="35" w:name="Xf6f908a155c058a19b013751136dddbd11d021c"/>
    <w:p>
      <w:pPr>
        <w:pStyle w:val="Heading2"/>
      </w:pPr>
      <w:r>
        <w:t xml:space="preserve">8. Other Latin American pathways</w:t>
      </w:r>
    </w:p>
    <w:p>
      <w:pPr>
        <w:pStyle w:val="FirstParagraph"/>
      </w:pPr>
      <w:r>
        <w:t xml:space="preserve">Condominium, co-ownership, horizontal-property, tenancy, consumer, labor, tax, privacy, fire-safety, building, and real-estate rules differ across Latin America. A Colombian property-horizontal appointment does not automatically authorize work in Mexico, Brazil, Chile, Peru, Argentina, Central America, or another jurisdiction.</w:t>
      </w:r>
    </w:p>
    <w:p>
      <w:pPr>
        <w:pStyle w:val="BodyText"/>
      </w:pPr>
      <w:r>
        <w:t xml:space="preserve">Before paying for training or accepting responsibility in another country:</w:t>
      </w:r>
    </w:p>
    <w:p>
      <w:pPr>
        <w:numPr>
          <w:ilvl w:val="0"/>
          <w:numId w:val="1007"/>
        </w:numPr>
        <w:pStyle w:val="Compact"/>
      </w:pPr>
      <w:r>
        <w:t xml:space="preserve">Identify the competent condominium, property, housing, real-estate, labor, tax, privacy, safety, and municipal authorities.</w:t>
      </w:r>
    </w:p>
    <w:p>
      <w:pPr>
        <w:numPr>
          <w:ilvl w:val="0"/>
          <w:numId w:val="1007"/>
        </w:numPr>
        <w:pStyle w:val="Compact"/>
      </w:pPr>
      <w:r>
        <w:t xml:space="preserve">Verify whether the role or any duty requires registration, licensing, insurance, bonding, or supervised practice.</w:t>
      </w:r>
    </w:p>
    <w:p>
      <w:pPr>
        <w:numPr>
          <w:ilvl w:val="0"/>
          <w:numId w:val="1007"/>
        </w:numPr>
        <w:pStyle w:val="Compact"/>
      </w:pPr>
      <w:r>
        <w:t xml:space="preserve">Check the governing documents and legal personality of the property or association.</w:t>
      </w:r>
    </w:p>
    <w:p>
      <w:pPr>
        <w:numPr>
          <w:ilvl w:val="0"/>
          <w:numId w:val="1007"/>
        </w:numPr>
        <w:pStyle w:val="Compact"/>
      </w:pPr>
      <w:r>
        <w:t xml:space="preserve">Confirm how client, resident, owner, and employee money must be handled.</w:t>
      </w:r>
    </w:p>
    <w:p>
      <w:pPr>
        <w:numPr>
          <w:ilvl w:val="0"/>
          <w:numId w:val="1007"/>
        </w:numPr>
        <w:pStyle w:val="Compact"/>
      </w:pPr>
      <w:r>
        <w:t xml:space="preserve">Verify building, fire, elevator, pool, electrical, gas, occupational-safety, and other technical obligations through authorized specialists.</w:t>
      </w:r>
    </w:p>
    <w:p>
      <w:pPr>
        <w:numPr>
          <w:ilvl w:val="0"/>
          <w:numId w:val="1007"/>
        </w:numPr>
        <w:pStyle w:val="Compact"/>
      </w:pPr>
      <w:r>
        <w:t xml:space="preserve">Prefer public vocational institutions, universities, national employment services, official scholarship programs, and employer training before expensive private programs.</w:t>
      </w:r>
    </w:p>
    <w:p>
      <w:pPr>
        <w:pStyle w:val="FirstParagraph"/>
      </w:pPr>
      <w:r>
        <w:t xml:space="preserve">Treat claims of a single "Latin American property-management certification" cautiously unless the provider identifies the exact jurisdictions and legal recognition.</w:t>
      </w:r>
    </w:p>
    <w:bookmarkEnd w:id="35"/>
    <w:bookmarkStart w:id="42" w:name="Xd30eb24b5cb403b52bea6c0a824a6b9e1a3b523"/>
    <w:p>
      <w:pPr>
        <w:pStyle w:val="Heading2"/>
      </w:pPr>
      <w:r>
        <w:t xml:space="preserve">9. A practical 12-week entry plan</w:t>
      </w:r>
    </w:p>
    <w:bookmarkStart w:id="36" w:name="weeks-12-map-the-role-and-legal-boundary"/>
    <w:p>
      <w:pPr>
        <w:pStyle w:val="Heading3"/>
      </w:pPr>
      <w:r>
        <w:t xml:space="preserve">Weeks 1–2: Map the role and legal boundary</w:t>
      </w:r>
    </w:p>
    <w:p>
      <w:pPr>
        <w:pStyle w:val="FirstParagraph"/>
      </w:pPr>
      <w:r>
        <w:t xml:space="preserve">Choose the country, state/province, and municipality where you want to work. Identify whether the role is residential, commercial, association, public housing, student housing, senior living, or another property type. Determine which duties require a licence, credential, board authorization, licensed contractor, lawyer, accountant, or other specialist.</w:t>
      </w:r>
    </w:p>
    <w:bookmarkEnd w:id="36"/>
    <w:bookmarkStart w:id="37" w:name="X442c0bbe12d7962ffe49078589c8a6d92b1991c"/>
    <w:p>
      <w:pPr>
        <w:pStyle w:val="Heading3"/>
      </w:pPr>
      <w:r>
        <w:t xml:space="preserve">Weeks 3–4: Build records and service skills</w:t>
      </w:r>
    </w:p>
    <w:p>
      <w:pPr>
        <w:pStyle w:val="FirstParagraph"/>
      </w:pPr>
      <w:r>
        <w:t xml:space="preserve">Practice professional email, phone, meeting, and complaint communication. Learn a work-order system, spreadsheet, or simple property-management software sandbox. Create a records checklist for leases, contracts, invoices, certificates, incidents, vendor files, and resident communications.</w:t>
      </w:r>
    </w:p>
    <w:bookmarkEnd w:id="37"/>
    <w:bookmarkStart w:id="38" w:name="X88758ca61bf80678fa2483e5b6f9ad5f98d3a68"/>
    <w:p>
      <w:pPr>
        <w:pStyle w:val="Heading3"/>
      </w:pPr>
      <w:r>
        <w:t xml:space="preserve">Weeks 5–6: Learn operational finance safely</w:t>
      </w:r>
    </w:p>
    <w:p>
      <w:pPr>
        <w:pStyle w:val="FirstParagraph"/>
      </w:pPr>
      <w:r>
        <w:t xml:space="preserve">Practice a fictional monthly operating report using a simple budget, invoices, receivables, variance explanations, and vendor payments. Learn the difference between bookkeeping support and professional accounting, tax, audit, or fiduciary authority. Never use real resident or employer financial data in a training portfolio.</w:t>
      </w:r>
    </w:p>
    <w:bookmarkEnd w:id="38"/>
    <w:bookmarkStart w:id="39" w:name="weeks-78-build-a-privacy-safe-portfolio"/>
    <w:p>
      <w:pPr>
        <w:pStyle w:val="Heading3"/>
      </w:pPr>
      <w:r>
        <w:t xml:space="preserve">Weeks 7–8: Build a privacy-safe portfolio</w:t>
      </w:r>
    </w:p>
    <w:p>
      <w:pPr>
        <w:pStyle w:val="FirstParagraph"/>
      </w:pPr>
      <w:r>
        <w:t xml:space="preserve">Create fictional samples such as:</w:t>
      </w:r>
    </w:p>
    <w:p>
      <w:pPr>
        <w:numPr>
          <w:ilvl w:val="0"/>
          <w:numId w:val="1008"/>
        </w:numPr>
        <w:pStyle w:val="Compact"/>
      </w:pPr>
      <w:r>
        <w:t xml:space="preserve">a preventive-maintenance calendar;</w:t>
      </w:r>
    </w:p>
    <w:p>
      <w:pPr>
        <w:numPr>
          <w:ilvl w:val="0"/>
          <w:numId w:val="1008"/>
        </w:numPr>
        <w:pStyle w:val="Compact"/>
      </w:pPr>
      <w:r>
        <w:t xml:space="preserve">a vendor onboarding checklist;</w:t>
      </w:r>
    </w:p>
    <w:p>
      <w:pPr>
        <w:numPr>
          <w:ilvl w:val="0"/>
          <w:numId w:val="1008"/>
        </w:numPr>
        <w:pStyle w:val="Compact"/>
      </w:pPr>
      <w:r>
        <w:t xml:space="preserve">a resident-service escalation matrix;</w:t>
      </w:r>
    </w:p>
    <w:p>
      <w:pPr>
        <w:numPr>
          <w:ilvl w:val="0"/>
          <w:numId w:val="1008"/>
        </w:numPr>
        <w:pStyle w:val="Compact"/>
      </w:pPr>
      <w:r>
        <w:t xml:space="preserve">a monthly property dashboard;</w:t>
      </w:r>
    </w:p>
    <w:p>
      <w:pPr>
        <w:numPr>
          <w:ilvl w:val="0"/>
          <w:numId w:val="1008"/>
        </w:numPr>
        <w:pStyle w:val="Compact"/>
      </w:pPr>
      <w:r>
        <w:t xml:space="preserve">a board-meeting action tracker;</w:t>
      </w:r>
    </w:p>
    <w:p>
      <w:pPr>
        <w:numPr>
          <w:ilvl w:val="0"/>
          <w:numId w:val="1008"/>
        </w:numPr>
        <w:pStyle w:val="Compact"/>
      </w:pPr>
      <w:r>
        <w:t xml:space="preserve">a move-in or move-out checklist;</w:t>
      </w:r>
    </w:p>
    <w:p>
      <w:pPr>
        <w:numPr>
          <w:ilvl w:val="0"/>
          <w:numId w:val="1008"/>
        </w:numPr>
        <w:pStyle w:val="Compact"/>
      </w:pPr>
      <w:r>
        <w:t xml:space="preserve">an accessibility-aware resident communication template;</w:t>
      </w:r>
    </w:p>
    <w:p>
      <w:pPr>
        <w:numPr>
          <w:ilvl w:val="0"/>
          <w:numId w:val="1008"/>
        </w:numPr>
        <w:pStyle w:val="Compact"/>
      </w:pPr>
      <w:r>
        <w:t xml:space="preserve">a fair-housing consistency checklist for U.S. roles;</w:t>
      </w:r>
    </w:p>
    <w:p>
      <w:pPr>
        <w:numPr>
          <w:ilvl w:val="0"/>
          <w:numId w:val="1008"/>
        </w:numPr>
        <w:pStyle w:val="Compact"/>
      </w:pPr>
      <w:r>
        <w:t xml:space="preserve">an incident-report template focused on facts rather than conclusions.</w:t>
      </w:r>
    </w:p>
    <w:p>
      <w:pPr>
        <w:pStyle w:val="FirstParagraph"/>
      </w:pPr>
      <w:r>
        <w:t xml:space="preserve">Label samples as practice work.</w:t>
      </w:r>
    </w:p>
    <w:bookmarkEnd w:id="39"/>
    <w:bookmarkStart w:id="40" w:name="Xdc4ccb651fceaa8ca79313d348180b3c42be5fd"/>
    <w:p>
      <w:pPr>
        <w:pStyle w:val="Heading3"/>
      </w:pPr>
      <w:r>
        <w:t xml:space="preserve">Weeks 9–10: Verify funding and employer support</w:t>
      </w:r>
    </w:p>
    <w:p>
      <w:pPr>
        <w:pStyle w:val="FirstParagraph"/>
      </w:pPr>
      <w:r>
        <w:t xml:space="preserve">Compare public workforce programs, SENA where relevant, public colleges, scholarships, employer reimbursement, apprenticeships or work-based learning, public libraries, and regulator materials. Get all tuition, refund, repayment, and recognition terms in writing before paying.</w:t>
      </w:r>
    </w:p>
    <w:bookmarkEnd w:id="40"/>
    <w:bookmarkStart w:id="41" w:name="weeks-1112-apply-to-bounded-entry-roles"/>
    <w:p>
      <w:pPr>
        <w:pStyle w:val="Heading3"/>
      </w:pPr>
      <w:r>
        <w:t xml:space="preserve">Weeks 11–12: Apply to bounded entry roles</w:t>
      </w:r>
    </w:p>
    <w:p>
      <w:pPr>
        <w:pStyle w:val="FirstParagraph"/>
      </w:pPr>
      <w:r>
        <w:t xml:space="preserve">Search for assistant property manager, property administrator, resident-services coordinator, leasing administrator, facilities coordinator, community-association assistant, housing-program assistant, vendor coordinator, or similar roles.</w:t>
      </w:r>
    </w:p>
    <w:p>
      <w:pPr>
        <w:pStyle w:val="BodyText"/>
      </w:pPr>
      <w:r>
        <w:t xml:space="preserve">Compare every job posting against the local legal boundary. If an employer expects unqualified staff to provide legal advice, manipulate financial records, perform licensed trades, discriminate in housing decisions, hide incidents, or bypass safety requirements, seek clarification or decline the role.</w:t>
      </w:r>
    </w:p>
    <w:bookmarkEnd w:id="41"/>
    <w:bookmarkEnd w:id="42"/>
    <w:bookmarkStart w:id="43" w:name="X4f9efcdd8f0021e7eb6ed2f72d3730cf964ba22"/>
    <w:p>
      <w:pPr>
        <w:pStyle w:val="Heading2"/>
      </w:pPr>
      <w:r>
        <w:t xml:space="preserve">10. How to evaluate training providers</w:t>
      </w:r>
    </w:p>
    <w:p>
      <w:pPr>
        <w:pStyle w:val="FirstParagraph"/>
      </w:pPr>
      <w:r>
        <w:t xml:space="preserve">A credible provider should state:</w:t>
      </w:r>
    </w:p>
    <w:p>
      <w:pPr>
        <w:numPr>
          <w:ilvl w:val="0"/>
          <w:numId w:val="1009"/>
        </w:numPr>
        <w:pStyle w:val="Compact"/>
      </w:pPr>
      <w:r>
        <w:t xml:space="preserve">what skills the course teaches;</w:t>
      </w:r>
    </w:p>
    <w:p>
      <w:pPr>
        <w:numPr>
          <w:ilvl w:val="0"/>
          <w:numId w:val="1009"/>
        </w:numPr>
        <w:pStyle w:val="Compact"/>
      </w:pPr>
      <w:r>
        <w:t xml:space="preserve">whether it is general education or regulator-approved training;</w:t>
      </w:r>
    </w:p>
    <w:p>
      <w:pPr>
        <w:numPr>
          <w:ilvl w:val="0"/>
          <w:numId w:val="1009"/>
        </w:numPr>
        <w:pStyle w:val="Compact"/>
      </w:pPr>
      <w:r>
        <w:t xml:space="preserve">which jurisdiction recognizes it, if any;</w:t>
      </w:r>
    </w:p>
    <w:p>
      <w:pPr>
        <w:numPr>
          <w:ilvl w:val="0"/>
          <w:numId w:val="1009"/>
        </w:numPr>
        <w:pStyle w:val="Compact"/>
      </w:pPr>
      <w:r>
        <w:t xml:space="preserve">total price and recurring fees;</w:t>
      </w:r>
    </w:p>
    <w:p>
      <w:pPr>
        <w:numPr>
          <w:ilvl w:val="0"/>
          <w:numId w:val="1009"/>
        </w:numPr>
        <w:pStyle w:val="Compact"/>
      </w:pPr>
      <w:r>
        <w:t xml:space="preserve">refund and cancellation terms;</w:t>
      </w:r>
    </w:p>
    <w:p>
      <w:pPr>
        <w:numPr>
          <w:ilvl w:val="0"/>
          <w:numId w:val="1009"/>
        </w:numPr>
        <w:pStyle w:val="Compact"/>
      </w:pPr>
      <w:r>
        <w:t xml:space="preserve">instructor qualifications;</w:t>
      </w:r>
    </w:p>
    <w:p>
      <w:pPr>
        <w:numPr>
          <w:ilvl w:val="0"/>
          <w:numId w:val="1009"/>
        </w:numPr>
        <w:pStyle w:val="Compact"/>
      </w:pPr>
      <w:r>
        <w:t xml:space="preserve">accessibility and language support;</w:t>
      </w:r>
    </w:p>
    <w:p>
      <w:pPr>
        <w:numPr>
          <w:ilvl w:val="0"/>
          <w:numId w:val="1009"/>
        </w:numPr>
        <w:pStyle w:val="Compact"/>
      </w:pPr>
      <w:r>
        <w:t xml:space="preserve">whether completion satisfies any specific licensing or employment requirement.</w:t>
      </w:r>
    </w:p>
    <w:p>
      <w:pPr>
        <w:pStyle w:val="FirstParagraph"/>
      </w:pPr>
      <w:r>
        <w:t xml:space="preserve">Warning signs include:</w:t>
      </w:r>
    </w:p>
    <w:p>
      <w:pPr>
        <w:numPr>
          <w:ilvl w:val="0"/>
          <w:numId w:val="1010"/>
        </w:numPr>
        <w:pStyle w:val="Compact"/>
      </w:pPr>
      <w:r>
        <w:t xml:space="preserve">guaranteed jobs, guaranteed salary, or guaranteed clients;</w:t>
      </w:r>
    </w:p>
    <w:p>
      <w:pPr>
        <w:numPr>
          <w:ilvl w:val="0"/>
          <w:numId w:val="1010"/>
        </w:numPr>
        <w:pStyle w:val="Compact"/>
      </w:pPr>
      <w:r>
        <w:t xml:space="preserve">vague claims such as "internationally accredited" without naming the accreditor;</w:t>
      </w:r>
    </w:p>
    <w:p>
      <w:pPr>
        <w:numPr>
          <w:ilvl w:val="0"/>
          <w:numId w:val="1010"/>
        </w:numPr>
        <w:pStyle w:val="Compact"/>
      </w:pPr>
      <w:r>
        <w:t xml:space="preserve">pressure to pay immediately;</w:t>
      </w:r>
    </w:p>
    <w:p>
      <w:pPr>
        <w:numPr>
          <w:ilvl w:val="0"/>
          <w:numId w:val="1010"/>
        </w:numPr>
        <w:pStyle w:val="Compact"/>
      </w:pPr>
      <w:r>
        <w:t xml:space="preserve">claims that licensing or local law does not matter;</w:t>
      </w:r>
    </w:p>
    <w:p>
      <w:pPr>
        <w:numPr>
          <w:ilvl w:val="0"/>
          <w:numId w:val="1010"/>
        </w:numPr>
        <w:pStyle w:val="Compact"/>
      </w:pPr>
      <w:r>
        <w:t xml:space="preserve">promises that a private certificate replaces a government licence or board appointment;</w:t>
      </w:r>
    </w:p>
    <w:p>
      <w:pPr>
        <w:numPr>
          <w:ilvl w:val="0"/>
          <w:numId w:val="1010"/>
        </w:numPr>
        <w:pStyle w:val="Compact"/>
      </w:pPr>
      <w:r>
        <w:t xml:space="preserve">unclear recurring membership fees;</w:t>
      </w:r>
    </w:p>
    <w:p>
      <w:pPr>
        <w:numPr>
          <w:ilvl w:val="0"/>
          <w:numId w:val="1010"/>
        </w:numPr>
        <w:pStyle w:val="Compact"/>
      </w:pPr>
      <w:r>
        <w:t xml:space="preserve">requests to falsify experience, inspection records, budgets, invoices, resident data, incident files, or compliance evidence;</w:t>
      </w:r>
    </w:p>
    <w:p>
      <w:pPr>
        <w:numPr>
          <w:ilvl w:val="0"/>
          <w:numId w:val="1010"/>
        </w:numPr>
        <w:pStyle w:val="Compact"/>
      </w:pPr>
      <w:r>
        <w:t xml:space="preserve">training that encourages workers to perform technical or legal tasks beyond their competence.</w:t>
      </w:r>
    </w:p>
    <w:p>
      <w:pPr>
        <w:pStyle w:val="FirstParagraph"/>
      </w:pPr>
      <w:r>
        <w:t xml:space="preserve">If the course is meant to satisfy a legal requirement, confirm it with the regulator rather than relying only on the provider's marketing.</w:t>
      </w:r>
    </w:p>
    <w:bookmarkEnd w:id="43"/>
    <w:bookmarkStart w:id="44" w:name="X3681f5781d71dc66e20466dc8fbd8447be4fdb6"/>
    <w:p>
      <w:pPr>
        <w:pStyle w:val="Heading2"/>
      </w:pPr>
      <w:r>
        <w:t xml:space="preserve">11. Privacy, cybersecurity, access control, and financial handling</w:t>
      </w:r>
    </w:p>
    <w:p>
      <w:pPr>
        <w:pStyle w:val="FirstParagraph"/>
      </w:pPr>
      <w:r>
        <w:t xml:space="preserve">Property managers may handle sensitive data about residents, owners, applicants, employees, visitors, vendors, bank accounts, payments, leases, complaints, cameras, access credentials, vehicles, emergency contacts, disability-related requests, and building security.</w:t>
      </w:r>
    </w:p>
    <w:p>
      <w:pPr>
        <w:pStyle w:val="BodyText"/>
      </w:pPr>
      <w:r>
        <w:t xml:space="preserve">Use data minimization and least-privilege access. Use approved systems, strong authentication, secure file sharing, and controlled retention. Do not download sensitive files to personal devices or upload them to unapproved services. Follow employer procedures for payment processing, banking changes, refunds, vendor setup, and incident reporting.</w:t>
      </w:r>
    </w:p>
    <w:p>
      <w:pPr>
        <w:pStyle w:val="BodyText"/>
      </w:pPr>
      <w:r>
        <w:t xml:space="preserve">Treat changes to vendor bank details, emergency wire requests, password-reset requests, and unusual payment instructions as potential fraud indicators. Verify through an approved secondary channel before acting.</w:t>
      </w:r>
    </w:p>
    <w:p>
      <w:pPr>
        <w:pStyle w:val="BodyText"/>
      </w:pPr>
      <w:r>
        <w:t xml:space="preserve">Never alter financial, access-control, incident, maintenance, inspection, lease, complaint, or compliance records to conceal an error or dispute. Accurate records protect residents, owners, workers, and organizations.</w:t>
      </w:r>
    </w:p>
    <w:bookmarkEnd w:id="44"/>
    <w:bookmarkStart w:id="45" w:name="X17ec719f92c6949c0c0356c9f7f4db7e5938cc0"/>
    <w:p>
      <w:pPr>
        <w:pStyle w:val="Heading2"/>
      </w:pPr>
      <w:r>
        <w:t xml:space="preserve">12. Responsible use of AI</w:t>
      </w:r>
    </w:p>
    <w:p>
      <w:pPr>
        <w:pStyle w:val="FirstParagraph"/>
      </w:pPr>
      <w:r>
        <w:t xml:space="preserve">AI can help with low-risk tasks such as:</w:t>
      </w:r>
    </w:p>
    <w:p>
      <w:pPr>
        <w:numPr>
          <w:ilvl w:val="0"/>
          <w:numId w:val="1011"/>
        </w:numPr>
        <w:pStyle w:val="Compact"/>
      </w:pPr>
      <w:r>
        <w:t xml:space="preserve">study plans and flashcards;</w:t>
      </w:r>
    </w:p>
    <w:p>
      <w:pPr>
        <w:numPr>
          <w:ilvl w:val="0"/>
          <w:numId w:val="1011"/>
        </w:numPr>
        <w:pStyle w:val="Compact"/>
      </w:pPr>
      <w:r>
        <w:t xml:space="preserve">plain-language explanations of general concepts;</w:t>
      </w:r>
    </w:p>
    <w:p>
      <w:pPr>
        <w:numPr>
          <w:ilvl w:val="0"/>
          <w:numId w:val="1011"/>
        </w:numPr>
        <w:pStyle w:val="Compact"/>
      </w:pPr>
      <w:r>
        <w:t xml:space="preserve">drafting routine communications for human review;</w:t>
      </w:r>
    </w:p>
    <w:p>
      <w:pPr>
        <w:numPr>
          <w:ilvl w:val="0"/>
          <w:numId w:val="1011"/>
        </w:numPr>
        <w:pStyle w:val="Compact"/>
      </w:pPr>
      <w:r>
        <w:t xml:space="preserve">organizing maintenance categories;</w:t>
      </w:r>
    </w:p>
    <w:p>
      <w:pPr>
        <w:numPr>
          <w:ilvl w:val="0"/>
          <w:numId w:val="1011"/>
        </w:numPr>
        <w:pStyle w:val="Compact"/>
      </w:pPr>
      <w:r>
        <w:t xml:space="preserve">creating practice checklists and fictional training scenarios;</w:t>
      </w:r>
    </w:p>
    <w:p>
      <w:pPr>
        <w:numPr>
          <w:ilvl w:val="0"/>
          <w:numId w:val="1011"/>
        </w:numPr>
        <w:pStyle w:val="Compact"/>
      </w:pPr>
      <w:r>
        <w:t xml:space="preserve">summarizing non-sensitive meeting notes when organizational policy allows it;</w:t>
      </w:r>
    </w:p>
    <w:p>
      <w:pPr>
        <w:numPr>
          <w:ilvl w:val="0"/>
          <w:numId w:val="1011"/>
        </w:numPr>
        <w:pStyle w:val="Compact"/>
      </w:pPr>
      <w:r>
        <w:t xml:space="preserve">drafting templates that are then checked against current policy and law.</w:t>
      </w:r>
    </w:p>
    <w:p>
      <w:pPr>
        <w:pStyle w:val="FirstParagraph"/>
      </w:pPr>
      <w:r>
        <w:t xml:space="preserve">AI should not be treated as an authoritative source for:</w:t>
      </w:r>
    </w:p>
    <w:p>
      <w:pPr>
        <w:numPr>
          <w:ilvl w:val="0"/>
          <w:numId w:val="1012"/>
        </w:numPr>
        <w:pStyle w:val="Compact"/>
      </w:pPr>
      <w:r>
        <w:t xml:space="preserve">eviction, tenancy, lease, governing-document, or legal-rights conclusions;</w:t>
      </w:r>
    </w:p>
    <w:p>
      <w:pPr>
        <w:numPr>
          <w:ilvl w:val="0"/>
          <w:numId w:val="1012"/>
        </w:numPr>
        <w:pStyle w:val="Compact"/>
      </w:pPr>
      <w:r>
        <w:t xml:space="preserve">fair-housing or disability-accommodation decisions;</w:t>
      </w:r>
    </w:p>
    <w:p>
      <w:pPr>
        <w:numPr>
          <w:ilvl w:val="0"/>
          <w:numId w:val="1012"/>
        </w:numPr>
        <w:pStyle w:val="Compact"/>
      </w:pPr>
      <w:r>
        <w:t xml:space="preserve">applicant screening or adverse-action decisions;</w:t>
      </w:r>
    </w:p>
    <w:p>
      <w:pPr>
        <w:numPr>
          <w:ilvl w:val="0"/>
          <w:numId w:val="1012"/>
        </w:numPr>
        <w:pStyle w:val="Compact"/>
      </w:pPr>
      <w:r>
        <w:t xml:space="preserve">emergency, life-safety, structural, electrical, gas, fire, elevator, or engineering decisions;</w:t>
      </w:r>
    </w:p>
    <w:p>
      <w:pPr>
        <w:numPr>
          <w:ilvl w:val="0"/>
          <w:numId w:val="1012"/>
        </w:numPr>
        <w:pStyle w:val="Compact"/>
      </w:pPr>
      <w:r>
        <w:t xml:space="preserve">budgets, trust-account treatment, taxes, audits, or fiduciary decisions;</w:t>
      </w:r>
    </w:p>
    <w:p>
      <w:pPr>
        <w:numPr>
          <w:ilvl w:val="0"/>
          <w:numId w:val="1012"/>
        </w:numPr>
        <w:pStyle w:val="Compact"/>
      </w:pPr>
      <w:r>
        <w:t xml:space="preserve">vendor legal compliance or licensed-trade determinations;</w:t>
      </w:r>
    </w:p>
    <w:p>
      <w:pPr>
        <w:numPr>
          <w:ilvl w:val="0"/>
          <w:numId w:val="1012"/>
        </w:numPr>
        <w:pStyle w:val="Compact"/>
      </w:pPr>
      <w:r>
        <w:t xml:space="preserve">interpretation of board authority or statutory obligations.</w:t>
      </w:r>
    </w:p>
    <w:p>
      <w:pPr>
        <w:pStyle w:val="FirstParagraph"/>
      </w:pPr>
      <w:r>
        <w:t xml:space="preserve">High-impact facts must be verified against current authoritative records and escalated to the appropriately authorized manager, board, lawyer, accountant, regulator, licensed contractor, safety professional, or other specialist.</w:t>
      </w:r>
    </w:p>
    <w:p>
      <w:pPr>
        <w:pStyle w:val="BodyText"/>
      </w:pPr>
      <w:r>
        <w:t xml:space="preserve">Do not upload sensitive resident, owner, applicant, employee, payment, access-control, camera, building-security, complaint, or emergency data to external AI tools unless the organization has explicitly approved that use and applicable privacy, confidentiality, security, contractual, retention, and vendor requirements are satisfied.</w:t>
      </w:r>
    </w:p>
    <w:bookmarkEnd w:id="45"/>
    <w:bookmarkStart w:id="46" w:name="Xf6cf986ef2fef8f25dc424f0a4032d9ca1d104e"/>
    <w:p>
      <w:pPr>
        <w:pStyle w:val="Heading2"/>
      </w:pPr>
      <w:r>
        <w:t xml:space="preserve">13. Accessibility and inclusive service</w:t>
      </w:r>
    </w:p>
    <w:p>
      <w:pPr>
        <w:pStyle w:val="FirstParagraph"/>
      </w:pPr>
      <w:r>
        <w:t xml:space="preserve">Accessible service improves operations for everyone. Use plain language, readable documents, descriptive headings, accessible digital forms where possible, and multiple communication channels when available. Avoid relying only on color, tiny text, inaccessible scanned images, or unexplained technical abbreviations.</w:t>
      </w:r>
    </w:p>
    <w:p>
      <w:pPr>
        <w:pStyle w:val="BodyText"/>
      </w:pPr>
      <w:r>
        <w:t xml:space="preserve">Do not assume a person's disability, language, age, family status, or technology comfort determines what they can do. Follow applicable accommodation procedures and escalate specialized accessibility questions when needed.</w:t>
      </w:r>
    </w:p>
    <w:bookmarkEnd w:id="46"/>
    <w:bookmarkStart w:id="47" w:name="Xf27916aa6a8130369f496a90300c8c72a414ca1"/>
    <w:p>
      <w:pPr>
        <w:pStyle w:val="Heading2"/>
      </w:pPr>
      <w:r>
        <w:t xml:space="preserve">14. When to pause or decline a task</w:t>
      </w:r>
    </w:p>
    <w:p>
      <w:pPr>
        <w:pStyle w:val="FirstParagraph"/>
      </w:pPr>
      <w:r>
        <w:t xml:space="preserve">Stop and seek authorized guidance when:</w:t>
      </w:r>
    </w:p>
    <w:p>
      <w:pPr>
        <w:numPr>
          <w:ilvl w:val="0"/>
          <w:numId w:val="1013"/>
        </w:numPr>
        <w:pStyle w:val="Compact"/>
      </w:pPr>
      <w:r>
        <w:t xml:space="preserve">the task appears to require a licence, legal opinion, accounting judgment, or technical qualification you do not have;</w:t>
      </w:r>
    </w:p>
    <w:p>
      <w:pPr>
        <w:numPr>
          <w:ilvl w:val="0"/>
          <w:numId w:val="1013"/>
        </w:numPr>
        <w:pStyle w:val="Compact"/>
      </w:pPr>
      <w:r>
        <w:t xml:space="preserve">instructions conflict with governing documents, law, safety requirements, or approved policy;</w:t>
      </w:r>
    </w:p>
    <w:p>
      <w:pPr>
        <w:numPr>
          <w:ilvl w:val="0"/>
          <w:numId w:val="1013"/>
        </w:numPr>
        <w:pStyle w:val="Compact"/>
      </w:pPr>
      <w:r>
        <w:t xml:space="preserve">a supervisor asks you to alter or hide records;</w:t>
      </w:r>
    </w:p>
    <w:p>
      <w:pPr>
        <w:numPr>
          <w:ilvl w:val="0"/>
          <w:numId w:val="1013"/>
        </w:numPr>
        <w:pStyle w:val="Compact"/>
      </w:pPr>
      <w:r>
        <w:t xml:space="preserve">a payment or vendor instruction appears fraudulent or cannot be independently verified;</w:t>
      </w:r>
    </w:p>
    <w:p>
      <w:pPr>
        <w:numPr>
          <w:ilvl w:val="0"/>
          <w:numId w:val="1013"/>
        </w:numPr>
        <w:pStyle w:val="Compact"/>
      </w:pPr>
      <w:r>
        <w:t xml:space="preserve">a housing decision may involve discrimination or accommodation rights;</w:t>
      </w:r>
    </w:p>
    <w:p>
      <w:pPr>
        <w:numPr>
          <w:ilvl w:val="0"/>
          <w:numId w:val="1013"/>
        </w:numPr>
        <w:pStyle w:val="Compact"/>
      </w:pPr>
      <w:r>
        <w:t xml:space="preserve">an emergency exceeds your training or authority;</w:t>
      </w:r>
    </w:p>
    <w:p>
      <w:pPr>
        <w:numPr>
          <w:ilvl w:val="0"/>
          <w:numId w:val="1013"/>
        </w:numPr>
        <w:pStyle w:val="Compact"/>
      </w:pPr>
      <w:r>
        <w:t xml:space="preserve">sensitive data would need to be sent through an unapproved channel;</w:t>
      </w:r>
    </w:p>
    <w:p>
      <w:pPr>
        <w:numPr>
          <w:ilvl w:val="0"/>
          <w:numId w:val="1013"/>
        </w:numPr>
        <w:pStyle w:val="Compact"/>
      </w:pPr>
      <w:r>
        <w:t xml:space="preserve">the employer cannot explain who has authority for the requested decision.</w:t>
      </w:r>
    </w:p>
    <w:p>
      <w:pPr>
        <w:pStyle w:val="FirstParagraph"/>
      </w:pPr>
      <w:r>
        <w:t xml:space="preserve">Knowing when to escalate is part of professional competence.</w:t>
      </w:r>
    </w:p>
    <w:bookmarkEnd w:id="47"/>
    <w:bookmarkStart w:id="63" w:name="X97b0963f60df0141be6ce9973e73c71e5632969"/>
    <w:p>
      <w:pPr>
        <w:pStyle w:val="Heading2"/>
      </w:pPr>
      <w:r>
        <w:t xml:space="preserve">15. Key sources verified for this revision</w:t>
      </w:r>
    </w:p>
    <w:p>
      <w:pPr>
        <w:numPr>
          <w:ilvl w:val="0"/>
          <w:numId w:val="1014"/>
        </w:numPr>
        <w:pStyle w:val="Compact"/>
      </w:pPr>
      <w:r>
        <w:t xml:space="preserve">O*NET OnLine, Property, Real Estate, and Community Association Managers, 11-9141.00:</w:t>
      </w:r>
      <w:r>
        <w:t xml:space="preserve"> </w:t>
      </w:r>
      <w:hyperlink r:id="rId48">
        <w:r>
          <w:rPr>
            <w:rStyle w:val="Hyperlink"/>
          </w:rPr>
          <w:t xml:space="preserve">https://www.onetonline.org/link/summary/11-9141.00</w:t>
        </w:r>
      </w:hyperlink>
    </w:p>
    <w:p>
      <w:pPr>
        <w:numPr>
          <w:ilvl w:val="0"/>
          <w:numId w:val="1014"/>
        </w:numPr>
        <w:pStyle w:val="Compact"/>
      </w:pPr>
      <w:r>
        <w:t xml:space="preserve">O*NET national wages:</w:t>
      </w:r>
      <w:r>
        <w:t xml:space="preserve"> </w:t>
      </w:r>
      <w:hyperlink r:id="rId49">
        <w:r>
          <w:rPr>
            <w:rStyle w:val="Hyperlink"/>
          </w:rPr>
          <w:t xml:space="preserve">https://www.onetonline.org/link/localwages/11-9141.00</w:t>
        </w:r>
      </w:hyperlink>
    </w:p>
    <w:p>
      <w:pPr>
        <w:numPr>
          <w:ilvl w:val="0"/>
          <w:numId w:val="1014"/>
        </w:numPr>
        <w:pStyle w:val="Compact"/>
      </w:pPr>
      <w:r>
        <w:t xml:space="preserve">U.S. Bureau of Labor Statistics Occupational Outlook Handbook:</w:t>
      </w:r>
      <w:r>
        <w:t xml:space="preserve"> </w:t>
      </w:r>
      <w:hyperlink r:id="rId50">
        <w:r>
          <w:rPr>
            <w:rStyle w:val="Hyperlink"/>
          </w:rPr>
          <w:t xml:space="preserve">https://www.bls.gov/ooh/management/property-real-estate-and-community-association-managers.htm</w:t>
        </w:r>
      </w:hyperlink>
    </w:p>
    <w:p>
      <w:pPr>
        <w:numPr>
          <w:ilvl w:val="0"/>
          <w:numId w:val="1014"/>
        </w:numPr>
        <w:pStyle w:val="Compact"/>
      </w:pPr>
      <w:r>
        <w:t xml:space="preserve">U.S. Department of Housing and Urban Development, Fair Housing Act overview:</w:t>
      </w:r>
      <w:r>
        <w:t xml:space="preserve"> </w:t>
      </w:r>
      <w:hyperlink r:id="rId51">
        <w:r>
          <w:rPr>
            <w:rStyle w:val="Hyperlink"/>
          </w:rPr>
          <w:t xml:space="preserve">https://www.hud.gov/helping-americans/fair-housing-act-overview</w:t>
        </w:r>
      </w:hyperlink>
    </w:p>
    <w:p>
      <w:pPr>
        <w:numPr>
          <w:ilvl w:val="0"/>
          <w:numId w:val="1014"/>
        </w:numPr>
        <w:pStyle w:val="Compact"/>
      </w:pPr>
      <w:r>
        <w:t xml:space="preserve">HUD fair-housing rights and obligations:</w:t>
      </w:r>
      <w:r>
        <w:t xml:space="preserve"> </w:t>
      </w:r>
      <w:hyperlink r:id="rId52">
        <w:r>
          <w:rPr>
            <w:rStyle w:val="Hyperlink"/>
          </w:rPr>
          <w:t xml:space="preserve">https://www.hud.gov/stat/fheo/rights-obligations</w:t>
        </w:r>
      </w:hyperlink>
    </w:p>
    <w:p>
      <w:pPr>
        <w:numPr>
          <w:ilvl w:val="0"/>
          <w:numId w:val="1014"/>
        </w:numPr>
        <w:pStyle w:val="Compact"/>
      </w:pPr>
      <w:r>
        <w:t xml:space="preserve">CareerOneStop WIOA training finder:</w:t>
      </w:r>
      <w:r>
        <w:t xml:space="preserve"> </w:t>
      </w:r>
      <w:hyperlink r:id="rId53">
        <w:r>
          <w:rPr>
            <w:rStyle w:val="Hyperlink"/>
          </w:rPr>
          <w:t xml:space="preserve">https://www.careeronestop.org/LocalHelp/EmploymentAndTraining/find-WIOA-training-programs.aspx</w:t>
        </w:r>
      </w:hyperlink>
    </w:p>
    <w:p>
      <w:pPr>
        <w:numPr>
          <w:ilvl w:val="0"/>
          <w:numId w:val="1014"/>
        </w:numPr>
        <w:pStyle w:val="Compact"/>
      </w:pPr>
      <w:r>
        <w:t xml:space="preserve">Apprenticeship.gov:</w:t>
      </w:r>
      <w:r>
        <w:t xml:space="preserve"> </w:t>
      </w:r>
      <w:hyperlink r:id="rId54">
        <w:r>
          <w:rPr>
            <w:rStyle w:val="Hyperlink"/>
          </w:rPr>
          <w:t xml:space="preserve">https://www.apprenticeship.gov/</w:t>
        </w:r>
      </w:hyperlink>
    </w:p>
    <w:p>
      <w:pPr>
        <w:numPr>
          <w:ilvl w:val="0"/>
          <w:numId w:val="1014"/>
        </w:numPr>
        <w:pStyle w:val="Compact"/>
      </w:pPr>
      <w:r>
        <w:t xml:space="preserve">Indeed, Property Manager salaries:</w:t>
      </w:r>
      <w:r>
        <w:t xml:space="preserve"> </w:t>
      </w:r>
      <w:hyperlink r:id="rId55">
        <w:r>
          <w:rPr>
            <w:rStyle w:val="Hyperlink"/>
          </w:rPr>
          <w:t xml:space="preserve">https://www.indeed.com/career/property-manager/salaries</w:t>
        </w:r>
      </w:hyperlink>
    </w:p>
    <w:p>
      <w:pPr>
        <w:numPr>
          <w:ilvl w:val="0"/>
          <w:numId w:val="1014"/>
        </w:numPr>
        <w:pStyle w:val="Compact"/>
      </w:pPr>
      <w:r>
        <w:t xml:space="preserve">ZipRecruiter, Property Manager salary:</w:t>
      </w:r>
      <w:r>
        <w:t xml:space="preserve"> </w:t>
      </w:r>
      <w:hyperlink r:id="rId56">
        <w:r>
          <w:rPr>
            <w:rStyle w:val="Hyperlink"/>
          </w:rPr>
          <w:t xml:space="preserve">https://www.ziprecruiter.com/Salaries/Property-Manager-Salary</w:t>
        </w:r>
      </w:hyperlink>
    </w:p>
    <w:p>
      <w:pPr>
        <w:numPr>
          <w:ilvl w:val="0"/>
          <w:numId w:val="1014"/>
        </w:numPr>
        <w:pStyle w:val="Compact"/>
      </w:pPr>
      <w:r>
        <w:t xml:space="preserve">Government of Canada Job Bank, NOC 13101 requirements:</w:t>
      </w:r>
      <w:r>
        <w:t xml:space="preserve"> </w:t>
      </w:r>
      <w:hyperlink r:id="rId57">
        <w:r>
          <w:rPr>
            <w:rStyle w:val="Hyperlink"/>
          </w:rPr>
          <w:t xml:space="preserve">https://www.jobbank.gc.ca/marketreport/requirements/17717/ca</w:t>
        </w:r>
      </w:hyperlink>
    </w:p>
    <w:p>
      <w:pPr>
        <w:numPr>
          <w:ilvl w:val="0"/>
          <w:numId w:val="1014"/>
        </w:numPr>
        <w:pStyle w:val="Compact"/>
      </w:pPr>
      <w:r>
        <w:t xml:space="preserve">Government of Canada Job Bank, NOC 13101 wages:</w:t>
      </w:r>
      <w:r>
        <w:t xml:space="preserve"> </w:t>
      </w:r>
      <w:hyperlink r:id="rId58">
        <w:r>
          <w:rPr>
            <w:rStyle w:val="Hyperlink"/>
          </w:rPr>
          <w:t xml:space="preserve">https://www.jobbank.gc.ca/marketreport/wages-occupation/17717/ca</w:t>
        </w:r>
      </w:hyperlink>
    </w:p>
    <w:p>
      <w:pPr>
        <w:numPr>
          <w:ilvl w:val="0"/>
          <w:numId w:val="1014"/>
        </w:numPr>
        <w:pStyle w:val="Compact"/>
      </w:pPr>
      <w:r>
        <w:t xml:space="preserve">Secretaría del Senado, Colombia, Ley 675 de 2001:</w:t>
      </w:r>
      <w:r>
        <w:t xml:space="preserve"> </w:t>
      </w:r>
      <w:hyperlink r:id="rId59">
        <w:r>
          <w:rPr>
            <w:rStyle w:val="Hyperlink"/>
          </w:rPr>
          <w:t xml:space="preserve">https://www.secretariasenado.gov.co/senado/basedoc/ley_0675_2001.html</w:t>
        </w:r>
      </w:hyperlink>
    </w:p>
    <w:p>
      <w:pPr>
        <w:numPr>
          <w:ilvl w:val="0"/>
          <w:numId w:val="1014"/>
        </w:numPr>
        <w:pStyle w:val="Compact"/>
      </w:pPr>
      <w:r>
        <w:t xml:space="preserve">SUIN-Juriscol cross-check for Ley 675 de 2001:</w:t>
      </w:r>
      <w:r>
        <w:t xml:space="preserve"> </w:t>
      </w:r>
      <w:hyperlink r:id="rId60">
        <w:r>
          <w:rPr>
            <w:rStyle w:val="Hyperlink"/>
          </w:rPr>
          <w:t xml:space="preserve">https://suin-juriscol.gov.co/viewDocument.asp?id=1665811</w:t>
        </w:r>
      </w:hyperlink>
    </w:p>
    <w:p>
      <w:pPr>
        <w:numPr>
          <w:ilvl w:val="0"/>
          <w:numId w:val="1014"/>
        </w:numPr>
        <w:pStyle w:val="Compact"/>
      </w:pPr>
      <w:r>
        <w:t xml:space="preserve">SENA / Agencia Pública de Empleo:</w:t>
      </w:r>
      <w:r>
        <w:t xml:space="preserve"> </w:t>
      </w:r>
      <w:hyperlink r:id="rId61">
        <w:r>
          <w:rPr>
            <w:rStyle w:val="Hyperlink"/>
          </w:rPr>
          <w:t xml:space="preserve">https://ape.sena.edu.co/</w:t>
        </w:r>
      </w:hyperlink>
    </w:p>
    <w:p>
      <w:pPr>
        <w:numPr>
          <w:ilvl w:val="0"/>
          <w:numId w:val="1014"/>
        </w:numPr>
        <w:pStyle w:val="Compact"/>
      </w:pPr>
      <w:r>
        <w:t xml:space="preserve">SENA / Betowa:</w:t>
      </w:r>
      <w:r>
        <w:t xml:space="preserve"> </w:t>
      </w:r>
      <w:hyperlink r:id="rId62">
        <w:r>
          <w:rPr>
            <w:rStyle w:val="Hyperlink"/>
          </w:rPr>
          <w:t xml:space="preserve">https://betowa.sena.edu.co/</w:t>
        </w:r>
      </w:hyperlink>
    </w:p>
    <w:p>
      <w:pPr>
        <w:pStyle w:val="FirstParagraph"/>
      </w:pPr>
      <w:r>
        <w:rPr>
          <w:bCs/>
          <w:b/>
        </w:rPr>
        <w:t xml:space="preserve">Source verification date:</w:t>
      </w:r>
      <w:r>
        <w:t xml:space="preserve"> </w:t>
      </w:r>
      <w:r>
        <w:t xml:space="preserve">2026-08-10. Links and program availability can change. Recheck before enrollment, application, licensing, or compliance decisions.</w:t>
      </w:r>
    </w:p>
    <w:bookmarkEnd w:id="63"/>
    <w:bookmarkStart w:id="64" w:name="final-note"/>
    <w:p>
      <w:pPr>
        <w:pStyle w:val="Heading2"/>
      </w:pPr>
      <w:r>
        <w:t xml:space="preserve">Final note</w:t>
      </w:r>
    </w:p>
    <w:p>
      <w:pPr>
        <w:pStyle w:val="FirstParagraph"/>
      </w:pPr>
      <w:r>
        <w:t xml:space="preserve">This guide is a controlled educational resource designed to reduce cost, confusion, and avoidable risk while helping learners build employable skills. It does not certify legal authority, licensure, accreditation, professional translation, accessibility compliance, independent human review, employment, or income.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pe.sena.edu.co/" TargetMode="External" /><Relationship Type="http://schemas.openxmlformats.org/officeDocument/2006/relationships/hyperlink" Id="rId62" Target="https://betowa.sena.edu.co/" TargetMode="External" /><Relationship Type="http://schemas.openxmlformats.org/officeDocument/2006/relationships/hyperlink" Id="rId60" Target="https://suin-juriscol.gov.co/viewDocument.asp?id=1665811" TargetMode="External" /><Relationship Type="http://schemas.openxmlformats.org/officeDocument/2006/relationships/hyperlink" Id="rId54" Target="https://www.apprenticeship.gov/" TargetMode="External" /><Relationship Type="http://schemas.openxmlformats.org/officeDocument/2006/relationships/hyperlink" Id="rId50" Target="https://www.bls.gov/ooh/management/property-real-estate-and-community-association-managers.htm" TargetMode="External" /><Relationship Type="http://schemas.openxmlformats.org/officeDocument/2006/relationships/hyperlink" Id="rId53" Target="https://www.careeronestop.org/LocalHelp/EmploymentAndTraining/find-WIOA-training-programs.aspx" TargetMode="External" /><Relationship Type="http://schemas.openxmlformats.org/officeDocument/2006/relationships/hyperlink" Id="rId51" Target="https://www.hud.gov/helping-americans/fair-housing-act-overview" TargetMode="External" /><Relationship Type="http://schemas.openxmlformats.org/officeDocument/2006/relationships/hyperlink" Id="rId52" Target="https://www.hud.gov/stat/fheo/rights-obligations" TargetMode="External" /><Relationship Type="http://schemas.openxmlformats.org/officeDocument/2006/relationships/hyperlink" Id="rId55" Target="https://www.indeed.com/career/property-manager/salaries" TargetMode="External" /><Relationship Type="http://schemas.openxmlformats.org/officeDocument/2006/relationships/hyperlink" Id="rId57" Target="https://www.jobbank.gc.ca/marketreport/requirements/17717/ca" TargetMode="External" /><Relationship Type="http://schemas.openxmlformats.org/officeDocument/2006/relationships/hyperlink" Id="rId58" Target="https://www.jobbank.gc.ca/marketreport/wages-occupation/17717/ca" TargetMode="External" /><Relationship Type="http://schemas.openxmlformats.org/officeDocument/2006/relationships/hyperlink" Id="rId49" Target="https://www.onetonline.org/link/localwages/11-9141.00" TargetMode="External" /><Relationship Type="http://schemas.openxmlformats.org/officeDocument/2006/relationships/hyperlink" Id="rId48" Target="https://www.onetonline.org/link/summary/11-9141.00" TargetMode="External" /><Relationship Type="http://schemas.openxmlformats.org/officeDocument/2006/relationships/hyperlink" Id="rId59" Target="https://www.secretariasenado.gov.co/senado/basedoc/ley_0675_2001.html" TargetMode="External" /><Relationship Type="http://schemas.openxmlformats.org/officeDocument/2006/relationships/hyperlink" Id="rId56" Target="https://www.ziprecruiter.com/Salaries/Property-Manager-Salary" TargetMode="External" /></Relationships>
</file>

<file path=word/_rels/footnotes.xml.rels><?xml version="1.0" encoding="UTF-8"?><Relationships xmlns="http://schemas.openxmlformats.org/package/2006/relationships"><Relationship Type="http://schemas.openxmlformats.org/officeDocument/2006/relationships/hyperlink" Id="rId61" Target="https://ape.sena.edu.co/" TargetMode="External" /><Relationship Type="http://schemas.openxmlformats.org/officeDocument/2006/relationships/hyperlink" Id="rId62" Target="https://betowa.sena.edu.co/" TargetMode="External" /><Relationship Type="http://schemas.openxmlformats.org/officeDocument/2006/relationships/hyperlink" Id="rId60" Target="https://suin-juriscol.gov.co/viewDocument.asp?id=1665811" TargetMode="External" /><Relationship Type="http://schemas.openxmlformats.org/officeDocument/2006/relationships/hyperlink" Id="rId54" Target="https://www.apprenticeship.gov/" TargetMode="External" /><Relationship Type="http://schemas.openxmlformats.org/officeDocument/2006/relationships/hyperlink" Id="rId50" Target="https://www.bls.gov/ooh/management/property-real-estate-and-community-association-managers.htm" TargetMode="External" /><Relationship Type="http://schemas.openxmlformats.org/officeDocument/2006/relationships/hyperlink" Id="rId53" Target="https://www.careeronestop.org/LocalHelp/EmploymentAndTraining/find-WIOA-training-programs.aspx" TargetMode="External" /><Relationship Type="http://schemas.openxmlformats.org/officeDocument/2006/relationships/hyperlink" Id="rId51" Target="https://www.hud.gov/helping-americans/fair-housing-act-overview" TargetMode="External" /><Relationship Type="http://schemas.openxmlformats.org/officeDocument/2006/relationships/hyperlink" Id="rId52" Target="https://www.hud.gov/stat/fheo/rights-obligations" TargetMode="External" /><Relationship Type="http://schemas.openxmlformats.org/officeDocument/2006/relationships/hyperlink" Id="rId55" Target="https://www.indeed.com/career/property-manager/salaries" TargetMode="External" /><Relationship Type="http://schemas.openxmlformats.org/officeDocument/2006/relationships/hyperlink" Id="rId57" Target="https://www.jobbank.gc.ca/marketreport/requirements/17717/ca" TargetMode="External" /><Relationship Type="http://schemas.openxmlformats.org/officeDocument/2006/relationships/hyperlink" Id="rId58" Target="https://www.jobbank.gc.ca/marketreport/wages-occupation/17717/ca" TargetMode="External" /><Relationship Type="http://schemas.openxmlformats.org/officeDocument/2006/relationships/hyperlink" Id="rId49" Target="https://www.onetonline.org/link/localwages/11-9141.00" TargetMode="External" /><Relationship Type="http://schemas.openxmlformats.org/officeDocument/2006/relationships/hyperlink" Id="rId48" Target="https://www.onetonline.org/link/summary/11-9141.00" TargetMode="External" /><Relationship Type="http://schemas.openxmlformats.org/officeDocument/2006/relationships/hyperlink" Id="rId59" Target="https://www.secretariasenado.gov.co/senado/basedoc/ley_0675_2001.html" TargetMode="External" /><Relationship Type="http://schemas.openxmlformats.org/officeDocument/2006/relationships/hyperlink" Id="rId56" Target="https://www.ziprecruiter.com/Salaries/Property-Manag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2026-08-10T11:07:31Z</dcterms:created>
  <dcterms:modified xsi:type="dcterms:W3CDTF">2026-08-10T11:07:31Z</dcterms:modified>
</cp:coreProperties>
</file>

<file path=docProps/custom.xml><?xml version="1.0" encoding="utf-8"?>
<Properties xmlns="http://schemas.openxmlformats.org/officeDocument/2006/custom-properties" xmlns:vt="http://schemas.openxmlformats.org/officeDocument/2006/docPropsVTypes"/>
</file>