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6a324be21ef15760cdae3ca4ae19f4d29efc21"/>
    <w:p>
      <w:pPr>
        <w:pStyle w:val="Heading1"/>
      </w:pPr>
      <w:r>
        <w:t xml:space="preserve">Guía 23 — Administrador de propiedades y de copropiedades</w:t>
      </w:r>
    </w:p>
    <w:p>
      <w:pPr>
        <w:pStyle w:val="FirstParagraph"/>
      </w:pPr>
      <w:r>
        <w:rPr>
          <w:bCs/>
          <w:b/>
        </w:rPr>
        <w:t xml:space="preserve">Edición:</w:t>
      </w:r>
      <w:r>
        <w:t xml:space="preserve"> </w:t>
      </w:r>
      <w:r>
        <w:t xml:space="preserve">Español latinoamericano neutral (es-419)</w:t>
      </w:r>
      <w:r>
        <w:br/>
      </w:r>
      <w:r>
        <w:rPr>
          <w:bCs/>
          <w:b/>
        </w:rPr>
        <w:t xml:space="preserve">Versión:</w:t>
      </w:r>
      <w:r>
        <w:t xml:space="preserve"> </w:t>
      </w:r>
      <w:r>
        <w:t xml:space="preserve">2.0 borrador de trabajo</w:t>
      </w:r>
      <w:r>
        <w:br/>
      </w:r>
      <w:r>
        <w:rPr>
          <w:bCs/>
          <w:b/>
        </w:rPr>
        <w:t xml:space="preserve">Fecha de revisión controlada:</w:t>
      </w:r>
      <w:r>
        <w:t xml:space="preserve"> </w:t>
      </w:r>
      <w:r>
        <w:t xml:space="preserve">2026-08-10</w:t>
      </w:r>
      <w:r>
        <w:br/>
      </w:r>
      <w:r>
        <w:rPr>
          <w:bCs/>
          <w:b/>
        </w:rPr>
        <w:t xml:space="preserve">Fuente:</w:t>
      </w:r>
      <w:r>
        <w:t xml:space="preserve"> </w:t>
      </w:r>
      <w:r>
        <w:t xml:space="preserve">Inglés v2 congelado, blob</w:t>
      </w:r>
      <w:r>
        <w:t xml:space="preserve"> </w:t>
      </w:r>
      <w:r>
        <w:rPr>
          <w:rStyle w:val="VerbatimChar"/>
        </w:rPr>
        <w:t xml:space="preserve">9176295ea37d7b88c938c1f743b6af26e0be8273</w:t>
      </w:r>
      <w:r>
        <w:br/>
      </w:r>
      <w:r>
        <w:rPr>
          <w:bCs/>
          <w:b/>
        </w:rPr>
        <w:t xml:space="preserve">Licencia:</w:t>
      </w:r>
      <w:r>
        <w:t xml:space="preserve"> </w:t>
      </w:r>
      <w:r>
        <w:t xml:space="preserve">CC BY-NC-SA 4.0</w:t>
      </w:r>
    </w:p>
    <w:bookmarkStart w:id="20" w:name="propósito"/>
    <w:p>
      <w:pPr>
        <w:pStyle w:val="Heading2"/>
      </w:pPr>
      <w:r>
        <w:t xml:space="preserve">Propósito</w:t>
      </w:r>
    </w:p>
    <w:p>
      <w:pPr>
        <w:pStyle w:val="FirstParagraph"/>
      </w:pPr>
      <w:r>
        <w:t xml:space="preserve">La administración de propiedades y copropiedades puede abrir una ruta práctica hacia operaciones de vivienda, servicio al cliente, coordinación de instalaciones, presupuestos, proveedores, relaciones con residentes y administración inmobiliaria. También puede involucrar actividades reguladas, deberes de vivienda justa, documentos de gobierno, datos personales y financieros, controles de acceso, emergencias y asuntos legales o técnicos que superan la autoridad del cargo.</w:t>
      </w:r>
    </w:p>
    <w:p>
      <w:pPr>
        <w:pStyle w:val="BodyText"/>
      </w:pPr>
      <w:r>
        <w:t xml:space="preserve">Esta guía ayuda a desarrollar habilidades empleables sin confundir tareas operativas con actividades que pueden requerir licencia inmobiliaria, credencial para administración de asociaciones o copropiedades, autoridad legal, habilitación contable, oficio técnico licenciado, certificación de seguridad u otro permiso específico de la jurisdicción.</w:t>
      </w:r>
    </w:p>
    <w:p>
      <w:pPr>
        <w:pStyle w:val="BodyText"/>
      </w:pPr>
      <w:r>
        <w:t xml:space="preserve">Esta guía es educativa. No constituye asesoría legal, inmobiliaria, contable, tributaria, de seguros, ingeniería, código de construcción, seguridad, vivienda justa ni inversión. Los requisitos dependen del país, estado o provincia, municipio, empleador, tipo de inmueble, documentos de gobierno y funciones asignadas. Verifique las reglas aplicables antes de pagar capacitación o asumir responsabilidades reguladas.</w:t>
      </w:r>
    </w:p>
    <w:bookmarkEnd w:id="20"/>
    <w:bookmarkStart w:id="21" w:name="Xe347e7ad9afcb5f14e8b8096df9fa18a2eeb9d1"/>
    <w:p>
      <w:pPr>
        <w:pStyle w:val="Heading2"/>
      </w:pPr>
      <w:r>
        <w:t xml:space="preserve">1. En qué consiste el trabajo</w:t>
      </w:r>
    </w:p>
    <w:p>
      <w:pPr>
        <w:pStyle w:val="FirstParagraph"/>
      </w:pPr>
      <w:r>
        <w:t xml:space="preserve">Según el empleador y la jurisdicción, las funciones pueden incluir:</w:t>
      </w:r>
    </w:p>
    <w:p>
      <w:pPr>
        <w:numPr>
          <w:ilvl w:val="0"/>
          <w:numId w:val="1001"/>
        </w:numPr>
        <w:pStyle w:val="Compact"/>
      </w:pPr>
      <w:r>
        <w:t xml:space="preserve">atención a propietarios, residentes, arrendatarios, solicitantes, juntas y proveedores;</w:t>
      </w:r>
    </w:p>
    <w:p>
      <w:pPr>
        <w:numPr>
          <w:ilvl w:val="0"/>
          <w:numId w:val="1001"/>
        </w:numPr>
        <w:pStyle w:val="Compact"/>
      </w:pPr>
      <w:r>
        <w:t xml:space="preserve">coordinación de mantenimiento, inspecciones, reparaciones y trabajo preventivo;</w:t>
      </w:r>
    </w:p>
    <w:p>
      <w:pPr>
        <w:numPr>
          <w:ilvl w:val="0"/>
          <w:numId w:val="1001"/>
        </w:numPr>
        <w:pStyle w:val="Compact"/>
      </w:pPr>
      <w:r>
        <w:t xml:space="preserve">administración de contratos de arrendamiento, reglas comunitarias, solicitudes de servicio y procedimientos aprobados;</w:t>
      </w:r>
    </w:p>
    <w:p>
      <w:pPr>
        <w:numPr>
          <w:ilvl w:val="0"/>
          <w:numId w:val="1001"/>
        </w:numPr>
        <w:pStyle w:val="Compact"/>
      </w:pPr>
      <w:r>
        <w:t xml:space="preserve">preparación de presupuestos, revisión de facturas, cobro de cargos autorizados y explicación de variaciones;</w:t>
      </w:r>
    </w:p>
    <w:p>
      <w:pPr>
        <w:numPr>
          <w:ilvl w:val="0"/>
          <w:numId w:val="1001"/>
        </w:numPr>
        <w:pStyle w:val="Compact"/>
      </w:pPr>
      <w:r>
        <w:t xml:space="preserve">mantenimiento de archivos, contratos, certificados, incidentes y documentación de proveedores;</w:t>
      </w:r>
    </w:p>
    <w:p>
      <w:pPr>
        <w:numPr>
          <w:ilvl w:val="0"/>
          <w:numId w:val="1001"/>
        </w:numPr>
        <w:pStyle w:val="Compact"/>
      </w:pPr>
      <w:r>
        <w:t xml:space="preserve">apoyo a arrendamientos, renovaciones, mudanzas de entrada y salida y comunicaciones con residentes;</w:t>
      </w:r>
    </w:p>
    <w:p>
      <w:pPr>
        <w:numPr>
          <w:ilvl w:val="0"/>
          <w:numId w:val="1001"/>
        </w:numPr>
        <w:pStyle w:val="Compact"/>
      </w:pPr>
      <w:r>
        <w:t xml:space="preserve">coordinación de seguridad, aseo, jardinería, mantenimiento y contratistas;</w:t>
      </w:r>
    </w:p>
    <w:p>
      <w:pPr>
        <w:numPr>
          <w:ilvl w:val="0"/>
          <w:numId w:val="1001"/>
        </w:numPr>
        <w:pStyle w:val="Compact"/>
      </w:pPr>
      <w:r>
        <w:t xml:space="preserve">preparación de materiales para asambleas o juntas y seguimiento de decisiones válidas;</w:t>
      </w:r>
    </w:p>
    <w:p>
      <w:pPr>
        <w:numPr>
          <w:ilvl w:val="0"/>
          <w:numId w:val="1001"/>
        </w:numPr>
        <w:pStyle w:val="Compact"/>
      </w:pPr>
      <w:r>
        <w:t xml:space="preserve">control operativo de llaves, credenciales, parqueaderos, zonas comunes y contactos de emergencia;</w:t>
      </w:r>
    </w:p>
    <w:p>
      <w:pPr>
        <w:numPr>
          <w:ilvl w:val="0"/>
          <w:numId w:val="1001"/>
        </w:numPr>
        <w:pStyle w:val="Compact"/>
      </w:pPr>
      <w:r>
        <w:t xml:space="preserve">seguimiento de seguros, inspecciones o cumplimiento dentro de la autoridad asignada.</w:t>
      </w:r>
    </w:p>
    <w:p>
      <w:pPr>
        <w:pStyle w:val="FirstParagraph"/>
      </w:pPr>
      <w:r>
        <w:t xml:space="preserve">Los títulos del cargo no son equivalentes entre países. El nombre del puesto por sí solo no concede autoridad legal.</w:t>
      </w:r>
    </w:p>
    <w:bookmarkEnd w:id="21"/>
    <w:bookmarkStart w:id="22" w:name="Xd295e468377c3c992225ae0bb58f3b44fa46557"/>
    <w:p>
      <w:pPr>
        <w:pStyle w:val="Heading2"/>
      </w:pPr>
      <w:r>
        <w:t xml:space="preserve">2. Habilidades transferibles</w:t>
      </w:r>
    </w:p>
    <w:p>
      <w:pPr>
        <w:pStyle w:val="FirstParagraph"/>
      </w:pPr>
      <w:r>
        <w:t xml:space="preserve">Son especialmente útiles:</w:t>
      </w:r>
    </w:p>
    <w:p>
      <w:pPr>
        <w:numPr>
          <w:ilvl w:val="0"/>
          <w:numId w:val="1002"/>
        </w:numPr>
        <w:pStyle w:val="Compact"/>
      </w:pPr>
      <w:r>
        <w:t xml:space="preserve">comunicación profesional oral y escrita;</w:t>
      </w:r>
    </w:p>
    <w:p>
      <w:pPr>
        <w:numPr>
          <w:ilvl w:val="0"/>
          <w:numId w:val="1002"/>
        </w:numPr>
        <w:pStyle w:val="Compact"/>
      </w:pPr>
      <w:r>
        <w:t xml:space="preserve">servicio al cliente y al residente;</w:t>
      </w:r>
    </w:p>
    <w:p>
      <w:pPr>
        <w:numPr>
          <w:ilvl w:val="0"/>
          <w:numId w:val="1002"/>
        </w:numPr>
        <w:pStyle w:val="Compact"/>
      </w:pPr>
      <w:r>
        <w:t xml:space="preserve">manejo de conflictos y quejas;</w:t>
      </w:r>
    </w:p>
    <w:p>
      <w:pPr>
        <w:numPr>
          <w:ilvl w:val="0"/>
          <w:numId w:val="1002"/>
        </w:numPr>
        <w:pStyle w:val="Compact"/>
      </w:pPr>
      <w:r>
        <w:t xml:space="preserve">coordinación de órdenes de trabajo y agendas;</w:t>
      </w:r>
    </w:p>
    <w:p>
      <w:pPr>
        <w:numPr>
          <w:ilvl w:val="0"/>
          <w:numId w:val="1002"/>
        </w:numPr>
        <w:pStyle w:val="Compact"/>
      </w:pPr>
      <w:r>
        <w:t xml:space="preserve">hojas de cálculo y alfabetización financiera básica;</w:t>
      </w:r>
    </w:p>
    <w:p>
      <w:pPr>
        <w:numPr>
          <w:ilvl w:val="0"/>
          <w:numId w:val="1002"/>
        </w:numPr>
        <w:pStyle w:val="Compact"/>
      </w:pPr>
      <w:r>
        <w:t xml:space="preserve">revisión de facturas y órdenes de compra;</w:t>
      </w:r>
    </w:p>
    <w:p>
      <w:pPr>
        <w:numPr>
          <w:ilvl w:val="0"/>
          <w:numId w:val="1002"/>
        </w:numPr>
        <w:pStyle w:val="Compact"/>
      </w:pPr>
      <w:r>
        <w:t xml:space="preserve">gestión documental y control de registros;</w:t>
      </w:r>
    </w:p>
    <w:p>
      <w:pPr>
        <w:numPr>
          <w:ilvl w:val="0"/>
          <w:numId w:val="1002"/>
        </w:numPr>
        <w:pStyle w:val="Compact"/>
      </w:pPr>
      <w:r>
        <w:t xml:space="preserve">incorporación y seguimiento de proveedores;</w:t>
      </w:r>
    </w:p>
    <w:p>
      <w:pPr>
        <w:numPr>
          <w:ilvl w:val="0"/>
          <w:numId w:val="1002"/>
        </w:numPr>
        <w:pStyle w:val="Compact"/>
      </w:pPr>
      <w:r>
        <w:t xml:space="preserve">apoyo a la administración de contratos;</w:t>
      </w:r>
    </w:p>
    <w:p>
      <w:pPr>
        <w:numPr>
          <w:ilvl w:val="0"/>
          <w:numId w:val="1002"/>
        </w:numPr>
        <w:pStyle w:val="Compact"/>
      </w:pPr>
      <w:r>
        <w:t xml:space="preserve">vocabulario básico de instalaciones y mantenimiento preventivo;</w:t>
      </w:r>
    </w:p>
    <w:p>
      <w:pPr>
        <w:numPr>
          <w:ilvl w:val="0"/>
          <w:numId w:val="1002"/>
        </w:numPr>
        <w:pStyle w:val="Compact"/>
      </w:pPr>
      <w:r>
        <w:t xml:space="preserve">preparación de reuniones y seguimiento de acciones;</w:t>
      </w:r>
    </w:p>
    <w:p>
      <w:pPr>
        <w:numPr>
          <w:ilvl w:val="0"/>
          <w:numId w:val="1002"/>
        </w:numPr>
        <w:pStyle w:val="Compact"/>
      </w:pPr>
      <w:r>
        <w:t xml:space="preserve">aplicación coherente de políticas aprobadas;</w:t>
      </w:r>
    </w:p>
    <w:p>
      <w:pPr>
        <w:numPr>
          <w:ilvl w:val="0"/>
          <w:numId w:val="1002"/>
        </w:numPr>
        <w:pStyle w:val="Compact"/>
      </w:pPr>
      <w:r>
        <w:t xml:space="preserve">manejo responsable de datos de identidad, contratos, pagos, cámaras, acceso, quejas y emergencias;</w:t>
      </w:r>
    </w:p>
    <w:p>
      <w:pPr>
        <w:numPr>
          <w:ilvl w:val="0"/>
          <w:numId w:val="1002"/>
        </w:numPr>
        <w:pStyle w:val="Compact"/>
      </w:pPr>
      <w:r>
        <w:t xml:space="preserve">comunicación accesible para personas con diferentes necesidades lingüísticas, físicas, sensoriales o cognitivas;</w:t>
      </w:r>
    </w:p>
    <w:p>
      <w:pPr>
        <w:numPr>
          <w:ilvl w:val="0"/>
          <w:numId w:val="1002"/>
        </w:numPr>
        <w:pStyle w:val="Compact"/>
      </w:pPr>
      <w:r>
        <w:t xml:space="preserve">escalamiento de incidentes y documentación factual;</w:t>
      </w:r>
    </w:p>
    <w:p>
      <w:pPr>
        <w:numPr>
          <w:ilvl w:val="0"/>
          <w:numId w:val="1002"/>
        </w:numPr>
        <w:pStyle w:val="Compact"/>
      </w:pPr>
      <w:r>
        <w:t xml:space="preserve">autenticación fuerte, intercambio seguro de archivos y acceso con privilegio mínimo.</w:t>
      </w:r>
    </w:p>
    <w:bookmarkEnd w:id="22"/>
    <w:bookmarkStart w:id="27" w:name="X914328c465de3126fadd8a1e1f9f8db472547b7"/>
    <w:p>
      <w:pPr>
        <w:pStyle w:val="Heading2"/>
      </w:pPr>
      <w:r>
        <w:t xml:space="preserve">3. Ruta en Estados Unidos</w:t>
      </w:r>
    </w:p>
    <w:bookmarkStart w:id="23" w:name="ocupación-y-entrada"/>
    <w:p>
      <w:pPr>
        <w:pStyle w:val="Heading3"/>
      </w:pPr>
      <w:r>
        <w:t xml:space="preserve">Ocupación y entrada</w:t>
      </w:r>
    </w:p>
    <w:p>
      <w:pPr>
        <w:pStyle w:val="FirstParagraph"/>
      </w:pPr>
      <w:r>
        <w:t xml:space="preserve">O*NET clasifica</w:t>
      </w:r>
      <w:r>
        <w:t xml:space="preserve"> </w:t>
      </w:r>
      <w:r>
        <w:rPr>
          <w:bCs/>
          <w:b/>
        </w:rPr>
        <w:t xml:space="preserve">Property, Real Estate, and Community Association Managers</w:t>
      </w:r>
      <w:r>
        <w:t xml:space="preserve"> </w:t>
      </w:r>
      <w:r>
        <w:t xml:space="preserve">bajo 11-9141.00. El trabajo puede abarcar arrendamientos, presupuestos, mantenimiento, contratos, comunicación con residentes y propietarios, registros, cobros, inspecciones y administración de asociaciones.</w:t>
      </w:r>
    </w:p>
    <w:p>
      <w:pPr>
        <w:pStyle w:val="BodyText"/>
      </w:pPr>
      <w:r>
        <w:t xml:space="preserve">La Oficina de Estadísticas Laborales de Estados Unidos (BLS) identifica el diploma de secundaria o equivalente como educación típica de entrada, junto con varios años de experiencia relacionada y capacitación de corto plazo en el trabajo. Un título universitario no es requisito nacional universal para todos los cargos.</w:t>
      </w:r>
    </w:p>
    <w:p>
      <w:pPr>
        <w:pStyle w:val="BodyText"/>
      </w:pPr>
      <w:r>
        <w:t xml:space="preserve">Una entrada de menor riesgo puede ser asistente de administración de propiedades, administración de arrendamientos, servicio al residente, coordinación de mantenimiento, cuentas por cobrar, proveedores u oficina de propiedad mientras se aprende el marco local.</w:t>
      </w:r>
    </w:p>
    <w:bookmarkEnd w:id="23"/>
    <w:bookmarkStart w:id="24" w:name="licencias-y-límites-de-autoridad"/>
    <w:p>
      <w:pPr>
        <w:pStyle w:val="Heading3"/>
      </w:pPr>
      <w:r>
        <w:t xml:space="preserve">Licencias y límites de autoridad</w:t>
      </w:r>
    </w:p>
    <w:p>
      <w:pPr>
        <w:pStyle w:val="FirstParagraph"/>
      </w:pPr>
      <w:r>
        <w:t xml:space="preserve">Los requisitos cambian por estado y por función. Actividades reguladas de arrendamiento, corretaje, cobro de renta, cuentas fiduciarias o bienes raíces pueden requerir licencia, supervisión de un corredor o una excepción específica. Algunos estados regulan por separado a los administradores de asociaciones comunitarias.</w:t>
      </w:r>
    </w:p>
    <w:p>
      <w:pPr>
        <w:pStyle w:val="BodyText"/>
      </w:pPr>
      <w:r>
        <w:t xml:space="preserve">Un certificado genérico de administración de propiedades no autoriza automáticamente a:</w:t>
      </w:r>
    </w:p>
    <w:p>
      <w:pPr>
        <w:numPr>
          <w:ilvl w:val="0"/>
          <w:numId w:val="1003"/>
        </w:numPr>
        <w:pStyle w:val="Compact"/>
      </w:pPr>
      <w:r>
        <w:t xml:space="preserve">negociar o ejecutar transacciones inmobiliarias reguladas;</w:t>
      </w:r>
    </w:p>
    <w:p>
      <w:pPr>
        <w:numPr>
          <w:ilvl w:val="0"/>
          <w:numId w:val="1003"/>
        </w:numPr>
        <w:pStyle w:val="Compact"/>
      </w:pPr>
      <w:r>
        <w:t xml:space="preserve">custodiar o desembolsar fondos fiduciarios o de depósito;</w:t>
      </w:r>
    </w:p>
    <w:p>
      <w:pPr>
        <w:numPr>
          <w:ilvl w:val="0"/>
          <w:numId w:val="1003"/>
        </w:numPr>
        <w:pStyle w:val="Compact"/>
      </w:pPr>
      <w:r>
        <w:t xml:space="preserve">brindar asesoría legal o representar a una parte ante tribunales;</w:t>
      </w:r>
    </w:p>
    <w:p>
      <w:pPr>
        <w:numPr>
          <w:ilvl w:val="0"/>
          <w:numId w:val="1003"/>
        </w:numPr>
        <w:pStyle w:val="Compact"/>
      </w:pPr>
      <w:r>
        <w:t xml:space="preserve">realizar trabajos eléctricos, de gas, plomería, ingeniería, ascensores, protección contra incendios u otros oficios regulados;</w:t>
      </w:r>
    </w:p>
    <w:p>
      <w:pPr>
        <w:numPr>
          <w:ilvl w:val="0"/>
          <w:numId w:val="1003"/>
        </w:numPr>
        <w:pStyle w:val="Compact"/>
      </w:pPr>
      <w:r>
        <w:t xml:space="preserve">tomar decisiones profesionales de contabilidad, impuestos, seguros o inversión fuera del alcance del cargo.</w:t>
      </w:r>
    </w:p>
    <w:p>
      <w:pPr>
        <w:pStyle w:val="FirstParagraph"/>
      </w:pPr>
      <w:r>
        <w:t xml:space="preserve">Antes de pagar formación para una licencia, verifique directamente la comisión inmobiliaria, regulador de asociaciones, autoridad de vivienda u organismo competente del estado correspondiente.</w:t>
      </w:r>
    </w:p>
    <w:bookmarkEnd w:id="24"/>
    <w:bookmarkStart w:id="25" w:name="ingresos-oficiales-en-estados-unidos"/>
    <w:p>
      <w:pPr>
        <w:pStyle w:val="Heading3"/>
      </w:pPr>
      <w:r>
        <w:t xml:space="preserve">Ingresos oficiales en Estados Unidos</w:t>
      </w:r>
    </w:p>
    <w:p>
      <w:pPr>
        <w:pStyle w:val="FirstParagraph"/>
      </w:pPr>
      <w:r>
        <w:t xml:space="preserve">La vista salarial actual de O*NET, que incorpora datos BLS de 2025, muestra una mediana nacional de</w:t>
      </w:r>
      <w:r>
        <w:t xml:space="preserve"> </w:t>
      </w:r>
      <w:r>
        <w:rPr>
          <w:bCs/>
          <w:b/>
        </w:rPr>
        <w:t xml:space="preserve">USD 69.990 por año / USD 33,65 por hora</w:t>
      </w:r>
      <w:r>
        <w:t xml:space="preserve">, con aproximadamente</w:t>
      </w:r>
      <w:r>
        <w:t xml:space="preserve"> </w:t>
      </w:r>
      <w:r>
        <w:rPr>
          <w:bCs/>
          <w:b/>
        </w:rPr>
        <w:t xml:space="preserve">USD 41.010</w:t>
      </w:r>
      <w:r>
        <w:t xml:space="preserve"> </w:t>
      </w:r>
      <w:r>
        <w:t xml:space="preserve">en el percentil 10 y</w:t>
      </w:r>
      <w:r>
        <w:t xml:space="preserve"> </w:t>
      </w:r>
      <w:r>
        <w:rPr>
          <w:bCs/>
          <w:b/>
        </w:rPr>
        <w:t xml:space="preserve">USD 139.680</w:t>
      </w:r>
      <w:r>
        <w:t xml:space="preserve"> </w:t>
      </w:r>
      <w:r>
        <w:t xml:space="preserve">en el percentil 90.</w:t>
      </w:r>
    </w:p>
    <w:p>
      <w:pPr>
        <w:pStyle w:val="BodyText"/>
      </w:pPr>
      <w:r>
        <w:t xml:space="preserve">El Occupational Outlook Handbook de BLS reporta por separado una mediana anual de</w:t>
      </w:r>
      <w:r>
        <w:t xml:space="preserve"> </w:t>
      </w:r>
      <w:r>
        <w:rPr>
          <w:bCs/>
          <w:b/>
        </w:rPr>
        <w:t xml:space="preserve">USD 66.700 en mayo de 2024</w:t>
      </w:r>
      <w:r>
        <w:t xml:space="preserve">, aproximadamente</w:t>
      </w:r>
      <w:r>
        <w:t xml:space="preserve"> </w:t>
      </w:r>
      <w:r>
        <w:rPr>
          <w:bCs/>
          <w:b/>
        </w:rPr>
        <w:t xml:space="preserve">466.100 empleos</w:t>
      </w:r>
      <w:r>
        <w:t xml:space="preserve">, crecimiento proyectado de</w:t>
      </w:r>
      <w:r>
        <w:t xml:space="preserve"> </w:t>
      </w:r>
      <w:r>
        <w:rPr>
          <w:bCs/>
          <w:b/>
        </w:rPr>
        <w:t xml:space="preserve">4 % entre 2024 y 2034</w:t>
      </w:r>
      <w:r>
        <w:t xml:space="preserve"> </w:t>
      </w:r>
      <w:r>
        <w:t xml:space="preserve">y cerca de</w:t>
      </w:r>
      <w:r>
        <w:t xml:space="preserve"> </w:t>
      </w:r>
      <w:r>
        <w:rPr>
          <w:bCs/>
          <w:b/>
        </w:rPr>
        <w:t xml:space="preserve">39.000 vacantes por año</w:t>
      </w:r>
      <w:r>
        <w:t xml:space="preserve"> </w:t>
      </w:r>
      <w:r>
        <w:t xml:space="preserve">en promedio durante esa década.</w:t>
      </w:r>
    </w:p>
    <w:p>
      <w:pPr>
        <w:pStyle w:val="BodyText"/>
      </w:pPr>
      <w:r>
        <w:t xml:space="preserve">Son estimaciones ocupacionales, no ingresos garantizados.</w:t>
      </w:r>
    </w:p>
    <w:bookmarkEnd w:id="25"/>
    <w:bookmarkStart w:id="26" w:name="X6c3b09be9465f7d1ef78ce28add95b0bbe0a430"/>
    <w:p>
      <w:pPr>
        <w:pStyle w:val="Heading3"/>
      </w:pPr>
      <w:r>
        <w:t xml:space="preserve">Estimaciones privadas actuales en Estados Unidos</w:t>
      </w:r>
    </w:p>
    <w:p>
      <w:pPr>
        <w:numPr>
          <w:ilvl w:val="0"/>
          <w:numId w:val="1004"/>
        </w:numPr>
        <w:pStyle w:val="Compact"/>
      </w:pPr>
      <w:r>
        <w:t xml:space="preserve">Indeed reportó aproximadamente</w:t>
      </w:r>
      <w:r>
        <w:t xml:space="preserve"> </w:t>
      </w:r>
      <w:r>
        <w:rPr>
          <w:bCs/>
          <w:b/>
        </w:rPr>
        <w:t xml:space="preserve">USD 66.189 por año</w:t>
      </w:r>
      <w:r>
        <w:t xml:space="preserve"> </w:t>
      </w:r>
      <w:r>
        <w:t xml:space="preserve">como salario base promedio para Property Manager, con un rango mostrado de alrededor de</w:t>
      </w:r>
      <w:r>
        <w:t xml:space="preserve"> </w:t>
      </w:r>
      <w:r>
        <w:rPr>
          <w:bCs/>
          <w:b/>
        </w:rPr>
        <w:t xml:space="preserve">USD 43.430 a USD 100.875</w:t>
      </w:r>
      <w:r>
        <w:t xml:space="preserve">, actualizado el</w:t>
      </w:r>
      <w:r>
        <w:t xml:space="preserve"> </w:t>
      </w:r>
      <w:r>
        <w:rPr>
          <w:bCs/>
          <w:b/>
        </w:rPr>
        <w:t xml:space="preserve">20 de julio de 2026</w:t>
      </w:r>
      <w:r>
        <w:t xml:space="preserve">.</w:t>
      </w:r>
    </w:p>
    <w:p>
      <w:pPr>
        <w:numPr>
          <w:ilvl w:val="0"/>
          <w:numId w:val="1004"/>
        </w:numPr>
        <w:pStyle w:val="Compact"/>
      </w:pPr>
      <w:r>
        <w:t xml:space="preserve">ZipRecruiter reportó aproximadamente</w:t>
      </w:r>
      <w:r>
        <w:t xml:space="preserve"> </w:t>
      </w:r>
      <w:r>
        <w:rPr>
          <w:bCs/>
          <w:b/>
        </w:rPr>
        <w:t xml:space="preserve">USD 58.335 por año / USD 28,05 por hora</w:t>
      </w:r>
      <w:r>
        <w:t xml:space="preserve"> </w:t>
      </w:r>
      <w:r>
        <w:t xml:space="preserve">para Property Manager al</w:t>
      </w:r>
      <w:r>
        <w:t xml:space="preserve"> </w:t>
      </w:r>
      <w:r>
        <w:rPr>
          <w:bCs/>
          <w:b/>
        </w:rPr>
        <w:t xml:space="preserve">19 de julio de 2026</w:t>
      </w:r>
      <w:r>
        <w:t xml:space="preserve">, con un rango mayoritario mostrado de aproximadamente</w:t>
      </w:r>
      <w:r>
        <w:t xml:space="preserve"> </w:t>
      </w:r>
      <w:r>
        <w:rPr>
          <w:bCs/>
          <w:b/>
        </w:rPr>
        <w:t xml:space="preserve">USD 44.000 a USD 68.000</w:t>
      </w:r>
      <w:r>
        <w:t xml:space="preserve"> </w:t>
      </w:r>
      <w:r>
        <w:t xml:space="preserve">y los ingresos superiores alrededor de</w:t>
      </w:r>
      <w:r>
        <w:t xml:space="preserve"> </w:t>
      </w:r>
      <w:r>
        <w:rPr>
          <w:bCs/>
          <w:b/>
        </w:rPr>
        <w:t xml:space="preserve">USD 83.500</w:t>
      </w:r>
      <w:r>
        <w:t xml:space="preserve">.</w:t>
      </w:r>
    </w:p>
    <w:p>
      <w:pPr>
        <w:pStyle w:val="FirstParagraph"/>
      </w:pPr>
      <w:r>
        <w:t xml:space="preserve">No promedie estas cifras privadas con datos gubernamentales. Compare vacantes locales, compensación total, bonificaciones, beneficios de vivienda y obligaciones de disponibilidad fuera de horario.</w:t>
      </w:r>
    </w:p>
    <w:bookmarkEnd w:id="26"/>
    <w:bookmarkEnd w:id="27"/>
    <w:bookmarkStart w:id="28" w:name="Xb70f605e469aeef54d291645b015cb134c4b670"/>
    <w:p>
      <w:pPr>
        <w:pStyle w:val="Heading2"/>
      </w:pPr>
      <w:r>
        <w:t xml:space="preserve">4. Vivienda justa y servicio igualitario en Estados Unidos</w:t>
      </w:r>
    </w:p>
    <w:p>
      <w:pPr>
        <w:pStyle w:val="FirstParagraph"/>
      </w:pPr>
      <w:r>
        <w:t xml:space="preserve">La Fair Housing Act federal prohíbe discriminación en vivienda por raza, color, origen nacional, religión, sexo, situación familiar o discapacidad. Las leyes estatales o locales pueden proteger categorías adicionales.</w:t>
      </w:r>
    </w:p>
    <w:p>
      <w:pPr>
        <w:pStyle w:val="BodyText"/>
      </w:pPr>
      <w:r>
        <w:t xml:space="preserve">Use procedimientos escritos y consistentes para publicidad, consultas, arrendamiento, selección, cargos, mantenimiento, reglas, acceso a instalaciones, adaptaciones y quejas. No aplique estándares diferentes según características protegidas.</w:t>
      </w:r>
    </w:p>
    <w:p>
      <w:pPr>
        <w:pStyle w:val="BodyText"/>
      </w:pPr>
      <w:r>
        <w:t xml:space="preserve">Las solicitudes relacionadas con discapacidad requieren manejo cuidadoso. Siga el procedimiento del empleador, documente hechos y escale preguntas que requieran interpretación legal.</w:t>
      </w:r>
    </w:p>
    <w:bookmarkEnd w:id="28"/>
    <w:bookmarkStart w:id="29" w:name="Xafeda14f1475309f1749b20d09e0ecbe9b15d80"/>
    <w:p>
      <w:pPr>
        <w:pStyle w:val="Heading2"/>
      </w:pPr>
      <w:r>
        <w:t xml:space="preserve">5. Financiamiento y aprendizaje de menor costo en Estados Unidos</w:t>
      </w:r>
    </w:p>
    <w:p>
      <w:pPr>
        <w:pStyle w:val="FirstParagraph"/>
      </w:pPr>
      <w:r>
        <w:t xml:space="preserve">Antes de pagar un programa costoso:</w:t>
      </w:r>
    </w:p>
    <w:p>
      <w:pPr>
        <w:numPr>
          <w:ilvl w:val="0"/>
          <w:numId w:val="1005"/>
        </w:numPr>
        <w:pStyle w:val="Compact"/>
      </w:pPr>
      <w:r>
        <w:t xml:space="preserve">Verifique si las funciones objetivo requieren licencia o credencial estatal.</w:t>
      </w:r>
    </w:p>
    <w:p>
      <w:pPr>
        <w:numPr>
          <w:ilvl w:val="0"/>
          <w:numId w:val="1005"/>
        </w:numPr>
        <w:pStyle w:val="Compact"/>
      </w:pPr>
      <w:r>
        <w:t xml:space="preserve">Consulte un American Job Center sobre elegibilidad para servicios WIOA u otra ayuda laboral.</w:t>
      </w:r>
    </w:p>
    <w:p>
      <w:pPr>
        <w:numPr>
          <w:ilvl w:val="0"/>
          <w:numId w:val="1005"/>
        </w:numPr>
        <w:pStyle w:val="Compact"/>
      </w:pPr>
      <w:r>
        <w:t xml:space="preserve">Pregunte al empleador si paga capacitación en software, vivienda justa, instalaciones, contabilidad básica, seguridad, asociaciones o preparación para licencias.</w:t>
      </w:r>
    </w:p>
    <w:p>
      <w:pPr>
        <w:numPr>
          <w:ilvl w:val="0"/>
          <w:numId w:val="1005"/>
        </w:numPr>
        <w:pStyle w:val="Compact"/>
      </w:pPr>
      <w:r>
        <w:t xml:space="preserve">Busque en Apprenticeship.gov oportunidades actuales de aprendizaje basado en trabajo relacionadas con instalaciones, mantenimiento, vivienda, administración o servicio al cliente; no suponga que existe una formación registrada específica para administrador de propiedades en su zona.</w:t>
      </w:r>
    </w:p>
    <w:p>
      <w:pPr>
        <w:numPr>
          <w:ilvl w:val="0"/>
          <w:numId w:val="1005"/>
        </w:numPr>
        <w:pStyle w:val="Compact"/>
      </w:pPr>
      <w:r>
        <w:t xml:space="preserve">Compare colegios comunitarios, bibliotecas, materiales de reguladores y capacitación del empleador antes de programas comerciales.</w:t>
      </w:r>
    </w:p>
    <w:p>
      <w:pPr>
        <w:numPr>
          <w:ilvl w:val="0"/>
          <w:numId w:val="1005"/>
        </w:numPr>
        <w:pStyle w:val="Compact"/>
      </w:pPr>
      <w:r>
        <w:t xml:space="preserve">Obtenga por escrito cualquier obligación de reembolso de matrícula.</w:t>
      </w:r>
    </w:p>
    <w:bookmarkEnd w:id="29"/>
    <w:bookmarkStart w:id="31" w:name="Xd0bd3840dd883284b3c344016456959a140dd29"/>
    <w:p>
      <w:pPr>
        <w:pStyle w:val="Heading2"/>
      </w:pPr>
      <w:r>
        <w:t xml:space="preserve">6. Ruta en Canadá</w:t>
      </w:r>
    </w:p>
    <w:p>
      <w:pPr>
        <w:pStyle w:val="FirstParagraph"/>
      </w:pPr>
      <w:r>
        <w:t xml:space="preserve">Government of Canada Job Bank ubica trabajo práctico de administración residencial en</w:t>
      </w:r>
      <w:r>
        <w:t xml:space="preserve"> </w:t>
      </w:r>
      <w:r>
        <w:rPr>
          <w:bCs/>
          <w:b/>
        </w:rPr>
        <w:t xml:space="preserve">NOC 13101</w:t>
      </w:r>
      <w:r>
        <w:t xml:space="preserve">. Suele requerirse educación secundaria; pueden requerirse cursos de propiedad, strata o bienes raíces y experiencia administrativa.</w:t>
      </w:r>
    </w:p>
    <w:p>
      <w:pPr>
        <w:pStyle w:val="BodyText"/>
      </w:pPr>
      <w:r>
        <w:t xml:space="preserve">Job Bank señala específicamente que los</w:t>
      </w:r>
      <w:r>
        <w:t xml:space="preserve"> </w:t>
      </w:r>
      <w:r>
        <w:rPr>
          <w:bCs/>
          <w:b/>
        </w:rPr>
        <w:t xml:space="preserve">strata property managers en British Columbia requieren licencia</w:t>
      </w:r>
      <w:r>
        <w:t xml:space="preserve">. Las reglas pueden variar en otras provincias y territorios.</w:t>
      </w:r>
    </w:p>
    <w:bookmarkStart w:id="30" w:name="ingresos-en-canadá"/>
    <w:p>
      <w:pPr>
        <w:pStyle w:val="Heading3"/>
      </w:pPr>
      <w:r>
        <w:t xml:space="preserve">Ingresos en Canadá</w:t>
      </w:r>
    </w:p>
    <w:p>
      <w:pPr>
        <w:pStyle w:val="FirstParagraph"/>
      </w:pPr>
      <w:r>
        <w:t xml:space="preserve">Job Bank muestra actualmente aproximadamente</w:t>
      </w:r>
      <w:r>
        <w:t xml:space="preserve"> </w:t>
      </w:r>
      <w:r>
        <w:rPr>
          <w:bCs/>
          <w:b/>
        </w:rPr>
        <w:t xml:space="preserve">CAD 18,46 por hora</w:t>
      </w:r>
      <w:r>
        <w:t xml:space="preserve"> </w:t>
      </w:r>
      <w:r>
        <w:t xml:space="preserve">en el nivel bajo,</w:t>
      </w:r>
      <w:r>
        <w:t xml:space="preserve"> </w:t>
      </w:r>
      <w:r>
        <w:rPr>
          <w:bCs/>
          <w:b/>
        </w:rPr>
        <w:t xml:space="preserve">CAD 31,25</w:t>
      </w:r>
      <w:r>
        <w:t xml:space="preserve"> </w:t>
      </w:r>
      <w:r>
        <w:t xml:space="preserve">de mediana y</w:t>
      </w:r>
      <w:r>
        <w:t xml:space="preserve"> </w:t>
      </w:r>
      <w:r>
        <w:rPr>
          <w:bCs/>
          <w:b/>
        </w:rPr>
        <w:t xml:space="preserve">CAD 56,41</w:t>
      </w:r>
      <w:r>
        <w:t xml:space="preserve"> </w:t>
      </w:r>
      <w:r>
        <w:t xml:space="preserve">en el nivel alto para esta ruta NOC, con página salarial actualizada el</w:t>
      </w:r>
      <w:r>
        <w:t xml:space="preserve"> </w:t>
      </w:r>
      <w:r>
        <w:rPr>
          <w:bCs/>
          <w:b/>
        </w:rPr>
        <w:t xml:space="preserve">19 de noviembre de 2025</w:t>
      </w:r>
      <w:r>
        <w:t xml:space="preserve">.</w:t>
      </w:r>
    </w:p>
    <w:p>
      <w:pPr>
        <w:pStyle w:val="BodyText"/>
      </w:pPr>
      <w:r>
        <w:t xml:space="preserve">Use estas cifras como contexto, no como pronóstico personal. Antes de comprar una credencial privada, revise servicios provinciales de empleo, instituciones públicas, programas aprobados por el regulador, becas, ayudas estudiantiles, formación del empleador y aprendizaje basado en trabajo.</w:t>
      </w:r>
    </w:p>
    <w:bookmarkEnd w:id="30"/>
    <w:bookmarkEnd w:id="31"/>
    <w:bookmarkStart w:id="33" w:name="Xa7cf44a46d80c134dcf58c8c91f38878a3590b9"/>
    <w:p>
      <w:pPr>
        <w:pStyle w:val="Heading2"/>
      </w:pPr>
      <w:r>
        <w:t xml:space="preserve">7. Ruta en Colombia — propiedad horizontal</w:t>
      </w:r>
    </w:p>
    <w:p>
      <w:pPr>
        <w:pStyle w:val="FirstParagraph"/>
      </w:pPr>
      <w:r>
        <w:t xml:space="preserve">La</w:t>
      </w:r>
      <w:r>
        <w:t xml:space="preserve"> </w:t>
      </w:r>
      <w:r>
        <w:rPr>
          <w:bCs/>
          <w:b/>
        </w:rPr>
        <w:t xml:space="preserve">Ley 675 de 2001</w:t>
      </w:r>
      <w:r>
        <w:t xml:space="preserve"> </w:t>
      </w:r>
      <w:r>
        <w:t xml:space="preserve">regula el régimen de propiedad horizontal. Distribuye funciones de gobierno y administración entre la asamblea de propietarios, el consejo cuando corresponda y el administrador.</w:t>
      </w:r>
    </w:p>
    <w:p>
      <w:pPr>
        <w:pStyle w:val="BodyText"/>
      </w:pPr>
      <w:r>
        <w:t xml:space="preserve">La autoridad del administrador deriva de la ley aplicable, el reglamento de propiedad horizontal, las decisiones válidas de los órganos competentes y el nombramiento o contrato. El cargo no otorga autoridad ilimitada.</w:t>
      </w:r>
    </w:p>
    <w:p>
      <w:pPr>
        <w:pStyle w:val="BodyText"/>
      </w:pPr>
      <w:r>
        <w:t xml:space="preserve">Un administrador de propiedad horizontal no debe presentarse automáticamente como autorizado para ejercer corretaje inmobiliario, asesoría legal, funciones notariales o registrales, auditoría o práctica contable independiente, ni trabajos técnicos regulados de ingeniería, electricidad, gas, ascensores, estructuras, incendios o seguridad y salud en el trabajo.</w:t>
      </w:r>
    </w:p>
    <w:p>
      <w:pPr>
        <w:pStyle w:val="BodyText"/>
      </w:pPr>
      <w:r>
        <w:t xml:space="preserve">Antes de asumir el cargo, revise la ley vigente, reglamento, nombramiento, contratos, seguros, reglas municipales, protección de datos, seguridad y salud en el trabajo y autorizaciones financieras.</w:t>
      </w:r>
    </w:p>
    <w:bookmarkStart w:id="32" w:name="Xebc369133260af049475f785cc36a5254377f91"/>
    <w:p>
      <w:pPr>
        <w:pStyle w:val="Heading3"/>
      </w:pPr>
      <w:r>
        <w:t xml:space="preserve">Rutas gratuitas o de bajo costo en Colombia</w:t>
      </w:r>
    </w:p>
    <w:p>
      <w:pPr>
        <w:pStyle w:val="FirstParagraph"/>
      </w:pPr>
      <w:r>
        <w:t xml:space="preserve">SENA es una fuente pública prioritaria. La</w:t>
      </w:r>
      <w:r>
        <w:t xml:space="preserve"> </w:t>
      </w:r>
      <w:r>
        <w:rPr>
          <w:bCs/>
          <w:b/>
        </w:rPr>
        <w:t xml:space="preserve">Agencia Pública de Empleo (APE)</w:t>
      </w:r>
      <w:r>
        <w:t xml:space="preserve"> </w:t>
      </w:r>
      <w:r>
        <w:t xml:space="preserve">ofrece servicios gratuitos y las vacantes actuales permiten observar funciones demandadas como servicio a residentes, recaudo autorizado, supervisión de seguridad, mantenimiento y aseo, coordinación de contratos, reuniones e inventarios.</w:t>
      </w:r>
    </w:p>
    <w:p>
      <w:pPr>
        <w:pStyle w:val="BodyText"/>
      </w:pPr>
      <w:r>
        <w:t xml:space="preserve">Use</w:t>
      </w:r>
      <w:r>
        <w:t xml:space="preserve"> </w:t>
      </w:r>
      <w:r>
        <w:rPr>
          <w:bCs/>
          <w:b/>
        </w:rPr>
        <w:t xml:space="preserve">SENA / Betowa</w:t>
      </w:r>
      <w:r>
        <w:t xml:space="preserve"> </w:t>
      </w:r>
      <w:r>
        <w:t xml:space="preserve">para buscar ofertas vigentes en administración, contabilidad básica, Excel, servicio al cliente, archivo, manejo de conflictos, instalaciones, habilidades digitales y seguridad y salud en el trabajo.</w:t>
      </w:r>
    </w:p>
    <w:p>
      <w:pPr>
        <w:pStyle w:val="BodyText"/>
      </w:pPr>
      <w:r>
        <w:t xml:space="preserve">Durante esta revisión no se verificó un curso vigente de SENA/Betowa con el título específico de “administración de propiedad horizontal”. No presupueste ni pague suponiendo que existe; vuelva a comprobar la oferta vigente.</w:t>
      </w:r>
    </w:p>
    <w:bookmarkEnd w:id="32"/>
    <w:bookmarkEnd w:id="33"/>
    <w:bookmarkStart w:id="34" w:name="X907cd023bfecbfc2caac731c56160b4fddf5250"/>
    <w:p>
      <w:pPr>
        <w:pStyle w:val="Heading2"/>
      </w:pPr>
      <w:r>
        <w:t xml:space="preserve">8. Otros países de América Latina</w:t>
      </w:r>
    </w:p>
    <w:p>
      <w:pPr>
        <w:pStyle w:val="FirstParagraph"/>
      </w:pPr>
      <w:r>
        <w:t xml:space="preserve">Las reglas de condominio, copropiedad, propiedad horizontal, arrendamiento, consumo, trabajo, impuestos, privacidad, incendios, construcción y bienes raíces varían sustancialmente.</w:t>
      </w:r>
    </w:p>
    <w:p>
      <w:pPr>
        <w:pStyle w:val="BodyText"/>
      </w:pPr>
      <w:r>
        <w:t xml:space="preserve">Antes de pagar formación o aceptar responsabilidad:</w:t>
      </w:r>
    </w:p>
    <w:p>
      <w:pPr>
        <w:numPr>
          <w:ilvl w:val="0"/>
          <w:numId w:val="1006"/>
        </w:numPr>
        <w:pStyle w:val="Compact"/>
      </w:pPr>
      <w:r>
        <w:t xml:space="preserve">Identifique las autoridades competentes del país y municipio.</w:t>
      </w:r>
    </w:p>
    <w:p>
      <w:pPr>
        <w:numPr>
          <w:ilvl w:val="0"/>
          <w:numId w:val="1006"/>
        </w:numPr>
        <w:pStyle w:val="Compact"/>
      </w:pPr>
      <w:r>
        <w:t xml:space="preserve">Verifique licencias, registros, seguros o supervisión exigidos.</w:t>
      </w:r>
    </w:p>
    <w:p>
      <w:pPr>
        <w:numPr>
          <w:ilvl w:val="0"/>
          <w:numId w:val="1006"/>
        </w:numPr>
        <w:pStyle w:val="Compact"/>
      </w:pPr>
      <w:r>
        <w:t xml:space="preserve">Revise los documentos de gobierno y la personalidad jurídica de la propiedad o asociación.</w:t>
      </w:r>
    </w:p>
    <w:p>
      <w:pPr>
        <w:numPr>
          <w:ilvl w:val="0"/>
          <w:numId w:val="1006"/>
        </w:numPr>
        <w:pStyle w:val="Compact"/>
      </w:pPr>
      <w:r>
        <w:t xml:space="preserve">Confirme cómo deben manejarse fondos de residentes, propietarios o empleados.</w:t>
      </w:r>
    </w:p>
    <w:p>
      <w:pPr>
        <w:numPr>
          <w:ilvl w:val="0"/>
          <w:numId w:val="1006"/>
        </w:numPr>
        <w:pStyle w:val="Compact"/>
      </w:pPr>
      <w:r>
        <w:t xml:space="preserve">Verifique obligaciones técnicas con especialistas autorizados.</w:t>
      </w:r>
    </w:p>
    <w:p>
      <w:pPr>
        <w:numPr>
          <w:ilvl w:val="0"/>
          <w:numId w:val="1006"/>
        </w:numPr>
        <w:pStyle w:val="Compact"/>
      </w:pPr>
      <w:r>
        <w:t xml:space="preserve">Priorice instituciones públicas, universidades, servicios nacionales de empleo, becas oficiales y formación del empleador antes de programas privados costosos.</w:t>
      </w:r>
    </w:p>
    <w:p>
      <w:pPr>
        <w:pStyle w:val="FirstParagraph"/>
      </w:pPr>
      <w:r>
        <w:t xml:space="preserve">Desconfíe de una supuesta “certificación latinoamericana” única si el proveedor no identifica la jurisdicción y reconocimiento legal exactos.</w:t>
      </w:r>
    </w:p>
    <w:bookmarkEnd w:id="34"/>
    <w:bookmarkStart w:id="35" w:name="Xdff8b5c2d5be3cbab2474ef01ad5b4b0e73dd19"/>
    <w:p>
      <w:pPr>
        <w:pStyle w:val="Heading2"/>
      </w:pPr>
      <w:r>
        <w:t xml:space="preserve">9. Plan práctico de 12 semanas</w:t>
      </w:r>
    </w:p>
    <w:p>
      <w:pPr>
        <w:pStyle w:val="FirstParagraph"/>
      </w:pPr>
      <w:r>
        <w:rPr>
          <w:bCs/>
          <w:b/>
        </w:rPr>
        <w:t xml:space="preserve">Semanas 1–2:</w:t>
      </w:r>
      <w:r>
        <w:t xml:space="preserve"> </w:t>
      </w:r>
      <w:r>
        <w:t xml:space="preserve">identifique la jurisdicción, tipo de inmueble y límites legales del cargo.</w:t>
      </w:r>
      <w:r>
        <w:br/>
      </w:r>
      <w:r>
        <w:rPr>
          <w:bCs/>
          <w:b/>
        </w:rPr>
        <w:t xml:space="preserve">Semanas 3–4:</w:t>
      </w:r>
      <w:r>
        <w:t xml:space="preserve"> </w:t>
      </w:r>
      <w:r>
        <w:t xml:space="preserve">practique comunicaciones, órdenes de trabajo y gestión documental.</w:t>
      </w:r>
      <w:r>
        <w:br/>
      </w:r>
      <w:r>
        <w:rPr>
          <w:bCs/>
          <w:b/>
        </w:rPr>
        <w:t xml:space="preserve">Semanas 5–6:</w:t>
      </w:r>
      <w:r>
        <w:t xml:space="preserve"> </w:t>
      </w:r>
      <w:r>
        <w:t xml:space="preserve">practique con un presupuesto ficticio, facturas, cuentas por cobrar y variaciones, sin confundir apoyo contable con ejercicio profesional.</w:t>
      </w:r>
      <w:r>
        <w:br/>
      </w:r>
      <w:r>
        <w:rPr>
          <w:bCs/>
          <w:b/>
        </w:rPr>
        <w:t xml:space="preserve">Semanas 7–8:</w:t>
      </w:r>
      <w:r>
        <w:t xml:space="preserve"> </w:t>
      </w:r>
      <w:r>
        <w:t xml:space="preserve">cree un portafolio ficticio y sin datos personales: calendario de mantenimiento, checklist de proveedores, matriz de escalamiento, tablero mensual, seguimiento de reuniones e informe de incidentes.</w:t>
      </w:r>
      <w:r>
        <w:br/>
      </w:r>
      <w:r>
        <w:rPr>
          <w:bCs/>
          <w:b/>
        </w:rPr>
        <w:t xml:space="preserve">Semanas 9–10:</w:t>
      </w:r>
      <w:r>
        <w:t xml:space="preserve"> </w:t>
      </w:r>
      <w:r>
        <w:t xml:space="preserve">verifique financiamiento público, becas, SENA cuando corresponda, apoyo del empleador y aprendizaje basado en trabajo antes de pagar.</w:t>
      </w:r>
      <w:r>
        <w:br/>
      </w:r>
      <w:r>
        <w:rPr>
          <w:bCs/>
          <w:b/>
        </w:rPr>
        <w:t xml:space="preserve">Semanas 11–12:</w:t>
      </w:r>
      <w:r>
        <w:t xml:space="preserve"> </w:t>
      </w:r>
      <w:r>
        <w:t xml:space="preserve">postúlese a cargos delimitados como asistente de administración, administrador de propiedades, servicio al residente, coordinación de instalaciones, asociaciones o proveedores.</w:t>
      </w:r>
    </w:p>
    <w:p>
      <w:pPr>
        <w:pStyle w:val="BodyText"/>
      </w:pPr>
      <w:r>
        <w:t xml:space="preserve">Si un empleador exige asesoría legal sin autorización, manipulación de registros, discriminación, trabajos técnicos sin licencia, ocultamiento de incidentes o evasión de controles de seguridad, solicite aclaración o rechace la tarea.</w:t>
      </w:r>
    </w:p>
    <w:bookmarkEnd w:id="35"/>
    <w:bookmarkStart w:id="36" w:name="Xfee2d033f2931719f1119de167fa42c1f293c71"/>
    <w:p>
      <w:pPr>
        <w:pStyle w:val="Heading2"/>
      </w:pPr>
      <w:r>
        <w:t xml:space="preserve">10. Cómo evaluar proveedores de formación</w:t>
      </w:r>
    </w:p>
    <w:p>
      <w:pPr>
        <w:pStyle w:val="FirstParagraph"/>
      </w:pPr>
      <w:r>
        <w:t xml:space="preserve">Un proveedor serio debe explicar contenido, reconocimiento, jurisdicción, costo total, cargos recurrentes, reembolsos, instructores, accesibilidad y si el curso satisface una exigencia legal específica.</w:t>
      </w:r>
    </w:p>
    <w:p>
      <w:pPr>
        <w:pStyle w:val="BodyText"/>
      </w:pPr>
      <w:r>
        <w:t xml:space="preserve">Señales de alerta:</w:t>
      </w:r>
    </w:p>
    <w:p>
      <w:pPr>
        <w:numPr>
          <w:ilvl w:val="0"/>
          <w:numId w:val="1007"/>
        </w:numPr>
        <w:pStyle w:val="Compact"/>
      </w:pPr>
      <w:r>
        <w:t xml:space="preserve">empleo, salario o clientes “garantizados”;</w:t>
      </w:r>
    </w:p>
    <w:p>
      <w:pPr>
        <w:numPr>
          <w:ilvl w:val="0"/>
          <w:numId w:val="1007"/>
        </w:numPr>
        <w:pStyle w:val="Compact"/>
      </w:pPr>
      <w:r>
        <w:t xml:space="preserve">“acreditación internacional” sin identificar al acreditador;</w:t>
      </w:r>
    </w:p>
    <w:p>
      <w:pPr>
        <w:numPr>
          <w:ilvl w:val="0"/>
          <w:numId w:val="1007"/>
        </w:numPr>
        <w:pStyle w:val="Compact"/>
      </w:pPr>
      <w:r>
        <w:t xml:space="preserve">presión para pagar de inmediato;</w:t>
      </w:r>
    </w:p>
    <w:p>
      <w:pPr>
        <w:numPr>
          <w:ilvl w:val="0"/>
          <w:numId w:val="1007"/>
        </w:numPr>
        <w:pStyle w:val="Compact"/>
      </w:pPr>
      <w:r>
        <w:t xml:space="preserve">afirmaciones de que las licencias o la ley local no importan;</w:t>
      </w:r>
    </w:p>
    <w:p>
      <w:pPr>
        <w:numPr>
          <w:ilvl w:val="0"/>
          <w:numId w:val="1007"/>
        </w:numPr>
        <w:pStyle w:val="Compact"/>
      </w:pPr>
      <w:r>
        <w:t xml:space="preserve">promesas de que un certificado privado reemplaza licencia o nombramiento oficial;</w:t>
      </w:r>
    </w:p>
    <w:p>
      <w:pPr>
        <w:numPr>
          <w:ilvl w:val="0"/>
          <w:numId w:val="1007"/>
        </w:numPr>
        <w:pStyle w:val="Compact"/>
      </w:pPr>
      <w:r>
        <w:t xml:space="preserve">cobros recurrentes poco claros;</w:t>
      </w:r>
    </w:p>
    <w:p>
      <w:pPr>
        <w:numPr>
          <w:ilvl w:val="0"/>
          <w:numId w:val="1007"/>
        </w:numPr>
        <w:pStyle w:val="Compact"/>
      </w:pPr>
      <w:r>
        <w:t xml:space="preserve">solicitudes de falsificar experiencia, inspecciones, presupuestos, facturas, datos de residentes o evidencias de cumplimiento.</w:t>
      </w:r>
    </w:p>
    <w:bookmarkEnd w:id="36"/>
    <w:bookmarkStart w:id="37" w:name="X9e26b0c67576552123ddb8441d2e549b832bed2"/>
    <w:p>
      <w:pPr>
        <w:pStyle w:val="Heading2"/>
      </w:pPr>
      <w:r>
        <w:t xml:space="preserve">11. Privacidad, ciberseguridad, acceso y manejo financiero</w:t>
      </w:r>
    </w:p>
    <w:p>
      <w:pPr>
        <w:pStyle w:val="FirstParagraph"/>
      </w:pPr>
      <w:r>
        <w:t xml:space="preserve">Los administradores pueden manejar datos sensibles de residentes, propietarios, solicitantes, empleados, visitantes, proveedores, bancos, pagos, contratos, quejas, cámaras, credenciales, vehículos, contactos de emergencia, solicitudes de adaptación y seguridad del edificio.</w:t>
      </w:r>
    </w:p>
    <w:p>
      <w:pPr>
        <w:pStyle w:val="BodyText"/>
      </w:pPr>
      <w:r>
        <w:t xml:space="preserve">Aplique minimización de datos y privilegio mínimo. Use sistemas aprobados, autenticación fuerte, intercambio seguro y retención controlada. No guarde información sensible en dispositivos personales ni la suba a servicios no autorizados.</w:t>
      </w:r>
    </w:p>
    <w:p>
      <w:pPr>
        <w:pStyle w:val="BodyText"/>
      </w:pPr>
      <w:r>
        <w:t xml:space="preserve">Los cambios de cuenta bancaria de proveedores, transferencias urgentes, restablecimientos de contraseña o instrucciones de pago inusuales pueden ser fraude. Verifique por un segundo canal aprobado.</w:t>
      </w:r>
    </w:p>
    <w:p>
      <w:pPr>
        <w:pStyle w:val="BodyText"/>
      </w:pPr>
      <w:r>
        <w:t xml:space="preserve">Nunca altere registros financieros, de acceso, incidentes, mantenimiento, inspecciones, contratos o cumplimiento para ocultar errores o disputas.</w:t>
      </w:r>
    </w:p>
    <w:bookmarkEnd w:id="37"/>
    <w:bookmarkStart w:id="38" w:name="X2a80430274b157a31420cdb9c3740bec4c4d3b4"/>
    <w:p>
      <w:pPr>
        <w:pStyle w:val="Heading2"/>
      </w:pPr>
      <w:r>
        <w:t xml:space="preserve">12. Uso responsable de IA</w:t>
      </w:r>
    </w:p>
    <w:p>
      <w:pPr>
        <w:pStyle w:val="FirstParagraph"/>
      </w:pPr>
      <w:r>
        <w:t xml:space="preserve">La IA puede ayudar con planes de estudio, explicaciones generales, borradores de comunicaciones, clasificación de mantenimiento, checklists y ejercicios ficticios.</w:t>
      </w:r>
    </w:p>
    <w:p>
      <w:pPr>
        <w:pStyle w:val="BodyText"/>
      </w:pPr>
      <w:r>
        <w:t xml:space="preserve">No debe tratarse como fuente autorizada para derechos legales, desalojo, interpretación contractual, vivienda justa, adaptaciones por discapacidad, selección de solicitantes, emergencias, seguridad de vida, estructuras, electricidad, gas, incendios, ascensores, ingeniería, presupuestos, fondos fiduciarios, impuestos, auditorías ni autoridad de órganos de gobierno.</w:t>
      </w:r>
    </w:p>
    <w:p>
      <w:pPr>
        <w:pStyle w:val="BodyText"/>
      </w:pPr>
      <w:r>
        <w:t xml:space="preserve">Los hechos de alto impacto deben verificarse con documentos oficiales y escalarse al gerente, junta, abogado, contador, regulador, contratista licenciado o profesional competente.</w:t>
      </w:r>
    </w:p>
    <w:p>
      <w:pPr>
        <w:pStyle w:val="BodyText"/>
      </w:pPr>
      <w:r>
        <w:t xml:space="preserve">No cargue datos sensibles de residentes, pagos, controles de acceso, cámaras, seguridad del edificio, quejas o emergencias a herramientas externas de IA sin autorización organizacional explícita y cumplimiento de privacidad, confidencialidad, seguridad, contratos, retención y requisitos del proveedor.</w:t>
      </w:r>
    </w:p>
    <w:bookmarkEnd w:id="38"/>
    <w:bookmarkStart w:id="39" w:name="Xd8d787dd7fd51a2e2022bc901080d416643f3c7"/>
    <w:p>
      <w:pPr>
        <w:pStyle w:val="Heading2"/>
      </w:pPr>
      <w:r>
        <w:t xml:space="preserve">13. Accesibilidad y servicio inclusivo</w:t>
      </w:r>
    </w:p>
    <w:p>
      <w:pPr>
        <w:pStyle w:val="FirstParagraph"/>
      </w:pPr>
      <w:r>
        <w:t xml:space="preserve">Use lenguaje claro, documentos legibles, encabezados descriptivos y formularios digitales accesibles cuando sea posible. No dependa únicamente del color, texto pequeño, imágenes escaneadas inaccesibles o abreviaturas sin explicar.</w:t>
      </w:r>
    </w:p>
    <w:p>
      <w:pPr>
        <w:pStyle w:val="BodyText"/>
      </w:pPr>
      <w:r>
        <w:t xml:space="preserve">No asuma que la discapacidad, idioma, edad, situación familiar o comodidad tecnológica de una persona determina su capacidad. Siga los procedimientos de adaptación aplicables y escale preguntas especializadas.</w:t>
      </w:r>
    </w:p>
    <w:bookmarkEnd w:id="39"/>
    <w:bookmarkStart w:id="40" w:name="Xc936cbef6bc994588fee6c1ed6cb0e3b91b375b"/>
    <w:p>
      <w:pPr>
        <w:pStyle w:val="Heading2"/>
      </w:pPr>
      <w:r>
        <w:t xml:space="preserve">14. Cuándo detenerse o escalar</w:t>
      </w:r>
    </w:p>
    <w:p>
      <w:pPr>
        <w:pStyle w:val="FirstParagraph"/>
      </w:pPr>
      <w:r>
        <w:t xml:space="preserve">Deténgase y busque orientación autorizada cuando la tarea parezca requerir una licencia, opinión legal, juicio contable o calificación técnica que usted no tiene; cuando las instrucciones contradigan la ley, documentos de gobierno o seguridad; cuando se le pida alterar registros; cuando un pago parezca fraudulento; cuando pueda existir discriminación; cuando una emergencia supere su capacitación; o cuando datos sensibles deban salir por un canal no aprobado.</w:t>
      </w:r>
    </w:p>
    <w:bookmarkEnd w:id="40"/>
    <w:bookmarkStart w:id="55" w:name="Xf254d48ce45e9795ece92fb63dac2c0a52dd268"/>
    <w:p>
      <w:pPr>
        <w:pStyle w:val="Heading2"/>
      </w:pPr>
      <w:r>
        <w:t xml:space="preserve">15. Fuentes clave verificadas</w:t>
      </w:r>
    </w:p>
    <w:p>
      <w:pPr>
        <w:numPr>
          <w:ilvl w:val="0"/>
          <w:numId w:val="1008"/>
        </w:numPr>
        <w:pStyle w:val="Compact"/>
      </w:pPr>
      <w:r>
        <w:t xml:space="preserve">O*NET 11-9141.00:</w:t>
      </w:r>
      <w:r>
        <w:t xml:space="preserve"> </w:t>
      </w:r>
      <w:hyperlink r:id="rId41">
        <w:r>
          <w:rPr>
            <w:rStyle w:val="Hyperlink"/>
          </w:rPr>
          <w:t xml:space="preserve">https://www.onetonline.org/link/summary/11-9141.00</w:t>
        </w:r>
      </w:hyperlink>
    </w:p>
    <w:p>
      <w:pPr>
        <w:numPr>
          <w:ilvl w:val="0"/>
          <w:numId w:val="1008"/>
        </w:numPr>
        <w:pStyle w:val="Compact"/>
      </w:pPr>
      <w:r>
        <w:t xml:space="preserve">O*NET salarios:</w:t>
      </w:r>
      <w:r>
        <w:t xml:space="preserve"> </w:t>
      </w:r>
      <w:hyperlink r:id="rId42">
        <w:r>
          <w:rPr>
            <w:rStyle w:val="Hyperlink"/>
          </w:rPr>
          <w:t xml:space="preserve">https://www.onetonline.org/link/localwages/11-9141.00</w:t>
        </w:r>
      </w:hyperlink>
    </w:p>
    <w:p>
      <w:pPr>
        <w:numPr>
          <w:ilvl w:val="0"/>
          <w:numId w:val="1008"/>
        </w:numPr>
        <w:pStyle w:val="Compact"/>
      </w:pPr>
      <w:r>
        <w:t xml:space="preserve">BLS Occupational Outlook Handbook:</w:t>
      </w:r>
      <w:r>
        <w:t xml:space="preserve"> </w:t>
      </w:r>
      <w:hyperlink r:id="rId43">
        <w:r>
          <w:rPr>
            <w:rStyle w:val="Hyperlink"/>
          </w:rPr>
          <w:t xml:space="preserve">https://www.bls.gov/ooh/management/property-real-estate-and-community-association-managers.htm</w:t>
        </w:r>
      </w:hyperlink>
    </w:p>
    <w:p>
      <w:pPr>
        <w:numPr>
          <w:ilvl w:val="0"/>
          <w:numId w:val="1008"/>
        </w:numPr>
        <w:pStyle w:val="Compact"/>
      </w:pPr>
      <w:r>
        <w:t xml:space="preserve">HUD Fair Housing Act:</w:t>
      </w:r>
      <w:r>
        <w:t xml:space="preserve"> </w:t>
      </w:r>
      <w:hyperlink r:id="rId44">
        <w:r>
          <w:rPr>
            <w:rStyle w:val="Hyperlink"/>
          </w:rPr>
          <w:t xml:space="preserve">https://www.hud.gov/helping-americans/fair-housing-act-overview</w:t>
        </w:r>
      </w:hyperlink>
    </w:p>
    <w:p>
      <w:pPr>
        <w:numPr>
          <w:ilvl w:val="0"/>
          <w:numId w:val="1008"/>
        </w:numPr>
        <w:pStyle w:val="Compact"/>
      </w:pPr>
      <w:r>
        <w:t xml:space="preserve">CareerOneStop WIOA:</w:t>
      </w:r>
      <w:r>
        <w:t xml:space="preserve"> </w:t>
      </w:r>
      <w:hyperlink r:id="rId45">
        <w:r>
          <w:rPr>
            <w:rStyle w:val="Hyperlink"/>
          </w:rPr>
          <w:t xml:space="preserve">https://www.careeronestop.org/LocalHelp/EmploymentAndTraining/find-WIOA-training-programs.aspx</w:t>
        </w:r>
      </w:hyperlink>
    </w:p>
    <w:p>
      <w:pPr>
        <w:numPr>
          <w:ilvl w:val="0"/>
          <w:numId w:val="1008"/>
        </w:numPr>
        <w:pStyle w:val="Compact"/>
      </w:pPr>
      <w:r>
        <w:t xml:space="preserve">Apprenticeship.gov:</w:t>
      </w:r>
      <w:r>
        <w:t xml:space="preserve"> </w:t>
      </w:r>
      <w:hyperlink r:id="rId46">
        <w:r>
          <w:rPr>
            <w:rStyle w:val="Hyperlink"/>
          </w:rPr>
          <w:t xml:space="preserve">https://www.apprenticeship.gov/</w:t>
        </w:r>
      </w:hyperlink>
    </w:p>
    <w:p>
      <w:pPr>
        <w:numPr>
          <w:ilvl w:val="0"/>
          <w:numId w:val="1008"/>
        </w:numPr>
        <w:pStyle w:val="Compact"/>
      </w:pPr>
      <w:r>
        <w:t xml:space="preserve">Indeed:</w:t>
      </w:r>
      <w:r>
        <w:t xml:space="preserve"> </w:t>
      </w:r>
      <w:hyperlink r:id="rId47">
        <w:r>
          <w:rPr>
            <w:rStyle w:val="Hyperlink"/>
          </w:rPr>
          <w:t xml:space="preserve">https://www.indeed.com/career/property-manager/salaries</w:t>
        </w:r>
      </w:hyperlink>
    </w:p>
    <w:p>
      <w:pPr>
        <w:numPr>
          <w:ilvl w:val="0"/>
          <w:numId w:val="1008"/>
        </w:numPr>
        <w:pStyle w:val="Compact"/>
      </w:pPr>
      <w:r>
        <w:t xml:space="preserve">ZipRecruiter:</w:t>
      </w:r>
      <w:r>
        <w:t xml:space="preserve"> </w:t>
      </w:r>
      <w:hyperlink r:id="rId48">
        <w:r>
          <w:rPr>
            <w:rStyle w:val="Hyperlink"/>
          </w:rPr>
          <w:t xml:space="preserve">https://www.ziprecruiter.com/Salaries/Property-Manager-Salary</w:t>
        </w:r>
      </w:hyperlink>
    </w:p>
    <w:p>
      <w:pPr>
        <w:numPr>
          <w:ilvl w:val="0"/>
          <w:numId w:val="1008"/>
        </w:numPr>
        <w:pStyle w:val="Compact"/>
      </w:pPr>
      <w:r>
        <w:t xml:space="preserve">Job Bank NOC 13101 requisitos:</w:t>
      </w:r>
      <w:r>
        <w:t xml:space="preserve"> </w:t>
      </w:r>
      <w:hyperlink r:id="rId49">
        <w:r>
          <w:rPr>
            <w:rStyle w:val="Hyperlink"/>
          </w:rPr>
          <w:t xml:space="preserve">https://www.jobbank.gc.ca/marketreport/requirements/17717/ca</w:t>
        </w:r>
      </w:hyperlink>
    </w:p>
    <w:p>
      <w:pPr>
        <w:numPr>
          <w:ilvl w:val="0"/>
          <w:numId w:val="1008"/>
        </w:numPr>
        <w:pStyle w:val="Compact"/>
      </w:pPr>
      <w:r>
        <w:t xml:space="preserve">Job Bank NOC 13101 salarios:</w:t>
      </w:r>
      <w:r>
        <w:t xml:space="preserve"> </w:t>
      </w:r>
      <w:hyperlink r:id="rId50">
        <w:r>
          <w:rPr>
            <w:rStyle w:val="Hyperlink"/>
          </w:rPr>
          <w:t xml:space="preserve">https://www.jobbank.gc.ca/marketreport/wages-occupation/17717/ca</w:t>
        </w:r>
      </w:hyperlink>
    </w:p>
    <w:p>
      <w:pPr>
        <w:numPr>
          <w:ilvl w:val="0"/>
          <w:numId w:val="1008"/>
        </w:numPr>
        <w:pStyle w:val="Compact"/>
      </w:pPr>
      <w:r>
        <w:t xml:space="preserve">Ley 675 de 2001:</w:t>
      </w:r>
      <w:r>
        <w:t xml:space="preserve"> </w:t>
      </w:r>
      <w:hyperlink r:id="rId51">
        <w:r>
          <w:rPr>
            <w:rStyle w:val="Hyperlink"/>
          </w:rPr>
          <w:t xml:space="preserve">https://www.secretariasenado.gov.co/senado/basedoc/ley_0675_2001.html</w:t>
        </w:r>
      </w:hyperlink>
    </w:p>
    <w:p>
      <w:pPr>
        <w:numPr>
          <w:ilvl w:val="0"/>
          <w:numId w:val="1008"/>
        </w:numPr>
        <w:pStyle w:val="Compact"/>
      </w:pPr>
      <w:r>
        <w:t xml:space="preserve">SUIN-Juriscol:</w:t>
      </w:r>
      <w:r>
        <w:t xml:space="preserve"> </w:t>
      </w:r>
      <w:hyperlink r:id="rId52">
        <w:r>
          <w:rPr>
            <w:rStyle w:val="Hyperlink"/>
          </w:rPr>
          <w:t xml:space="preserve">https://suin-juriscol.gov.co/viewDocument.asp?id=1665811</w:t>
        </w:r>
      </w:hyperlink>
    </w:p>
    <w:p>
      <w:pPr>
        <w:numPr>
          <w:ilvl w:val="0"/>
          <w:numId w:val="1008"/>
        </w:numPr>
        <w:pStyle w:val="Compact"/>
      </w:pPr>
      <w:r>
        <w:t xml:space="preserve">SENA APE:</w:t>
      </w:r>
      <w:r>
        <w:t xml:space="preserve"> </w:t>
      </w:r>
      <w:hyperlink r:id="rId53">
        <w:r>
          <w:rPr>
            <w:rStyle w:val="Hyperlink"/>
          </w:rPr>
          <w:t xml:space="preserve">https://ape.sena.edu.co/</w:t>
        </w:r>
      </w:hyperlink>
    </w:p>
    <w:p>
      <w:pPr>
        <w:numPr>
          <w:ilvl w:val="0"/>
          <w:numId w:val="1008"/>
        </w:numPr>
        <w:pStyle w:val="Compact"/>
      </w:pPr>
      <w:r>
        <w:t xml:space="preserve">SENA Betowa:</w:t>
      </w:r>
      <w:r>
        <w:t xml:space="preserve"> </w:t>
      </w:r>
      <w:hyperlink r:id="rId54">
        <w:r>
          <w:rPr>
            <w:rStyle w:val="Hyperlink"/>
          </w:rPr>
          <w:t xml:space="preserve">https://betowa.sena.edu.co/</w:t>
        </w:r>
      </w:hyperlink>
    </w:p>
    <w:p>
      <w:pPr>
        <w:pStyle w:val="FirstParagraph"/>
      </w:pPr>
      <w:r>
        <w:rPr>
          <w:bCs/>
          <w:b/>
        </w:rPr>
        <w:t xml:space="preserve">Fecha de verificación de fuentes:</w:t>
      </w:r>
      <w:r>
        <w:t xml:space="preserve"> </w:t>
      </w:r>
      <w:r>
        <w:t xml:space="preserve">2026-08-10. Vuelva a verificar enlaces, oferta de capacitación y requisitos antes de inscribirse, solicitar una licencia o tomar una decisión de cumplimiento.</w:t>
      </w:r>
    </w:p>
    <w:bookmarkEnd w:id="55"/>
    <w:bookmarkStart w:id="56" w:name="nota-final"/>
    <w:p>
      <w:pPr>
        <w:pStyle w:val="Heading2"/>
      </w:pPr>
      <w:r>
        <w:t xml:space="preserve">Nota final</w:t>
      </w:r>
    </w:p>
    <w:p>
      <w:pPr>
        <w:pStyle w:val="FirstParagraph"/>
      </w:pPr>
      <w:r>
        <w:t xml:space="preserve">Esta guía es un recurso educativo controlado. No certifica autoridad legal, licencia, acreditación, traducción profesional, conformidad de accesibilidad, revisión humana independiente, empleo ni ingresos.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pe.sena.edu.co/" TargetMode="External" /><Relationship Type="http://schemas.openxmlformats.org/officeDocument/2006/relationships/hyperlink" Id="rId54" Target="https://betowa.sena.edu.co/" TargetMode="External" /><Relationship Type="http://schemas.openxmlformats.org/officeDocument/2006/relationships/hyperlink" Id="rId52" Target="https://suin-juriscol.gov.co/viewDocument.asp?id=1665811" TargetMode="External" /><Relationship Type="http://schemas.openxmlformats.org/officeDocument/2006/relationships/hyperlink" Id="rId46" Target="https://www.apprenticeship.gov/" TargetMode="External" /><Relationship Type="http://schemas.openxmlformats.org/officeDocument/2006/relationships/hyperlink" Id="rId43" Target="https://www.bls.gov/ooh/management/property-real-estate-and-community-association-managers.htm" TargetMode="External" /><Relationship Type="http://schemas.openxmlformats.org/officeDocument/2006/relationships/hyperlink" Id="rId45" Target="https://www.careeronestop.org/LocalHelp/EmploymentAndTraining/find-WIOA-training-programs.aspx" TargetMode="External" /><Relationship Type="http://schemas.openxmlformats.org/officeDocument/2006/relationships/hyperlink" Id="rId44" Target="https://www.hud.gov/helping-americans/fair-housing-act-overview" TargetMode="External" /><Relationship Type="http://schemas.openxmlformats.org/officeDocument/2006/relationships/hyperlink" Id="rId47" Target="https://www.indeed.com/career/property-manager/salaries" TargetMode="External" /><Relationship Type="http://schemas.openxmlformats.org/officeDocument/2006/relationships/hyperlink" Id="rId49" Target="https://www.jobbank.gc.ca/marketreport/requirements/17717/ca" TargetMode="External" /><Relationship Type="http://schemas.openxmlformats.org/officeDocument/2006/relationships/hyperlink" Id="rId50" Target="https://www.jobbank.gc.ca/marketreport/wages-occupation/17717/ca" TargetMode="External" /><Relationship Type="http://schemas.openxmlformats.org/officeDocument/2006/relationships/hyperlink" Id="rId42" Target="https://www.onetonline.org/link/localwages/11-9141.00" TargetMode="External" /><Relationship Type="http://schemas.openxmlformats.org/officeDocument/2006/relationships/hyperlink" Id="rId41" Target="https://www.onetonline.org/link/summary/11-9141.00" TargetMode="External" /><Relationship Type="http://schemas.openxmlformats.org/officeDocument/2006/relationships/hyperlink" Id="rId51" Target="https://www.secretariasenado.gov.co/senado/basedoc/ley_0675_2001.html" TargetMode="External" /><Relationship Type="http://schemas.openxmlformats.org/officeDocument/2006/relationships/hyperlink" Id="rId48" Target="https://www.ziprecruiter.com/Salaries/Property-Manager-Salary" TargetMode="External" /></Relationships>
</file>

<file path=word/_rels/footnotes.xml.rels><?xml version="1.0" encoding="UTF-8"?><Relationships xmlns="http://schemas.openxmlformats.org/package/2006/relationships"><Relationship Type="http://schemas.openxmlformats.org/officeDocument/2006/relationships/hyperlink" Id="rId53" Target="https://ape.sena.edu.co/" TargetMode="External" /><Relationship Type="http://schemas.openxmlformats.org/officeDocument/2006/relationships/hyperlink" Id="rId54" Target="https://betowa.sena.edu.co/" TargetMode="External" /><Relationship Type="http://schemas.openxmlformats.org/officeDocument/2006/relationships/hyperlink" Id="rId52" Target="https://suin-juriscol.gov.co/viewDocument.asp?id=1665811" TargetMode="External" /><Relationship Type="http://schemas.openxmlformats.org/officeDocument/2006/relationships/hyperlink" Id="rId46" Target="https://www.apprenticeship.gov/" TargetMode="External" /><Relationship Type="http://schemas.openxmlformats.org/officeDocument/2006/relationships/hyperlink" Id="rId43" Target="https://www.bls.gov/ooh/management/property-real-estate-and-community-association-managers.htm" TargetMode="External" /><Relationship Type="http://schemas.openxmlformats.org/officeDocument/2006/relationships/hyperlink" Id="rId45" Target="https://www.careeronestop.org/LocalHelp/EmploymentAndTraining/find-WIOA-training-programs.aspx" TargetMode="External" /><Relationship Type="http://schemas.openxmlformats.org/officeDocument/2006/relationships/hyperlink" Id="rId44" Target="https://www.hud.gov/helping-americans/fair-housing-act-overview" TargetMode="External" /><Relationship Type="http://schemas.openxmlformats.org/officeDocument/2006/relationships/hyperlink" Id="rId47" Target="https://www.indeed.com/career/property-manager/salaries" TargetMode="External" /><Relationship Type="http://schemas.openxmlformats.org/officeDocument/2006/relationships/hyperlink" Id="rId49" Target="https://www.jobbank.gc.ca/marketreport/requirements/17717/ca" TargetMode="External" /><Relationship Type="http://schemas.openxmlformats.org/officeDocument/2006/relationships/hyperlink" Id="rId50" Target="https://www.jobbank.gc.ca/marketreport/wages-occupation/17717/ca" TargetMode="External" /><Relationship Type="http://schemas.openxmlformats.org/officeDocument/2006/relationships/hyperlink" Id="rId42" Target="https://www.onetonline.org/link/localwages/11-9141.00" TargetMode="External" /><Relationship Type="http://schemas.openxmlformats.org/officeDocument/2006/relationships/hyperlink" Id="rId41" Target="https://www.onetonline.org/link/summary/11-9141.00" TargetMode="External" /><Relationship Type="http://schemas.openxmlformats.org/officeDocument/2006/relationships/hyperlink" Id="rId51" Target="https://www.secretariasenado.gov.co/senado/basedoc/ley_0675_2001.html" TargetMode="External" /><Relationship Type="http://schemas.openxmlformats.org/officeDocument/2006/relationships/hyperlink" Id="rId48" Target="https://www.ziprecruiter.com/Salaries/Property-Manag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2026-08-10T11:07:33Z</dcterms:created>
  <dcterms:modified xsi:type="dcterms:W3CDTF">2026-08-10T11:07:33Z</dcterms:modified>
</cp:coreProperties>
</file>

<file path=docProps/custom.xml><?xml version="1.0" encoding="utf-8"?>
<Properties xmlns="http://schemas.openxmlformats.org/officeDocument/2006/custom-properties" xmlns:vt="http://schemas.openxmlformats.org/officeDocument/2006/docPropsVTypes"/>
</file>