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4efd958ee4d4d1cad1be6013488339cfa1bd9cf"/>
    <w:p>
      <w:pPr>
        <w:pStyle w:val="Heading1"/>
      </w:pPr>
      <w:r>
        <w:t xml:space="preserve">Guide 41 — Carpenter and Cabinetmaking Technician</w:t>
      </w:r>
    </w:p>
    <w:p>
      <w:pPr>
        <w:pStyle w:val="FirstParagraph"/>
      </w:pPr>
      <w:r>
        <w:rPr>
          <w:bCs/>
          <w:b/>
        </w:rPr>
        <w:t xml:space="preserve">Controlled English working master — version 2.0</w:t>
      </w:r>
      <w:r>
        <w:br/>
      </w:r>
      <w:r>
        <w:rPr>
          <w:bCs/>
          <w:b/>
        </w:rPr>
        <w:t xml:space="preserve">Revision date:</w:t>
      </w:r>
      <w:r>
        <w:t xml:space="preserve"> </w:t>
      </w:r>
      <w:r>
        <w:t xml:space="preserve">August 14,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Carpentry and cabinetmaking are related woodworking pathways, but they are not identical. Construction carpenters typically build, install, repair, or renovate structural and finish components in homes, commercial buildings, infrastructure, and other jobsite settings. Cabinetmakers and bench carpenters more often work in shops or manufacturing environments producing cabinets, furniture components, millwork, casework, and other precision wood products, sometimes followed by field installation.</w:t>
      </w:r>
    </w:p>
    <w:p>
      <w:pPr>
        <w:pStyle w:val="BodyText"/>
      </w:pPr>
      <w:r>
        <w:t xml:space="preserve">Employers may use titles such as carpenter, apprentice carpenter, finish carpenter, form carpenter, cabinetmaker, cabinet installer, bench carpenter, millwork technician, joiner, woodworking technician, or shop carpenter. Duties, certification rules, wages, and training expectations vary by country, province/state, employer, and specialty.</w:t>
      </w:r>
    </w:p>
    <w:p>
      <w:pPr>
        <w:pStyle w:val="BodyText"/>
      </w:pPr>
      <w:r>
        <w:t xml:space="preserve">This guide is for career exploration and preparation. Verify current local requirements, safety rules, licensing or certification requirements, and training availability before paying for a program or accepting work.</w:t>
      </w:r>
    </w:p>
    <w:bookmarkEnd w:id="20"/>
    <w:bookmarkStart w:id="21" w:name="what-you-may-do"/>
    <w:p>
      <w:pPr>
        <w:pStyle w:val="Heading2"/>
      </w:pPr>
      <w:r>
        <w:t xml:space="preserve">What you may do</w:t>
      </w:r>
    </w:p>
    <w:p>
      <w:pPr>
        <w:pStyle w:val="FirstParagraph"/>
      </w:pPr>
      <w:r>
        <w:t xml:space="preserve">Depending on the pathway, typical responsibilities can include:</w:t>
      </w:r>
    </w:p>
    <w:p>
      <w:pPr>
        <w:numPr>
          <w:ilvl w:val="0"/>
          <w:numId w:val="1001"/>
        </w:numPr>
        <w:pStyle w:val="Compact"/>
      </w:pPr>
      <w:r>
        <w:t xml:space="preserve">read drawings, plans, shop drawings, specifications, and work orders;</w:t>
      </w:r>
    </w:p>
    <w:p>
      <w:pPr>
        <w:numPr>
          <w:ilvl w:val="0"/>
          <w:numId w:val="1001"/>
        </w:numPr>
        <w:pStyle w:val="Compact"/>
      </w:pPr>
      <w:r>
        <w:t xml:space="preserve">measure, mark, cut, shape, drill, assemble, fit, and install wood or wood-based materials;</w:t>
      </w:r>
    </w:p>
    <w:p>
      <w:pPr>
        <w:numPr>
          <w:ilvl w:val="0"/>
          <w:numId w:val="1001"/>
        </w:numPr>
        <w:pStyle w:val="Compact"/>
      </w:pPr>
      <w:r>
        <w:t xml:space="preserve">build or install framing, forms, doors, windows, trim, stairs, partitions, cabinets, counters, shelving, millwork, or furniture components;</w:t>
      </w:r>
    </w:p>
    <w:p>
      <w:pPr>
        <w:numPr>
          <w:ilvl w:val="0"/>
          <w:numId w:val="1001"/>
        </w:numPr>
        <w:pStyle w:val="Compact"/>
      </w:pPr>
      <w:r>
        <w:t xml:space="preserve">use hand tools, portable power tools, stationary woodworking machinery, and measuring instruments;</w:t>
      </w:r>
    </w:p>
    <w:p>
      <w:pPr>
        <w:numPr>
          <w:ilvl w:val="0"/>
          <w:numId w:val="1001"/>
        </w:numPr>
        <w:pStyle w:val="Compact"/>
      </w:pPr>
      <w:r>
        <w:t xml:space="preserve">select materials and hardware based on dimensions, finish, strength, moisture, appearance, and project requirements;</w:t>
      </w:r>
    </w:p>
    <w:p>
      <w:pPr>
        <w:numPr>
          <w:ilvl w:val="0"/>
          <w:numId w:val="1001"/>
        </w:numPr>
        <w:pStyle w:val="Compact"/>
      </w:pPr>
      <w:r>
        <w:t xml:space="preserve">check fit, level, plumb, square, alignment, and finish quality;</w:t>
      </w:r>
    </w:p>
    <w:p>
      <w:pPr>
        <w:numPr>
          <w:ilvl w:val="0"/>
          <w:numId w:val="1001"/>
        </w:numPr>
        <w:pStyle w:val="Compact"/>
      </w:pPr>
      <w:r>
        <w:t xml:space="preserve">estimate or track materials, hardware, waste, and basic production needs;</w:t>
      </w:r>
    </w:p>
    <w:p>
      <w:pPr>
        <w:numPr>
          <w:ilvl w:val="0"/>
          <w:numId w:val="1001"/>
        </w:numPr>
        <w:pStyle w:val="Compact"/>
      </w:pPr>
      <w:r>
        <w:t xml:space="preserve">coordinate with supervisors, trades, customers, designers, installers, suppliers, or production teams;</w:t>
      </w:r>
    </w:p>
    <w:p>
      <w:pPr>
        <w:numPr>
          <w:ilvl w:val="0"/>
          <w:numId w:val="1001"/>
        </w:numPr>
        <w:pStyle w:val="Compact"/>
      </w:pPr>
      <w:r>
        <w:t xml:space="preserve">maintain tools, work areas, and records according to employer procedures; and</w:t>
      </w:r>
    </w:p>
    <w:p>
      <w:pPr>
        <w:numPr>
          <w:ilvl w:val="0"/>
          <w:numId w:val="1001"/>
        </w:numPr>
        <w:pStyle w:val="Compact"/>
      </w:pPr>
      <w:r>
        <w:t xml:space="preserve">stop and escalate work when drawings, measurements, materials, equipment, or site conditions create a safety or quality concern.</w:t>
      </w:r>
    </w:p>
    <w:p>
      <w:pPr>
        <w:pStyle w:val="FirstParagraph"/>
      </w:pPr>
      <w:r>
        <w:t xml:space="preserve">Construction carpentry may involve more field installation, structural work, outdoor exposure, ladders, scaffolds, or changing jobsites. Cabinetmaking may involve more shop fabrication, repetitive machine work, dust collection systems, precision joinery, sanding, finishing, assembly, and production scheduling.</w:t>
      </w:r>
    </w:p>
    <w:bookmarkEnd w:id="21"/>
    <w:bookmarkStart w:id="22" w:name="work-environment-and-physical-demands"/>
    <w:p>
      <w:pPr>
        <w:pStyle w:val="Heading2"/>
      </w:pPr>
      <w:r>
        <w:t xml:space="preserve">Work environment and physical demands</w:t>
      </w:r>
    </w:p>
    <w:p>
      <w:pPr>
        <w:pStyle w:val="FirstParagraph"/>
      </w:pPr>
      <w:r>
        <w:t xml:space="preserve">Work can take place in construction sites, renovation projects, workshops, cabinet shops, manufacturing plants, customer premises, or installation locations. Some jobs require frequent standing, bending, lifting, kneeling, climbing, carrying materials, and working in noise, dust, heat, cold, or unfinished spaces.</w:t>
      </w:r>
    </w:p>
    <w:p>
      <w:pPr>
        <w:pStyle w:val="BodyText"/>
      </w:pPr>
      <w:r>
        <w:t xml:space="preserve">Carpentry and cabinetmaking involve significant hazards. These can include blades, saws, routers, nailers, presses, sanding equipment, airborne wood dust, noise, falls, lifting injuries, electrical hazards, chemicals, adhesives, coatings, finishing products, and vehicle or equipment traffic.</w:t>
      </w:r>
    </w:p>
    <w:p>
      <w:pPr>
        <w:pStyle w:val="BodyText"/>
      </w:pPr>
      <w:r>
        <w:t xml:space="preserve">Follow employer and jurisdiction-specific requirements for machine guarding, personal protective equipment, respiratory protection, hearing protection, fall protection, lockout/tagout, chemical handling, ventilation, dust collection, housekeeping, and equipment training. Never remove a guard, defeat an interlock, bypass fall protection, or improvise a hazardous procedure to save time.</w:t>
      </w:r>
    </w:p>
    <w:bookmarkEnd w:id="22"/>
    <w:bookmarkStart w:id="23" w:name="skills-that-matter"/>
    <w:p>
      <w:pPr>
        <w:pStyle w:val="Heading2"/>
      </w:pPr>
      <w:r>
        <w:t xml:space="preserve">Skills that matter</w:t>
      </w:r>
    </w:p>
    <w:p>
      <w:pPr>
        <w:pStyle w:val="FirstParagraph"/>
      </w:pPr>
      <w:r>
        <w:t xml:space="preserve">Employers commonly value:</w:t>
      </w:r>
    </w:p>
    <w:p>
      <w:pPr>
        <w:numPr>
          <w:ilvl w:val="0"/>
          <w:numId w:val="1002"/>
        </w:numPr>
        <w:pStyle w:val="Compact"/>
      </w:pPr>
      <w:r>
        <w:t xml:space="preserve">accurate measurement and arithmetic;</w:t>
      </w:r>
    </w:p>
    <w:p>
      <w:pPr>
        <w:numPr>
          <w:ilvl w:val="0"/>
          <w:numId w:val="1002"/>
        </w:numPr>
        <w:pStyle w:val="Compact"/>
      </w:pPr>
      <w:r>
        <w:t xml:space="preserve">ability to read drawings, plans, and specifications;</w:t>
      </w:r>
    </w:p>
    <w:p>
      <w:pPr>
        <w:numPr>
          <w:ilvl w:val="0"/>
          <w:numId w:val="1002"/>
        </w:numPr>
        <w:pStyle w:val="Compact"/>
      </w:pPr>
      <w:r>
        <w:t xml:space="preserve">safe use of hand and power tools;</w:t>
      </w:r>
    </w:p>
    <w:p>
      <w:pPr>
        <w:numPr>
          <w:ilvl w:val="0"/>
          <w:numId w:val="1002"/>
        </w:numPr>
        <w:pStyle w:val="Compact"/>
      </w:pPr>
      <w:r>
        <w:t xml:space="preserve">material knowledge, including lumber, sheet goods, hardware, fasteners, adhesives, and finishes;</w:t>
      </w:r>
    </w:p>
    <w:p>
      <w:pPr>
        <w:numPr>
          <w:ilvl w:val="0"/>
          <w:numId w:val="1002"/>
        </w:numPr>
        <w:pStyle w:val="Compact"/>
      </w:pPr>
      <w:r>
        <w:t xml:space="preserve">careful cutting, fitting, assembly, and installation;</w:t>
      </w:r>
    </w:p>
    <w:p>
      <w:pPr>
        <w:numPr>
          <w:ilvl w:val="0"/>
          <w:numId w:val="1002"/>
        </w:numPr>
        <w:pStyle w:val="Compact"/>
      </w:pPr>
      <w:r>
        <w:t xml:space="preserve">attention to detail and finish quality;</w:t>
      </w:r>
    </w:p>
    <w:p>
      <w:pPr>
        <w:numPr>
          <w:ilvl w:val="0"/>
          <w:numId w:val="1002"/>
        </w:numPr>
        <w:pStyle w:val="Compact"/>
      </w:pPr>
      <w:r>
        <w:t xml:space="preserve">spatial reasoning and visualization;</w:t>
      </w:r>
    </w:p>
    <w:p>
      <w:pPr>
        <w:numPr>
          <w:ilvl w:val="0"/>
          <w:numId w:val="1002"/>
        </w:numPr>
        <w:pStyle w:val="Compact"/>
      </w:pPr>
      <w:r>
        <w:t xml:space="preserve">basic estimating and material planning;</w:t>
      </w:r>
    </w:p>
    <w:p>
      <w:pPr>
        <w:numPr>
          <w:ilvl w:val="0"/>
          <w:numId w:val="1002"/>
        </w:numPr>
        <w:pStyle w:val="Compact"/>
      </w:pPr>
      <w:r>
        <w:t xml:space="preserve">problem solving when site conditions or materials differ from the plan;</w:t>
      </w:r>
    </w:p>
    <w:p>
      <w:pPr>
        <w:numPr>
          <w:ilvl w:val="0"/>
          <w:numId w:val="1002"/>
        </w:numPr>
        <w:pStyle w:val="Compact"/>
      </w:pPr>
      <w:r>
        <w:t xml:space="preserve">clear communication with supervisors, customers, trades, and coworkers;</w:t>
      </w:r>
    </w:p>
    <w:p>
      <w:pPr>
        <w:numPr>
          <w:ilvl w:val="0"/>
          <w:numId w:val="1002"/>
        </w:numPr>
        <w:pStyle w:val="Compact"/>
      </w:pPr>
      <w:r>
        <w:t xml:space="preserve">reliability, punctuality, and safe work habits; and</w:t>
      </w:r>
    </w:p>
    <w:p>
      <w:pPr>
        <w:numPr>
          <w:ilvl w:val="0"/>
          <w:numId w:val="1002"/>
        </w:numPr>
        <w:pStyle w:val="Compact"/>
      </w:pPr>
      <w:r>
        <w:t xml:space="preserve">willingness to learn employer-specific tools, machinery, standards, and software.</w:t>
      </w:r>
    </w:p>
    <w:p>
      <w:pPr>
        <w:pStyle w:val="FirstParagraph"/>
      </w:pPr>
      <w:r>
        <w:t xml:space="preserve">Basic digital skills are increasingly useful for reading electronic drawings, receiving work orders, documenting progress, tracking materials, or using estimating and production systems. A specific software product is not universally required.</w:t>
      </w:r>
    </w:p>
    <w:bookmarkEnd w:id="23"/>
    <w:bookmarkStart w:id="28" w:name="education-and-entry-pathways"/>
    <w:p>
      <w:pPr>
        <w:pStyle w:val="Heading2"/>
      </w:pPr>
      <w:r>
        <w:t xml:space="preserve">Education and entry pathways</w:t>
      </w:r>
    </w:p>
    <w:bookmarkStart w:id="24" w:name="united-states"/>
    <w:p>
      <w:pPr>
        <w:pStyle w:val="Heading3"/>
      </w:pPr>
      <w:r>
        <w:t xml:space="preserve">United States</w:t>
      </w:r>
    </w:p>
    <w:p>
      <w:pPr>
        <w:pStyle w:val="FirstParagraph"/>
      </w:pPr>
      <w:r>
        <w:t xml:space="preserve">O*NET classifies Carpenters under occupation</w:t>
      </w:r>
      <w:r>
        <w:t xml:space="preserve"> </w:t>
      </w:r>
      <w:r>
        <w:rPr>
          <w:bCs/>
          <w:b/>
        </w:rPr>
        <w:t xml:space="preserve">47-2031.00</w:t>
      </w:r>
      <w:r>
        <w:t xml:space="preserve">. Entry requirements vary, but paid apprenticeship and employer-based training are important pathways. Registered Apprenticeship programs combine paid on-the-job learning with related instruction and progressive skill development.</w:t>
      </w:r>
    </w:p>
    <w:p>
      <w:pPr>
        <w:pStyle w:val="BodyText"/>
      </w:pPr>
      <w:r>
        <w:t xml:space="preserve">A practical entry path can be:</w:t>
      </w:r>
    </w:p>
    <w:p>
      <w:pPr>
        <w:numPr>
          <w:ilvl w:val="0"/>
          <w:numId w:val="1003"/>
        </w:numPr>
        <w:pStyle w:val="Compact"/>
      </w:pPr>
      <w:r>
        <w:t xml:space="preserve">Build measurement, arithmetic, tool-safety, material, and blueprint-reading fundamentals.</w:t>
      </w:r>
    </w:p>
    <w:p>
      <w:pPr>
        <w:numPr>
          <w:ilvl w:val="0"/>
          <w:numId w:val="1003"/>
        </w:numPr>
        <w:pStyle w:val="Compact"/>
      </w:pPr>
      <w:r>
        <w:t xml:space="preserve">Review local job postings to see whether employers are hiring helpers, apprentices, cabinet-shop assistants, installers, or entry-level production workers.</w:t>
      </w:r>
    </w:p>
    <w:p>
      <w:pPr>
        <w:numPr>
          <w:ilvl w:val="0"/>
          <w:numId w:val="1003"/>
        </w:numPr>
        <w:pStyle w:val="Compact"/>
      </w:pPr>
      <w:r>
        <w:t xml:space="preserve">Search Apprenticeship.gov for current paid apprenticeship opportunities.</w:t>
      </w:r>
    </w:p>
    <w:p>
      <w:pPr>
        <w:numPr>
          <w:ilvl w:val="0"/>
          <w:numId w:val="1003"/>
        </w:numPr>
        <w:pStyle w:val="Compact"/>
      </w:pPr>
      <w:r>
        <w:t xml:space="preserve">Use employer training, union or industry training where applicable, community/technical education, or workforce-funded programs to deepen skills.</w:t>
      </w:r>
    </w:p>
    <w:p>
      <w:pPr>
        <w:numPr>
          <w:ilvl w:val="0"/>
          <w:numId w:val="1003"/>
        </w:numPr>
        <w:pStyle w:val="Compact"/>
      </w:pPr>
      <w:r>
        <w:t xml:space="preserve">Progress toward journey-level, finish carpentry, cabinetmaking, installation, supervisory, estimating, or production roles as experience grows.</w:t>
      </w:r>
    </w:p>
    <w:p>
      <w:pPr>
        <w:pStyle w:val="FirstParagraph"/>
      </w:pPr>
      <w:r>
        <w:t xml:space="preserve">Registered Apprenticeship availability varies by employer and location. The fact that carpentry is an apprenticeable trade does not mean an opening is available in every area.</w:t>
      </w:r>
    </w:p>
    <w:bookmarkEnd w:id="24"/>
    <w:bookmarkStart w:id="25" w:name="canada"/>
    <w:p>
      <w:pPr>
        <w:pStyle w:val="Heading3"/>
      </w:pPr>
      <w:r>
        <w:t xml:space="preserve">Canada</w:t>
      </w:r>
    </w:p>
    <w:p>
      <w:pPr>
        <w:pStyle w:val="FirstParagraph"/>
      </w:pPr>
      <w:r>
        <w:t xml:space="preserve">Government of Canada Job Bank classifies carpenters under</w:t>
      </w:r>
      <w:r>
        <w:t xml:space="preserve"> </w:t>
      </w:r>
      <w:r>
        <w:rPr>
          <w:bCs/>
          <w:b/>
        </w:rPr>
        <w:t xml:space="preserve">NOC 72310</w:t>
      </w:r>
      <w:r>
        <w:t xml:space="preserve">. Current national requirements indicate that secondary school completion is usually required. Eligibility for trade certification usually requires either a</w:t>
      </w:r>
      <w:r>
        <w:t xml:space="preserve"> </w:t>
      </w:r>
      <w:r>
        <w:rPr>
          <w:bCs/>
          <w:b/>
        </w:rPr>
        <w:t xml:space="preserve">three- to four-year apprenticeship</w:t>
      </w:r>
      <w:r>
        <w:t xml:space="preserve"> </w:t>
      </w:r>
      <w:r>
        <w:t xml:space="preserve">or a combination of</w:t>
      </w:r>
      <w:r>
        <w:t xml:space="preserve"> </w:t>
      </w:r>
      <w:r>
        <w:rPr>
          <w:bCs/>
          <w:b/>
        </w:rPr>
        <w:t xml:space="preserve">more than four years of work experience</w:t>
      </w:r>
      <w:r>
        <w:t xml:space="preserve"> </w:t>
      </w:r>
      <w:r>
        <w:t xml:space="preserve">plus relevant high-school, college, or industry courses.</w:t>
      </w:r>
    </w:p>
    <w:p>
      <w:pPr>
        <w:pStyle w:val="BodyText"/>
      </w:pPr>
      <w:r>
        <w:t xml:space="preserve">Carpenter trade certification is compulsory in Quebec and available but voluntary in other provinces and territories. Qualified carpenters may pursue the</w:t>
      </w:r>
      <w:r>
        <w:t xml:space="preserve"> </w:t>
      </w:r>
      <w:r>
        <w:rPr>
          <w:bCs/>
          <w:b/>
        </w:rPr>
        <w:t xml:space="preserve">Red Seal</w:t>
      </w:r>
      <w:r>
        <w:t xml:space="preserve"> </w:t>
      </w:r>
      <w:r>
        <w:t xml:space="preserve">endorsement through the interprovincial examination process. Requirements can differ by jurisdiction, so verify the current provincial or territorial apprenticeship and certification rules where you intend to work.</w:t>
      </w:r>
    </w:p>
    <w:p>
      <w:pPr>
        <w:pStyle w:val="BodyText"/>
      </w:pPr>
      <w:r>
        <w:t xml:space="preserve">Cabinetmaking can follow a separate trade pathway from construction carpentry in some jurisdictions. Do not assume that one trade credential automatically covers every woodworking occupation.</w:t>
      </w:r>
    </w:p>
    <w:bookmarkEnd w:id="25"/>
    <w:bookmarkStart w:id="26" w:name="colombia"/>
    <w:p>
      <w:pPr>
        <w:pStyle w:val="Heading3"/>
      </w:pPr>
      <w:r>
        <w:t xml:space="preserve">Colombia</w:t>
      </w:r>
    </w:p>
    <w:p>
      <w:pPr>
        <w:pStyle w:val="FirstParagraph"/>
      </w:pPr>
      <w:r>
        <w:t xml:space="preserve">SENA currently lists</w:t>
      </w:r>
      <w:r>
        <w:t xml:space="preserve"> </w:t>
      </w:r>
      <w:r>
        <w:rPr>
          <w:bCs/>
          <w:b/>
        </w:rPr>
        <w:t xml:space="preserve">Básico de carpintería y ebanistería</w:t>
      </w:r>
      <w:r>
        <w:t xml:space="preserve">, a 60-hour in-person complementary program covering basic carpentry and cabinetmaking skills, including assembly and installation work. Availability, location, schedules, admission rules, and enrollment conditions can change, so verify the current Betowa listing before enrolling.</w:t>
      </w:r>
    </w:p>
    <w:p>
      <w:pPr>
        <w:pStyle w:val="BodyText"/>
      </w:pPr>
      <w:r>
        <w:t xml:space="preserve">Colombian learners should also search SENA/Betowa for current offerings in woodworking, furniture, cabinetmaking, finishing, construction, occupational safety, measurement, and related production skills. The Ministry of Labour's qualification and occupational-information systems can help identify related occupations and training pathways.</w:t>
      </w:r>
    </w:p>
    <w:bookmarkEnd w:id="26"/>
    <w:bookmarkStart w:id="27" w:name="latin-america-and-the-caribbean"/>
    <w:p>
      <w:pPr>
        <w:pStyle w:val="Heading3"/>
      </w:pPr>
      <w:r>
        <w:t xml:space="preserve">Latin America and the Caribbean</w:t>
      </w:r>
    </w:p>
    <w:p>
      <w:pPr>
        <w:pStyle w:val="FirstParagraph"/>
      </w:pPr>
      <w:r>
        <w:t xml:space="preserve">Training, licensing, certification, and apprenticeship systems vary by country. OIT/Cinterfor can help identify national vocational-training institutions and competency systems across the region. Examples include SENA in Colombia, SENCE in Chile, INTECAP in Guatemala, INFOTEP in the Dominican Republic, and INEFOP in Uruguay.</w:t>
      </w:r>
    </w:p>
    <w:p>
      <w:pPr>
        <w:pStyle w:val="BodyText"/>
      </w:pPr>
      <w:r>
        <w:t xml:space="preserve">Always verify the current national provider, eligibility rules, costs, recognition, and whether a credential is required for the work you want to perform.</w:t>
      </w:r>
    </w:p>
    <w:bookmarkEnd w:id="27"/>
    <w:bookmarkEnd w:id="28"/>
    <w:bookmarkStart w:id="29" w:name="X0ce83e4099cf3eb41126ad84ab37e4060e636a4"/>
    <w:p>
      <w:pPr>
        <w:pStyle w:val="Heading2"/>
      </w:pPr>
      <w:r>
        <w:t xml:space="preserve">Free-first and low-cost learning strategy</w:t>
      </w:r>
    </w:p>
    <w:p>
      <w:pPr>
        <w:pStyle w:val="FirstParagraph"/>
      </w:pPr>
      <w:r>
        <w:t xml:space="preserve">Do not assume you need an expensive private certificate before applying. A safer sequence is:</w:t>
      </w:r>
    </w:p>
    <w:p>
      <w:pPr>
        <w:numPr>
          <w:ilvl w:val="0"/>
          <w:numId w:val="1004"/>
        </w:numPr>
        <w:pStyle w:val="Compact"/>
      </w:pPr>
      <w:r>
        <w:t xml:space="preserve">Review real local job postings and note recurring requirements.</w:t>
      </w:r>
    </w:p>
    <w:p>
      <w:pPr>
        <w:numPr>
          <w:ilvl w:val="0"/>
          <w:numId w:val="1004"/>
        </w:numPr>
        <w:pStyle w:val="Compact"/>
      </w:pPr>
      <w:r>
        <w:t xml:space="preserve">Use public, apprenticeship, employer-provided, or low-cost training first.</w:t>
      </w:r>
    </w:p>
    <w:p>
      <w:pPr>
        <w:numPr>
          <w:ilvl w:val="0"/>
          <w:numId w:val="1004"/>
        </w:numPr>
        <w:pStyle w:val="Compact"/>
      </w:pPr>
      <w:r>
        <w:t xml:space="preserve">Build practical measurement, blueprint-reading, material, tool-safety, and basic estimating skills.</w:t>
      </w:r>
    </w:p>
    <w:p>
      <w:pPr>
        <w:numPr>
          <w:ilvl w:val="0"/>
          <w:numId w:val="1004"/>
        </w:numPr>
        <w:pStyle w:val="Compact"/>
      </w:pPr>
      <w:r>
        <w:t xml:space="preserve">Practice with safe training materials and supervised shop or jobsite exercises.</w:t>
      </w:r>
    </w:p>
    <w:p>
      <w:pPr>
        <w:numPr>
          <w:ilvl w:val="0"/>
          <w:numId w:val="1004"/>
        </w:numPr>
        <w:pStyle w:val="Compact"/>
      </w:pPr>
      <w:r>
        <w:t xml:space="preserve">Ask employers about paid onboarding, apprenticeships, trainee positions, tool allowances, cross-training, tuition assistance, certification reimbursement, and internal advancement.</w:t>
      </w:r>
    </w:p>
    <w:p>
      <w:pPr>
        <w:numPr>
          <w:ilvl w:val="0"/>
          <w:numId w:val="1004"/>
        </w:numPr>
        <w:pStyle w:val="Compact"/>
      </w:pPr>
      <w:r>
        <w:t xml:space="preserve">Consider paid private training only after verifying total cost, refund rules, employer recognition, and whether the credential appears in actual job postings.</w:t>
      </w:r>
    </w:p>
    <w:p>
      <w:pPr>
        <w:pStyle w:val="FirstParagraph"/>
      </w:pPr>
      <w:r>
        <w:t xml:space="preserve">Never use unsupervised practice on hazardous equipment as a substitute for required machine or safety training.</w:t>
      </w:r>
    </w:p>
    <w:bookmarkEnd w:id="29"/>
    <w:bookmarkStart w:id="32" w:name="apprenticeships-and-work-based-learning"/>
    <w:p>
      <w:pPr>
        <w:pStyle w:val="Heading2"/>
      </w:pPr>
      <w:r>
        <w:t xml:space="preserve">Apprenticeships and work-based learning</w:t>
      </w:r>
    </w:p>
    <w:bookmarkStart w:id="30" w:name="united-states-1"/>
    <w:p>
      <w:pPr>
        <w:pStyle w:val="Heading3"/>
      </w:pPr>
      <w:r>
        <w:t xml:space="preserve">United States</w:t>
      </w:r>
    </w:p>
    <w:p>
      <w:pPr>
        <w:pStyle w:val="FirstParagraph"/>
      </w:pPr>
      <w:r>
        <w:t xml:space="preserve">Use</w:t>
      </w:r>
      <w:r>
        <w:t xml:space="preserve"> </w:t>
      </w:r>
      <w:r>
        <w:rPr>
          <w:bCs/>
          <w:b/>
        </w:rPr>
        <w:t xml:space="preserve">Apprenticeship.gov</w:t>
      </w:r>
      <w:r>
        <w:t xml:space="preserve"> </w:t>
      </w:r>
      <w:r>
        <w:t xml:space="preserve">to search for current Registered Apprenticeship opportunities. Registered Apprenticeship is employer-driven and paid, combining structured on-the-job learning, mentorship, related instruction, and progressive wage development.</w:t>
      </w:r>
    </w:p>
    <w:p>
      <w:pPr>
        <w:pStyle w:val="BodyText"/>
      </w:pPr>
      <w:r>
        <w:t xml:space="preserve">Depending on the local market, related entry points may also include carpenter helper, construction laborer, cabinet-shop assistant, installer helper, woodworking production worker, or trainee roles.</w:t>
      </w:r>
    </w:p>
    <w:bookmarkEnd w:id="30"/>
    <w:bookmarkStart w:id="31" w:name="canada-1"/>
    <w:p>
      <w:pPr>
        <w:pStyle w:val="Heading3"/>
      </w:pPr>
      <w:r>
        <w:t xml:space="preserve">Canada</w:t>
      </w:r>
    </w:p>
    <w:p>
      <w:pPr>
        <w:pStyle w:val="FirstParagraph"/>
      </w:pPr>
      <w:r>
        <w:t xml:space="preserve">Apprenticeship programs are administered through provinces and territories. Current federal supports can include Employment Insurance during eligible technical training, tax measures, and the</w:t>
      </w:r>
      <w:r>
        <w:t xml:space="preserve"> </w:t>
      </w:r>
      <w:r>
        <w:rPr>
          <w:bCs/>
          <w:b/>
        </w:rPr>
        <w:t xml:space="preserve">Canada Apprentice Loan</w:t>
      </w:r>
      <w:r>
        <w:t xml:space="preserve">, which can provide up to</w:t>
      </w:r>
      <w:r>
        <w:t xml:space="preserve"> </w:t>
      </w:r>
      <w:r>
        <w:rPr>
          <w:bCs/>
          <w:b/>
        </w:rPr>
        <w:t xml:space="preserve">CAD $4,000 per period of technical training</w:t>
      </w:r>
      <w:r>
        <w:t xml:space="preserve">, subject to eligibility.</w:t>
      </w:r>
    </w:p>
    <w:p>
      <w:pPr>
        <w:pStyle w:val="BodyText"/>
      </w:pPr>
      <w:r>
        <w:t xml:space="preserve">The former federal Apprenticeship Incentive Grant and Apprenticeship Completion Grant programs are closed to new applications. Do not rely on older training websites that still describe those grants as currently available.</w:t>
      </w:r>
    </w:p>
    <w:p>
      <w:pPr>
        <w:pStyle w:val="BodyText"/>
      </w:pPr>
      <w:r>
        <w:t xml:space="preserve">The federal Apprenticeship Service has supported employers hiring first-year apprentices, including trades such as Carpenter and Cabinetmaker, but its public page currently states that it is</w:t>
      </w:r>
      <w:r>
        <w:t xml:space="preserve"> </w:t>
      </w:r>
      <w:r>
        <w:rPr>
          <w:bCs/>
          <w:b/>
        </w:rPr>
        <w:t xml:space="preserve">not accepting applications while renewal work proceeds</w:t>
      </w:r>
      <w:r>
        <w:t xml:space="preserve">. Treat it as a status-dependent employer-support program, not an active guaranteed subsidy.</w:t>
      </w:r>
    </w:p>
    <w:bookmarkEnd w:id="31"/>
    <w:bookmarkEnd w:id="32"/>
    <w:bookmarkStart w:id="37" w:name="funding-grants-and-employer-support"/>
    <w:p>
      <w:pPr>
        <w:pStyle w:val="Heading2"/>
      </w:pPr>
      <w:r>
        <w:t xml:space="preserve">Funding, grants, and employer support</w:t>
      </w:r>
    </w:p>
    <w:bookmarkStart w:id="33" w:name="united-states-2"/>
    <w:p>
      <w:pPr>
        <w:pStyle w:val="Heading3"/>
      </w:pPr>
      <w:r>
        <w:t xml:space="preserve">United States</w:t>
      </w:r>
    </w:p>
    <w:p>
      <w:pPr>
        <w:pStyle w:val="FirstParagraph"/>
      </w:pPr>
      <w:r>
        <w:t xml:space="preserve">American Job Centers can help eligible job seekers explore Workforce Innovation and Opportunity Act (WIOA) training services. CareerOneStop and local workforce agencies can help identify approved training options.</w:t>
      </w:r>
    </w:p>
    <w:p>
      <w:pPr>
        <w:pStyle w:val="BodyText"/>
      </w:pPr>
      <w:r>
        <w:t xml:space="preserve">Eligibility and funding depend on the individual, local workforce area, provider, and program. WIOA support is not guaranteed.</w:t>
      </w:r>
    </w:p>
    <w:bookmarkEnd w:id="33"/>
    <w:bookmarkStart w:id="34" w:name="canada-2"/>
    <w:p>
      <w:pPr>
        <w:pStyle w:val="Heading3"/>
      </w:pPr>
      <w:r>
        <w:t xml:space="preserve">Canada</w:t>
      </w:r>
    </w:p>
    <w:p>
      <w:pPr>
        <w:pStyle w:val="FirstParagraph"/>
      </w:pPr>
      <w:r>
        <w:t xml:space="preserve">In addition to apprenticeship-specific supports, learners may qualify for provincial/territorial training supports or other public education assistance depending on the program and personal circumstances. Verify current eligibility before making financial commitments.</w:t>
      </w:r>
    </w:p>
    <w:bookmarkEnd w:id="34"/>
    <w:bookmarkStart w:id="35" w:name="colombia-and-latin-america"/>
    <w:p>
      <w:pPr>
        <w:pStyle w:val="Heading3"/>
      </w:pPr>
      <w:r>
        <w:t xml:space="preserve">Colombia and Latin America</w:t>
      </w:r>
    </w:p>
    <w:p>
      <w:pPr>
        <w:pStyle w:val="FirstParagraph"/>
      </w:pPr>
      <w:r>
        <w:t xml:space="preserve">Check public vocational systems before paying a private provider. In Colombia, begin with SENA and related public qualification systems. Elsewhere in Latin America, use OIT/Cinterfor to identify the appropriate national vocational institution and then verify current program rules locally.</w:t>
      </w:r>
    </w:p>
    <w:bookmarkEnd w:id="35"/>
    <w:bookmarkStart w:id="36" w:name="employer-support"/>
    <w:p>
      <w:pPr>
        <w:pStyle w:val="Heading3"/>
      </w:pPr>
      <w:r>
        <w:t xml:space="preserve">Employer support</w:t>
      </w:r>
    </w:p>
    <w:p>
      <w:pPr>
        <w:pStyle w:val="FirstParagraph"/>
      </w:pPr>
      <w:r>
        <w:t xml:space="preserve">Ask employers about:</w:t>
      </w:r>
    </w:p>
    <w:p>
      <w:pPr>
        <w:numPr>
          <w:ilvl w:val="0"/>
          <w:numId w:val="1005"/>
        </w:numPr>
        <w:pStyle w:val="Compact"/>
      </w:pPr>
      <w:r>
        <w:t xml:space="preserve">paid onboarding and supervised tool training;</w:t>
      </w:r>
    </w:p>
    <w:p>
      <w:pPr>
        <w:numPr>
          <w:ilvl w:val="0"/>
          <w:numId w:val="1005"/>
        </w:numPr>
        <w:pStyle w:val="Compact"/>
      </w:pPr>
      <w:r>
        <w:t xml:space="preserve">apprenticeship or trainee pathways;</w:t>
      </w:r>
    </w:p>
    <w:p>
      <w:pPr>
        <w:numPr>
          <w:ilvl w:val="0"/>
          <w:numId w:val="1005"/>
        </w:numPr>
        <w:pStyle w:val="Compact"/>
      </w:pPr>
      <w:r>
        <w:t xml:space="preserve">tool or PPE allowances;</w:t>
      </w:r>
    </w:p>
    <w:p>
      <w:pPr>
        <w:numPr>
          <w:ilvl w:val="0"/>
          <w:numId w:val="1005"/>
        </w:numPr>
        <w:pStyle w:val="Compact"/>
      </w:pPr>
      <w:r>
        <w:t xml:space="preserve">tuition assistance;</w:t>
      </w:r>
    </w:p>
    <w:p>
      <w:pPr>
        <w:numPr>
          <w:ilvl w:val="0"/>
          <w:numId w:val="1005"/>
        </w:numPr>
        <w:pStyle w:val="Compact"/>
      </w:pPr>
      <w:r>
        <w:t xml:space="preserve">certification or exam reimbursement;</w:t>
      </w:r>
    </w:p>
    <w:p>
      <w:pPr>
        <w:numPr>
          <w:ilvl w:val="0"/>
          <w:numId w:val="1005"/>
        </w:numPr>
        <w:pStyle w:val="Compact"/>
      </w:pPr>
      <w:r>
        <w:t xml:space="preserve">cross-training in installation, finishing, CNC, estimating, or production; and</w:t>
      </w:r>
    </w:p>
    <w:p>
      <w:pPr>
        <w:numPr>
          <w:ilvl w:val="0"/>
          <w:numId w:val="1005"/>
        </w:numPr>
        <w:pStyle w:val="Compact"/>
      </w:pPr>
      <w:r>
        <w:t xml:space="preserve">internal promotion opportunities.</w:t>
      </w:r>
    </w:p>
    <w:p>
      <w:pPr>
        <w:pStyle w:val="FirstParagraph"/>
      </w:pPr>
      <w:r>
        <w:t xml:space="preserve">Get reimbursement or retention conditions in writing before spending money. Some programs require repayment if you leave within a specified period.</w:t>
      </w:r>
    </w:p>
    <w:bookmarkEnd w:id="36"/>
    <w:bookmarkEnd w:id="37"/>
    <w:bookmarkStart w:id="41" w:name="income-and-job-outlook"/>
    <w:p>
      <w:pPr>
        <w:pStyle w:val="Heading2"/>
      </w:pPr>
      <w:r>
        <w:t xml:space="preserve">Income and job outlook</w:t>
      </w:r>
    </w:p>
    <w:bookmarkStart w:id="38" w:name="united-states--official-carpenter-data"/>
    <w:p>
      <w:pPr>
        <w:pStyle w:val="Heading3"/>
      </w:pPr>
      <w:r>
        <w:t xml:space="preserve">United States — official carpenter data</w:t>
      </w:r>
    </w:p>
    <w:p>
      <w:pPr>
        <w:pStyle w:val="FirstParagraph"/>
      </w:pPr>
      <w:r>
        <w:t xml:space="preserve">O*NET reports Bureau of Labor Statistics 2025 wage data for Carpenters:</w:t>
      </w:r>
    </w:p>
    <w:p>
      <w:pPr>
        <w:numPr>
          <w:ilvl w:val="0"/>
          <w:numId w:val="1006"/>
        </w:numPr>
        <w:pStyle w:val="Compact"/>
      </w:pPr>
      <w:r>
        <w:rPr>
          <w:bCs/>
          <w:b/>
        </w:rPr>
        <w:t xml:space="preserve">Median hourly wage: $29.12</w:t>
      </w:r>
    </w:p>
    <w:p>
      <w:pPr>
        <w:numPr>
          <w:ilvl w:val="0"/>
          <w:numId w:val="1006"/>
        </w:numPr>
        <w:pStyle w:val="Compact"/>
      </w:pPr>
      <w:r>
        <w:rPr>
          <w:bCs/>
          <w:b/>
        </w:rPr>
        <w:t xml:space="preserve">Median annual wage: $60,580</w:t>
      </w:r>
    </w:p>
    <w:p>
      <w:pPr>
        <w:pStyle w:val="FirstParagraph"/>
      </w:pPr>
      <w:r>
        <w:t xml:space="preserve">O*NET also reports approximately</w:t>
      </w:r>
      <w:r>
        <w:t xml:space="preserve"> </w:t>
      </w:r>
      <w:r>
        <w:rPr>
          <w:bCs/>
          <w:b/>
        </w:rPr>
        <w:t xml:space="preserve">959,000 workers in 2024</w:t>
      </w:r>
      <w:r>
        <w:t xml:space="preserve">, projected employment growth of</w:t>
      </w:r>
      <w:r>
        <w:t xml:space="preserve"> </w:t>
      </w:r>
      <w:r>
        <w:rPr>
          <w:bCs/>
          <w:b/>
        </w:rPr>
        <w:t xml:space="preserve">5% to 6% from 2024 to 2034</w:t>
      </w:r>
      <w:r>
        <w:t xml:space="preserve">, and about</w:t>
      </w:r>
      <w:r>
        <w:t xml:space="preserve"> </w:t>
      </w:r>
      <w:r>
        <w:rPr>
          <w:bCs/>
          <w:b/>
        </w:rPr>
        <w:t xml:space="preserve">74,100 annual openings</w:t>
      </w:r>
      <w:r>
        <w:t xml:space="preserve"> </w:t>
      </w:r>
      <w:r>
        <w:t xml:space="preserve">from growth and replacement needs.</w:t>
      </w:r>
    </w:p>
    <w:p>
      <w:pPr>
        <w:pStyle w:val="BodyText"/>
      </w:pPr>
      <w:r>
        <w:t xml:space="preserve">These are national statistics for carpenters. They are not promised starting wages and may not represent cabinetmaking, bench-carpentry, or specialized woodworking roles.</w:t>
      </w:r>
    </w:p>
    <w:bookmarkEnd w:id="38"/>
    <w:bookmarkStart w:id="39" w:name="X8b012f449bb15924751e26b3800ee538e8110ea"/>
    <w:p>
      <w:pPr>
        <w:pStyle w:val="Heading3"/>
      </w:pPr>
      <w:r>
        <w:t xml:space="preserve">United States — current non-government cabinetmaking estimates</w:t>
      </w:r>
    </w:p>
    <w:p>
      <w:pPr>
        <w:pStyle w:val="FirstParagraph"/>
      </w:pPr>
      <w:r>
        <w:t xml:space="preserve">Private salary sites report different figures for adjacent cabinetmaking titles:</w:t>
      </w:r>
    </w:p>
    <w:p>
      <w:pPr>
        <w:numPr>
          <w:ilvl w:val="0"/>
          <w:numId w:val="1007"/>
        </w:numPr>
        <w:pStyle w:val="Compact"/>
      </w:pPr>
      <w:r>
        <w:t xml:space="preserve">Salary.com reported an average of approximately</w:t>
      </w:r>
      <w:r>
        <w:t xml:space="preserve"> </w:t>
      </w:r>
      <w:r>
        <w:rPr>
          <w:bCs/>
          <w:b/>
        </w:rPr>
        <w:t xml:space="preserve">$41,709 per year / $20 per hour</w:t>
      </w:r>
      <w:r>
        <w:t xml:space="preserve"> </w:t>
      </w:r>
      <w:r>
        <w:t xml:space="preserve">for Cabinetmaker and Bench Carpenter as of July 1, 2026, with a stated 25th–75th percentile range of approximately</w:t>
      </w:r>
      <w:r>
        <w:t xml:space="preserve"> </w:t>
      </w:r>
      <w:r>
        <w:rPr>
          <w:bCs/>
          <w:b/>
        </w:rPr>
        <w:t xml:space="preserve">$34,226–$51,809</w:t>
      </w:r>
      <w:r>
        <w:t xml:space="preserve">.</w:t>
      </w:r>
    </w:p>
    <w:p>
      <w:pPr>
        <w:numPr>
          <w:ilvl w:val="0"/>
          <w:numId w:val="1007"/>
        </w:numPr>
        <w:pStyle w:val="Compact"/>
      </w:pPr>
      <w:r>
        <w:t xml:space="preserve">Salary.com separately reported an average of approximately</w:t>
      </w:r>
      <w:r>
        <w:t xml:space="preserve"> </w:t>
      </w:r>
      <w:r>
        <w:rPr>
          <w:bCs/>
          <w:b/>
        </w:rPr>
        <w:t xml:space="preserve">$60,290 per year / $29 per hour</w:t>
      </w:r>
      <w:r>
        <w:t xml:space="preserve"> </w:t>
      </w:r>
      <w:r>
        <w:t xml:space="preserve">for Cabinet Maker as of July 1, 2026, with a stated 25th–75th percentile range of approximately</w:t>
      </w:r>
      <w:r>
        <w:t xml:space="preserve"> </w:t>
      </w:r>
      <w:r>
        <w:rPr>
          <w:bCs/>
          <w:b/>
        </w:rPr>
        <w:t xml:space="preserve">$54,219–$66,817</w:t>
      </w:r>
      <w:r>
        <w:t xml:space="preserve">.</w:t>
      </w:r>
    </w:p>
    <w:p>
      <w:pPr>
        <w:pStyle w:val="FirstParagraph"/>
      </w:pPr>
      <w:r>
        <w:t xml:space="preserve">These are</w:t>
      </w:r>
      <w:r>
        <w:t xml:space="preserve"> </w:t>
      </w:r>
      <w:r>
        <w:rPr>
          <w:bCs/>
          <w:b/>
        </w:rPr>
        <w:t xml:space="preserve">non-government market estimates for adjacent titles</w:t>
      </w:r>
      <w:r>
        <w:t xml:space="preserve">. Methodologies and job definitions differ, so they should not be blended with the official BLS/O*NET carpenter median.</w:t>
      </w:r>
    </w:p>
    <w:bookmarkEnd w:id="39"/>
    <w:bookmarkStart w:id="40" w:name="canada--official-carpenter-data"/>
    <w:p>
      <w:pPr>
        <w:pStyle w:val="Heading3"/>
      </w:pPr>
      <w:r>
        <w:t xml:space="preserve">Canada — official carpenter data</w:t>
      </w:r>
    </w:p>
    <w:p>
      <w:pPr>
        <w:pStyle w:val="FirstParagraph"/>
      </w:pPr>
      <w:r>
        <w:t xml:space="preserve">Government of Canada Job Bank reports national carpenter wages, updated November 19, 2025, of approximately:</w:t>
      </w:r>
    </w:p>
    <w:p>
      <w:pPr>
        <w:numPr>
          <w:ilvl w:val="0"/>
          <w:numId w:val="1008"/>
        </w:numPr>
        <w:pStyle w:val="Compact"/>
      </w:pPr>
      <w:r>
        <w:rPr>
          <w:bCs/>
          <w:b/>
        </w:rPr>
        <w:t xml:space="preserve">CAD $22.00/hour low</w:t>
      </w:r>
    </w:p>
    <w:p>
      <w:pPr>
        <w:numPr>
          <w:ilvl w:val="0"/>
          <w:numId w:val="1008"/>
        </w:numPr>
        <w:pStyle w:val="Compact"/>
      </w:pPr>
      <w:r>
        <w:rPr>
          <w:bCs/>
          <w:b/>
        </w:rPr>
        <w:t xml:space="preserve">CAD $32.12/hour median</w:t>
      </w:r>
    </w:p>
    <w:p>
      <w:pPr>
        <w:numPr>
          <w:ilvl w:val="0"/>
          <w:numId w:val="1008"/>
        </w:numPr>
        <w:pStyle w:val="Compact"/>
      </w:pPr>
      <w:r>
        <w:rPr>
          <w:bCs/>
          <w:b/>
        </w:rPr>
        <w:t xml:space="preserve">CAD $44.23/hour high</w:t>
      </w:r>
    </w:p>
    <w:p>
      <w:pPr>
        <w:pStyle w:val="FirstParagraph"/>
      </w:pPr>
      <w:r>
        <w:t xml:space="preserve">Wages vary by province, territory, experience, specialty, union status, construction sector, and local demand. Use Job Bank's location filters before making a training or relocation decision.</w:t>
      </w:r>
    </w:p>
    <w:bookmarkEnd w:id="40"/>
    <w:bookmarkEnd w:id="41"/>
    <w:bookmarkStart w:id="42" w:name="a-practical-12-week-starter-plan"/>
    <w:p>
      <w:pPr>
        <w:pStyle w:val="Heading2"/>
      </w:pPr>
      <w:r>
        <w:t xml:space="preserve">A practical 12-week starter plan</w:t>
      </w:r>
    </w:p>
    <w:p>
      <w:pPr>
        <w:pStyle w:val="FirstParagraph"/>
      </w:pPr>
      <w:r>
        <w:rPr>
          <w:bCs/>
          <w:b/>
        </w:rPr>
        <w:t xml:space="preserve">Weeks 1–2:</w:t>
      </w:r>
      <w:r>
        <w:t xml:space="preserve"> </w:t>
      </w:r>
      <w:r>
        <w:t xml:space="preserve">Review 15–20 local job postings for carpenter helper, apprentice carpenter, cabinetmaker, cabinet-shop assistant, installer, or woodworking roles. Record recurring tools, safety requirements, credentials, schedules, and experience expectations.</w:t>
      </w:r>
    </w:p>
    <w:p>
      <w:pPr>
        <w:pStyle w:val="BodyText"/>
      </w:pPr>
      <w:r>
        <w:rPr>
          <w:bCs/>
          <w:b/>
        </w:rPr>
        <w:t xml:space="preserve">Weeks 3–4:</w:t>
      </w:r>
      <w:r>
        <w:t xml:space="preserve"> </w:t>
      </w:r>
      <w:r>
        <w:t xml:space="preserve">Strengthen measurement and arithmetic: fractions, decimals, metric/imperial conversion, area, angles, layout, tolerances, and material quantities.</w:t>
      </w:r>
    </w:p>
    <w:p>
      <w:pPr>
        <w:pStyle w:val="BodyText"/>
      </w:pPr>
      <w:r>
        <w:rPr>
          <w:bCs/>
          <w:b/>
        </w:rPr>
        <w:t xml:space="preserve">Weeks 5–6:</w:t>
      </w:r>
      <w:r>
        <w:t xml:space="preserve"> </w:t>
      </w:r>
      <w:r>
        <w:t xml:space="preserve">Learn basic drawing and blueprint concepts, lumber and sheet-goods terminology, hardware, fasteners, adhesives, and finish basics.</w:t>
      </w:r>
    </w:p>
    <w:p>
      <w:pPr>
        <w:pStyle w:val="BodyText"/>
      </w:pPr>
      <w:r>
        <w:rPr>
          <w:bCs/>
          <w:b/>
        </w:rPr>
        <w:t xml:space="preserve">Weeks 7–8:</w:t>
      </w:r>
      <w:r>
        <w:t xml:space="preserve"> </w:t>
      </w:r>
      <w:r>
        <w:t xml:space="preserve">Complete supervised tool-safety training. Learn correct guarding, PPE, dust collection, inspection, and shutdown procedures for the equipment you are authorized to use.</w:t>
      </w:r>
    </w:p>
    <w:p>
      <w:pPr>
        <w:pStyle w:val="BodyText"/>
      </w:pPr>
      <w:r>
        <w:rPr>
          <w:bCs/>
          <w:b/>
        </w:rPr>
        <w:t xml:space="preserve">Weeks 9–10:</w:t>
      </w:r>
      <w:r>
        <w:t xml:space="preserve"> </w:t>
      </w:r>
      <w:r>
        <w:t xml:space="preserve">Build a small supervised practice project or training exercise that demonstrates accurate measurement, layout, cutting, assembly, fit, finish, and documentation. Do not use equipment for which you have not been trained and authorized.</w:t>
      </w:r>
    </w:p>
    <w:p>
      <w:pPr>
        <w:pStyle w:val="BodyText"/>
      </w:pPr>
      <w:r>
        <w:rPr>
          <w:bCs/>
          <w:b/>
        </w:rPr>
        <w:t xml:space="preserve">Weeks 11–12:</w:t>
      </w:r>
      <w:r>
        <w:t xml:space="preserve"> </w:t>
      </w:r>
      <w:r>
        <w:t xml:space="preserve">Search apprenticeship, public-training, and employer-trainee opportunities. Verify funding, total costs, tool requirements, refund rules, and current local job requirements before enrolling in paid training.</w:t>
      </w:r>
    </w:p>
    <w:bookmarkEnd w:id="42"/>
    <w:bookmarkStart w:id="43"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09"/>
        </w:numPr>
        <w:pStyle w:val="Compact"/>
      </w:pPr>
      <w:r>
        <w:t xml:space="preserve">construction labor or trade-helper work;</w:t>
      </w:r>
    </w:p>
    <w:p>
      <w:pPr>
        <w:numPr>
          <w:ilvl w:val="0"/>
          <w:numId w:val="1009"/>
        </w:numPr>
        <w:pStyle w:val="Compact"/>
      </w:pPr>
      <w:r>
        <w:t xml:space="preserve">maintenance and repair;</w:t>
      </w:r>
    </w:p>
    <w:p>
      <w:pPr>
        <w:numPr>
          <w:ilvl w:val="0"/>
          <w:numId w:val="1009"/>
        </w:numPr>
        <w:pStyle w:val="Compact"/>
      </w:pPr>
      <w:r>
        <w:t xml:space="preserve">furniture assembly or installation;</w:t>
      </w:r>
    </w:p>
    <w:p>
      <w:pPr>
        <w:numPr>
          <w:ilvl w:val="0"/>
          <w:numId w:val="1009"/>
        </w:numPr>
        <w:pStyle w:val="Compact"/>
      </w:pPr>
      <w:r>
        <w:t xml:space="preserve">warehouse or materials handling;</w:t>
      </w:r>
    </w:p>
    <w:p>
      <w:pPr>
        <w:numPr>
          <w:ilvl w:val="0"/>
          <w:numId w:val="1009"/>
        </w:numPr>
        <w:pStyle w:val="Compact"/>
      </w:pPr>
      <w:r>
        <w:t xml:space="preserve">manufacturing or production work;</w:t>
      </w:r>
    </w:p>
    <w:p>
      <w:pPr>
        <w:numPr>
          <w:ilvl w:val="0"/>
          <w:numId w:val="1009"/>
        </w:numPr>
        <w:pStyle w:val="Compact"/>
      </w:pPr>
      <w:r>
        <w:t xml:space="preserve">home-improvement or renovation support;</w:t>
      </w:r>
    </w:p>
    <w:p>
      <w:pPr>
        <w:numPr>
          <w:ilvl w:val="0"/>
          <w:numId w:val="1009"/>
        </w:numPr>
        <w:pStyle w:val="Compact"/>
      </w:pPr>
      <w:r>
        <w:t xml:space="preserve">scenic, exhibit, set, or fixture fabrication;</w:t>
      </w:r>
    </w:p>
    <w:p>
      <w:pPr>
        <w:numPr>
          <w:ilvl w:val="0"/>
          <w:numId w:val="1009"/>
        </w:numPr>
        <w:pStyle w:val="Compact"/>
      </w:pPr>
      <w:r>
        <w:t xml:space="preserve">retail building-materials work; or</w:t>
      </w:r>
    </w:p>
    <w:p>
      <w:pPr>
        <w:numPr>
          <w:ilvl w:val="0"/>
          <w:numId w:val="1009"/>
        </w:numPr>
        <w:pStyle w:val="Compact"/>
      </w:pPr>
      <w:r>
        <w:t xml:space="preserve">supervised community or vocational training projects.</w:t>
      </w:r>
    </w:p>
    <w:p>
      <w:pPr>
        <w:pStyle w:val="FirstParagraph"/>
      </w:pPr>
      <w:r>
        <w:t xml:space="preserve">When describing experience, be precise. Useful evidence includes accurate measurements, safe tool use, installation quality, low rework, material tracking, reliable attendance, customer communication, or successful completion of supervised projects. Do not claim journey-level, Red Seal, licensed, certified, CNC, structural, or machine-operation expertise unless you actually have it.</w:t>
      </w:r>
    </w:p>
    <w:bookmarkEnd w:id="43"/>
    <w:bookmarkStart w:id="44" w:name="advancement"/>
    <w:p>
      <w:pPr>
        <w:pStyle w:val="Heading2"/>
      </w:pPr>
      <w:r>
        <w:t xml:space="preserve">Advancement</w:t>
      </w:r>
    </w:p>
    <w:p>
      <w:pPr>
        <w:pStyle w:val="FirstParagraph"/>
      </w:pPr>
      <w:r>
        <w:t xml:space="preserve">Possible next steps include journey-level carpenter, finish carpenter, form carpenter, cabinetmaker, cabinet installer, millwork technician, shop lead, estimator, foreperson, production supervisor, CNC woodworking operator, project coordinator, or self-employment where legally permitted.</w:t>
      </w:r>
    </w:p>
    <w:p>
      <w:pPr>
        <w:pStyle w:val="BodyText"/>
      </w:pPr>
      <w:r>
        <w:t xml:space="preserve">Advanced work may require stronger blueprint reading, code knowledge, estimating, CNC/CAD/CAM familiarity, supervisory experience, trade certification, business licensing, or jurisdiction-specific credentials.</w:t>
      </w:r>
    </w:p>
    <w:p>
      <w:pPr>
        <w:pStyle w:val="BodyText"/>
      </w:pPr>
      <w:r>
        <w:t xml:space="preserve">Before paying for an advanced certificate or software course, compare several current job postings for the exact role you want.</w:t>
      </w:r>
    </w:p>
    <w:bookmarkEnd w:id="44"/>
    <w:bookmarkStart w:id="45" w:name="using-ai-responsibly-in-this-work"/>
    <w:p>
      <w:pPr>
        <w:pStyle w:val="Heading2"/>
      </w:pPr>
      <w:r>
        <w:t xml:space="preserve">Using AI responsibly in this work</w:t>
      </w:r>
    </w:p>
    <w:p>
      <w:pPr>
        <w:pStyle w:val="FirstParagraph"/>
      </w:pPr>
      <w:r>
        <w:t xml:space="preserve">AI tools may help explain general terminology, create practice interview questions, summarize non-sensitive study notes, or draft a neutral materials checklist for a training exercise. They should not replace approved drawings, structural calculations, engineering specifications, safety procedures, machine instructions, measurements, code requirements, or employer quality controls.</w:t>
      </w:r>
    </w:p>
    <w:p>
      <w:pPr>
        <w:pStyle w:val="BodyText"/>
      </w:pPr>
      <w:r>
        <w:t xml:space="preserve">Do not paste proprietary drawings, customer information, supplier pricing, credentials, project bids, internal schedules, access details, or protected project information into a public AI service unless the employer or customer has explicitly authorized that use.</w:t>
      </w:r>
    </w:p>
    <w:p>
      <w:pPr>
        <w:pStyle w:val="BodyText"/>
      </w:pPr>
      <w:r>
        <w:t xml:space="preserve">Verify AI-generated measurements, quantities, cut lists, formulas, load assumptions, product recommendations, and citations before using them. A plausible-looking error can cause waste, rework, equipment damage, financial loss, or injury.</w:t>
      </w:r>
    </w:p>
    <w:bookmarkEnd w:id="45"/>
    <w:bookmarkStart w:id="46" w:name="cybersecurity-and-privacy-basics"/>
    <w:p>
      <w:pPr>
        <w:pStyle w:val="Heading2"/>
      </w:pPr>
      <w:r>
        <w:t xml:space="preserve">Cybersecurity and privacy basics</w:t>
      </w:r>
    </w:p>
    <w:p>
      <w:pPr>
        <w:pStyle w:val="FirstParagraph"/>
      </w:pPr>
      <w:r>
        <w:t xml:space="preserve">Modern construction and woodworking businesses may use cloud drawings, estimating platforms, job-management systems, CNC files, digital work orders, and customer portals. Follow employer rules for:</w:t>
      </w:r>
    </w:p>
    <w:p>
      <w:pPr>
        <w:numPr>
          <w:ilvl w:val="0"/>
          <w:numId w:val="1010"/>
        </w:numPr>
        <w:pStyle w:val="Compact"/>
      </w:pPr>
      <w:r>
        <w:t xml:space="preserve">account access and multifactor authentication;</w:t>
      </w:r>
    </w:p>
    <w:p>
      <w:pPr>
        <w:numPr>
          <w:ilvl w:val="0"/>
          <w:numId w:val="1010"/>
        </w:numPr>
        <w:pStyle w:val="Compact"/>
      </w:pPr>
      <w:r>
        <w:t xml:space="preserve">passwords and credential sharing;</w:t>
      </w:r>
    </w:p>
    <w:p>
      <w:pPr>
        <w:numPr>
          <w:ilvl w:val="0"/>
          <w:numId w:val="1010"/>
        </w:numPr>
        <w:pStyle w:val="Compact"/>
      </w:pPr>
      <w:r>
        <w:t xml:space="preserve">phishing and suspicious attachments;</w:t>
      </w:r>
    </w:p>
    <w:p>
      <w:pPr>
        <w:numPr>
          <w:ilvl w:val="0"/>
          <w:numId w:val="1010"/>
        </w:numPr>
        <w:pStyle w:val="Compact"/>
      </w:pPr>
      <w:r>
        <w:t xml:space="preserve">approved file-sharing locations;</w:t>
      </w:r>
    </w:p>
    <w:p>
      <w:pPr>
        <w:numPr>
          <w:ilvl w:val="0"/>
          <w:numId w:val="1010"/>
        </w:numPr>
        <w:pStyle w:val="Compact"/>
      </w:pPr>
      <w:r>
        <w:t xml:space="preserve">customer addresses and contact information;</w:t>
      </w:r>
    </w:p>
    <w:p>
      <w:pPr>
        <w:numPr>
          <w:ilvl w:val="0"/>
          <w:numId w:val="1010"/>
        </w:numPr>
        <w:pStyle w:val="Compact"/>
      </w:pPr>
      <w:r>
        <w:t xml:space="preserve">proprietary drawings and production files;</w:t>
      </w:r>
    </w:p>
    <w:p>
      <w:pPr>
        <w:numPr>
          <w:ilvl w:val="0"/>
          <w:numId w:val="1010"/>
        </w:numPr>
        <w:pStyle w:val="Compact"/>
      </w:pPr>
      <w:r>
        <w:t xml:space="preserve">removable media used with shop equipment;</w:t>
      </w:r>
    </w:p>
    <w:p>
      <w:pPr>
        <w:numPr>
          <w:ilvl w:val="0"/>
          <w:numId w:val="1010"/>
        </w:numPr>
        <w:pStyle w:val="Compact"/>
      </w:pPr>
      <w:r>
        <w:t xml:space="preserve">incident reporting; and</w:t>
      </w:r>
    </w:p>
    <w:p>
      <w:pPr>
        <w:numPr>
          <w:ilvl w:val="0"/>
          <w:numId w:val="1010"/>
        </w:numPr>
        <w:pStyle w:val="Compact"/>
      </w:pPr>
      <w:r>
        <w:t xml:space="preserve">use of personal devices or public AI tools.</w:t>
      </w:r>
    </w:p>
    <w:p>
      <w:pPr>
        <w:pStyle w:val="FirstParagraph"/>
      </w:pPr>
      <w:r>
        <w:t xml:space="preserve">If a supplier, customer, or manager appears to request a bank-account change, urgent payment, unusual file download, or revised purchase instruction through an unexpected channel, verify it using the employer's approved process before acting.</w:t>
      </w:r>
    </w:p>
    <w:bookmarkEnd w:id="46"/>
    <w:bookmarkStart w:id="47" w:name="avoid-scams-and-weak-training-offers"/>
    <w:p>
      <w:pPr>
        <w:pStyle w:val="Heading2"/>
      </w:pPr>
      <w:r>
        <w:t xml:space="preserve">Avoid scams and weak training offers</w:t>
      </w:r>
    </w:p>
    <w:p>
      <w:pPr>
        <w:pStyle w:val="FirstParagraph"/>
      </w:pPr>
      <w:r>
        <w:t xml:space="preserve">Be cautious when a school, recruiter, employer, or training seller:</w:t>
      </w:r>
    </w:p>
    <w:p>
      <w:pPr>
        <w:numPr>
          <w:ilvl w:val="0"/>
          <w:numId w:val="1011"/>
        </w:numPr>
        <w:pStyle w:val="Compact"/>
      </w:pPr>
      <w:r>
        <w:t xml:space="preserve">guarantees a job, apprenticeship, union placement, or specific salary;</w:t>
      </w:r>
    </w:p>
    <w:p>
      <w:pPr>
        <w:numPr>
          <w:ilvl w:val="0"/>
          <w:numId w:val="1011"/>
        </w:numPr>
        <w:pStyle w:val="Compact"/>
      </w:pPr>
      <w:r>
        <w:t xml:space="preserve">pressures you to pay immediately;</w:t>
      </w:r>
    </w:p>
    <w:p>
      <w:pPr>
        <w:numPr>
          <w:ilvl w:val="0"/>
          <w:numId w:val="1011"/>
        </w:numPr>
        <w:pStyle w:val="Compact"/>
      </w:pPr>
      <w:r>
        <w:t xml:space="preserve">claims a private certificate is legally required without official evidence;</w:t>
      </w:r>
    </w:p>
    <w:p>
      <w:pPr>
        <w:numPr>
          <w:ilvl w:val="0"/>
          <w:numId w:val="1011"/>
        </w:numPr>
        <w:pStyle w:val="Compact"/>
      </w:pPr>
      <w:r>
        <w:t xml:space="preserve">will not disclose total cost, tool costs, financing terms, or refund rules;</w:t>
      </w:r>
    </w:p>
    <w:p>
      <w:pPr>
        <w:numPr>
          <w:ilvl w:val="0"/>
          <w:numId w:val="1011"/>
        </w:numPr>
        <w:pStyle w:val="Compact"/>
      </w:pPr>
      <w:r>
        <w:t xml:space="preserve">cannot explain which employers recognize the training;</w:t>
      </w:r>
    </w:p>
    <w:p>
      <w:pPr>
        <w:numPr>
          <w:ilvl w:val="0"/>
          <w:numId w:val="1011"/>
        </w:numPr>
        <w:pStyle w:val="Compact"/>
      </w:pPr>
      <w:r>
        <w:t xml:space="preserve">asks you to pay for a job offer, equipment shipment, or background check using gift cards, cryptocurrency, or unusual payment methods; or</w:t>
      </w:r>
    </w:p>
    <w:p>
      <w:pPr>
        <w:numPr>
          <w:ilvl w:val="0"/>
          <w:numId w:val="1011"/>
        </w:numPr>
        <w:pStyle w:val="Compact"/>
      </w:pPr>
      <w:r>
        <w:t xml:space="preserve">asks for sensitive identity or banking information before you have independently verified the organization.</w:t>
      </w:r>
    </w:p>
    <w:p>
      <w:pPr>
        <w:pStyle w:val="FirstParagraph"/>
      </w:pPr>
      <w:r>
        <w:t xml:space="preserve">Use official government, apprenticeship, union, employer, or accredited/public-provider sources to verify claims when possible.</w:t>
      </w:r>
    </w:p>
    <w:bookmarkEnd w:id="47"/>
    <w:bookmarkStart w:id="48" w:name="when-to-pause-before-spending-money"/>
    <w:p>
      <w:pPr>
        <w:pStyle w:val="Heading2"/>
      </w:pPr>
      <w:r>
        <w:t xml:space="preserve">When to pause before spending money</w:t>
      </w:r>
    </w:p>
    <w:p>
      <w:pPr>
        <w:pStyle w:val="FirstParagraph"/>
      </w:pPr>
      <w:r>
        <w:t xml:space="preserve">Pause or delay enrollment when:</w:t>
      </w:r>
    </w:p>
    <w:p>
      <w:pPr>
        <w:numPr>
          <w:ilvl w:val="0"/>
          <w:numId w:val="1012"/>
        </w:numPr>
        <w:pStyle w:val="Compact"/>
      </w:pPr>
      <w:r>
        <w:t xml:space="preserve">local employers do not request the credential you are considering;</w:t>
      </w:r>
    </w:p>
    <w:p>
      <w:pPr>
        <w:numPr>
          <w:ilvl w:val="0"/>
          <w:numId w:val="1012"/>
        </w:numPr>
        <w:pStyle w:val="Compact"/>
      </w:pPr>
      <w:r>
        <w:t xml:space="preserve">the provider will not provide total cost, tool requirements, and refund terms in writing;</w:t>
      </w:r>
    </w:p>
    <w:p>
      <w:pPr>
        <w:numPr>
          <w:ilvl w:val="0"/>
          <w:numId w:val="1012"/>
        </w:numPr>
        <w:pStyle w:val="Compact"/>
      </w:pPr>
      <w:r>
        <w:t xml:space="preserve">public, apprenticeship, union, or employer-paid training may cover the same skill;</w:t>
      </w:r>
    </w:p>
    <w:p>
      <w:pPr>
        <w:numPr>
          <w:ilvl w:val="0"/>
          <w:numId w:val="1012"/>
        </w:numPr>
        <w:pStyle w:val="Compact"/>
      </w:pPr>
      <w:r>
        <w:t xml:space="preserve">you have not confirmed whether the program is recognized in your jurisdiction;</w:t>
      </w:r>
    </w:p>
    <w:p>
      <w:pPr>
        <w:numPr>
          <w:ilvl w:val="0"/>
          <w:numId w:val="1012"/>
        </w:numPr>
        <w:pStyle w:val="Compact"/>
      </w:pPr>
      <w:r>
        <w:t xml:space="preserve">the work's physical demands or safety conditions do not fit your circumstances; or</w:t>
      </w:r>
    </w:p>
    <w:p>
      <w:pPr>
        <w:numPr>
          <w:ilvl w:val="0"/>
          <w:numId w:val="1012"/>
        </w:numPr>
        <w:pStyle w:val="Compact"/>
      </w:pPr>
      <w:r>
        <w:t xml:space="preserve">financing terms would create debt you cannot comfortably repay.</w:t>
      </w:r>
    </w:p>
    <w:bookmarkEnd w:id="48"/>
    <w:bookmarkStart w:id="62" w:name="current-sources"/>
    <w:p>
      <w:pPr>
        <w:pStyle w:val="Heading2"/>
      </w:pPr>
      <w:r>
        <w:t xml:space="preserve">Current sources</w:t>
      </w:r>
    </w:p>
    <w:p>
      <w:pPr>
        <w:pStyle w:val="FirstParagraph"/>
      </w:pPr>
      <w:r>
        <w:t xml:space="preserve">Official/public sources:</w:t>
      </w:r>
    </w:p>
    <w:p>
      <w:pPr>
        <w:numPr>
          <w:ilvl w:val="0"/>
          <w:numId w:val="1013"/>
        </w:numPr>
        <w:pStyle w:val="Compact"/>
      </w:pPr>
      <w:r>
        <w:t xml:space="preserve">U.S. Department of Labor O*NET OnLine — Carpenters:</w:t>
      </w:r>
      <w:r>
        <w:t xml:space="preserve"> </w:t>
      </w:r>
      <w:hyperlink r:id="rId49">
        <w:r>
          <w:rPr>
            <w:rStyle w:val="Hyperlink"/>
          </w:rPr>
          <w:t xml:space="preserve">source</w:t>
        </w:r>
      </w:hyperlink>
    </w:p>
    <w:p>
      <w:pPr>
        <w:numPr>
          <w:ilvl w:val="0"/>
          <w:numId w:val="1013"/>
        </w:numPr>
        <w:pStyle w:val="Compact"/>
      </w:pPr>
      <w:r>
        <w:t xml:space="preserve">Apprenticeship.gov:</w:t>
      </w:r>
      <w:r>
        <w:t xml:space="preserve"> </w:t>
      </w:r>
      <w:hyperlink r:id="rId50">
        <w:r>
          <w:rPr>
            <w:rStyle w:val="Hyperlink"/>
          </w:rPr>
          <w:t xml:space="preserve">source</w:t>
        </w:r>
      </w:hyperlink>
    </w:p>
    <w:p>
      <w:pPr>
        <w:numPr>
          <w:ilvl w:val="0"/>
          <w:numId w:val="1013"/>
        </w:numPr>
        <w:pStyle w:val="Compact"/>
      </w:pPr>
      <w:r>
        <w:t xml:space="preserve">CareerOneStop — WIOA training resources:</w:t>
      </w:r>
      <w:r>
        <w:t xml:space="preserve"> </w:t>
      </w:r>
      <w:hyperlink r:id="rId51">
        <w:r>
          <w:rPr>
            <w:rStyle w:val="Hyperlink"/>
          </w:rPr>
          <w:t xml:space="preserve">source</w:t>
        </w:r>
      </w:hyperlink>
    </w:p>
    <w:p>
      <w:pPr>
        <w:numPr>
          <w:ilvl w:val="0"/>
          <w:numId w:val="1013"/>
        </w:numPr>
        <w:pStyle w:val="Compact"/>
      </w:pPr>
      <w:r>
        <w:t xml:space="preserve">Government of Canada Job Bank — Carpenters wages:</w:t>
      </w:r>
      <w:r>
        <w:t xml:space="preserve"> </w:t>
      </w:r>
      <w:hyperlink r:id="rId52">
        <w:r>
          <w:rPr>
            <w:rStyle w:val="Hyperlink"/>
          </w:rPr>
          <w:t xml:space="preserve">source</w:t>
        </w:r>
      </w:hyperlink>
    </w:p>
    <w:p>
      <w:pPr>
        <w:numPr>
          <w:ilvl w:val="0"/>
          <w:numId w:val="1013"/>
        </w:numPr>
        <w:pStyle w:val="Compact"/>
      </w:pPr>
      <w:r>
        <w:t xml:space="preserve">Government of Canada Job Bank — Carpenter requirements (NOC 72310):</w:t>
      </w:r>
      <w:r>
        <w:t xml:space="preserve"> </w:t>
      </w:r>
      <w:hyperlink r:id="rId53">
        <w:r>
          <w:rPr>
            <w:rStyle w:val="Hyperlink"/>
          </w:rPr>
          <w:t xml:space="preserve">source</w:t>
        </w:r>
      </w:hyperlink>
    </w:p>
    <w:p>
      <w:pPr>
        <w:numPr>
          <w:ilvl w:val="0"/>
          <w:numId w:val="1013"/>
        </w:numPr>
        <w:pStyle w:val="Compact"/>
      </w:pPr>
      <w:r>
        <w:t xml:space="preserve">Government of Canada — Supports for skilled trades and apprenticeship:</w:t>
      </w:r>
      <w:r>
        <w:t xml:space="preserve"> </w:t>
      </w:r>
      <w:hyperlink r:id="rId54">
        <w:r>
          <w:rPr>
            <w:rStyle w:val="Hyperlink"/>
          </w:rPr>
          <w:t xml:space="preserve">source</w:t>
        </w:r>
      </w:hyperlink>
    </w:p>
    <w:p>
      <w:pPr>
        <w:numPr>
          <w:ilvl w:val="0"/>
          <w:numId w:val="1013"/>
        </w:numPr>
        <w:pStyle w:val="Compact"/>
      </w:pPr>
      <w:r>
        <w:t xml:space="preserve">Government of Canada — Apprenticeship Grants status:</w:t>
      </w:r>
      <w:r>
        <w:t xml:space="preserve"> </w:t>
      </w:r>
      <w:hyperlink r:id="rId55">
        <w:r>
          <w:rPr>
            <w:rStyle w:val="Hyperlink"/>
          </w:rPr>
          <w:t xml:space="preserve">source</w:t>
        </w:r>
      </w:hyperlink>
    </w:p>
    <w:p>
      <w:pPr>
        <w:numPr>
          <w:ilvl w:val="0"/>
          <w:numId w:val="1013"/>
        </w:numPr>
        <w:pStyle w:val="Compact"/>
      </w:pPr>
      <w:r>
        <w:t xml:space="preserve">Government of Canada — Funding opportunities for skilled trades and apprenticeship:</w:t>
      </w:r>
      <w:r>
        <w:t xml:space="preserve"> </w:t>
      </w:r>
      <w:hyperlink r:id="rId56">
        <w:r>
          <w:rPr>
            <w:rStyle w:val="Hyperlink"/>
          </w:rPr>
          <w:t xml:space="preserve">source</w:t>
        </w:r>
      </w:hyperlink>
    </w:p>
    <w:p>
      <w:pPr>
        <w:numPr>
          <w:ilvl w:val="0"/>
          <w:numId w:val="1013"/>
        </w:numPr>
        <w:pStyle w:val="Compact"/>
      </w:pPr>
      <w:r>
        <w:t xml:space="preserve">Government of Canada — Apprenticeship Service:</w:t>
      </w:r>
      <w:r>
        <w:t xml:space="preserve"> </w:t>
      </w:r>
      <w:hyperlink r:id="rId57">
        <w:r>
          <w:rPr>
            <w:rStyle w:val="Hyperlink"/>
          </w:rPr>
          <w:t xml:space="preserve">source</w:t>
        </w:r>
      </w:hyperlink>
    </w:p>
    <w:p>
      <w:pPr>
        <w:numPr>
          <w:ilvl w:val="0"/>
          <w:numId w:val="1013"/>
        </w:numPr>
        <w:pStyle w:val="Compact"/>
      </w:pPr>
      <w:r>
        <w:t xml:space="preserve">SENA Betowa — Básico de carpintería y ebanistería:</w:t>
      </w:r>
      <w:r>
        <w:t xml:space="preserve"> </w:t>
      </w:r>
      <w:hyperlink r:id="rId58">
        <w:r>
          <w:rPr>
            <w:rStyle w:val="Hyperlink"/>
          </w:rPr>
          <w:t xml:space="preserve">source</w:t>
        </w:r>
      </w:hyperlink>
    </w:p>
    <w:p>
      <w:pPr>
        <w:numPr>
          <w:ilvl w:val="0"/>
          <w:numId w:val="1013"/>
        </w:numPr>
        <w:pStyle w:val="Compact"/>
      </w:pPr>
      <w:r>
        <w:t xml:space="preserve">OIT/Cinterfor:</w:t>
      </w:r>
      <w:r>
        <w:t xml:space="preserve"> </w:t>
      </w:r>
      <w:hyperlink r:id="rId59">
        <w:r>
          <w:rPr>
            <w:rStyle w:val="Hyperlink"/>
          </w:rPr>
          <w:t xml:space="preserve">source</w:t>
        </w:r>
      </w:hyperlink>
    </w:p>
    <w:p>
      <w:pPr>
        <w:pStyle w:val="FirstParagraph"/>
      </w:pPr>
      <w:r>
        <w:t xml:space="preserve">Supplementary non-government salary sources:</w:t>
      </w:r>
    </w:p>
    <w:p>
      <w:pPr>
        <w:numPr>
          <w:ilvl w:val="0"/>
          <w:numId w:val="1014"/>
        </w:numPr>
        <w:pStyle w:val="Compact"/>
      </w:pPr>
      <w:r>
        <w:t xml:space="preserve">Salary.com — Cabinetmaker and Bench Carpenter:</w:t>
      </w:r>
      <w:r>
        <w:t xml:space="preserve"> </w:t>
      </w:r>
      <w:hyperlink r:id="rId60">
        <w:r>
          <w:rPr>
            <w:rStyle w:val="Hyperlink"/>
          </w:rPr>
          <w:t xml:space="preserve">source</w:t>
        </w:r>
      </w:hyperlink>
    </w:p>
    <w:p>
      <w:pPr>
        <w:numPr>
          <w:ilvl w:val="0"/>
          <w:numId w:val="1014"/>
        </w:numPr>
        <w:pStyle w:val="Compact"/>
      </w:pPr>
      <w:r>
        <w:t xml:space="preserve">Salary.com — Cabinet Maker:</w:t>
      </w:r>
      <w:r>
        <w:t xml:space="preserve"> </w:t>
      </w:r>
      <w:hyperlink r:id="rId61">
        <w:r>
          <w:rPr>
            <w:rStyle w:val="Hyperlink"/>
          </w:rPr>
          <w:t xml:space="preserve">source</w:t>
        </w:r>
      </w:hyperlink>
    </w:p>
    <w:bookmarkEnd w:id="62"/>
    <w:bookmarkStart w:id="63" w:name="source-and-review-note"/>
    <w:p>
      <w:pPr>
        <w:pStyle w:val="Heading2"/>
      </w:pPr>
      <w:r>
        <w:t xml:space="preserve">Source and review note</w:t>
      </w:r>
    </w:p>
    <w:p>
      <w:pPr>
        <w:pStyle w:val="FirstParagraph"/>
      </w:pPr>
      <w:r>
        <w:t xml:space="preserve">This guide uses current-source research recorded on August 14, 2026. Wages, training availability, apprenticeship supports, certification rules, licensing requirements, and local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financial advice, or guaranteed employment outcomes.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basico-de-carpinteria-y-ebanisteria?offertype=company&amp;programId=12174" TargetMode="External" /><Relationship Type="http://schemas.openxmlformats.org/officeDocument/2006/relationships/hyperlink" Id="rId50" Target="https://www.apprenticeship.gov/" TargetMode="External" /><Relationship Type="http://schemas.openxmlformats.org/officeDocument/2006/relationships/hyperlink" Id="rId57" Target="https://www.canada.ca/en/employment-social-development/programs/apprentice-service-program.html" TargetMode="External" /><Relationship Type="http://schemas.openxmlformats.org/officeDocument/2006/relationships/hyperlink" Id="rId54" Target="https://www.canada.ca/en/services/jobs/training/support-skilled-trades-apprentices.html" TargetMode="External" /><Relationship Type="http://schemas.openxmlformats.org/officeDocument/2006/relationships/hyperlink" Id="rId56" Target="https://www.canada.ca/en/services/jobs/training/support-skilled-trades-apprentices/funding-opportunities.html" TargetMode="External" /><Relationship Type="http://schemas.openxmlformats.org/officeDocument/2006/relationships/hyperlink" Id="rId55" Target="https://www.canada.ca/en/services/jobs/training/support-skilled-trades-apprentices/grants.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3" Target="https://www.jobbank.gc.ca/marketreport/requirements/6408/ca" TargetMode="External" /><Relationship Type="http://schemas.openxmlformats.org/officeDocument/2006/relationships/hyperlink" Id="rId52" Target="https://www.jobbank.gc.ca/wagereport/occupation/6388" TargetMode="External" /><Relationship Type="http://schemas.openxmlformats.org/officeDocument/2006/relationships/hyperlink" Id="rId59" Target="https://www.oitcinterfor.org/" TargetMode="External" /><Relationship Type="http://schemas.openxmlformats.org/officeDocument/2006/relationships/hyperlink" Id="rId49" Target="https://www.onetonline.org/link/summary/47-2031.00" TargetMode="External" /><Relationship Type="http://schemas.openxmlformats.org/officeDocument/2006/relationships/hyperlink" Id="rId60" Target="https://www.salary.com/research/salary/benchmark/cabinetmaker-and-bench-carpenter-salary" TargetMode="External" /><Relationship Type="http://schemas.openxmlformats.org/officeDocument/2006/relationships/hyperlink" Id="rId61" Target="https://www.salary.com/research/salary/listing/cabinet-maker-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basico-de-carpinteria-y-ebanisteria?offertype=company&amp;programId=12174" TargetMode="External" /><Relationship Type="http://schemas.openxmlformats.org/officeDocument/2006/relationships/hyperlink" Id="rId50" Target="https://www.apprenticeship.gov/" TargetMode="External" /><Relationship Type="http://schemas.openxmlformats.org/officeDocument/2006/relationships/hyperlink" Id="rId57" Target="https://www.canada.ca/en/employment-social-development/programs/apprentice-service-program.html" TargetMode="External" /><Relationship Type="http://schemas.openxmlformats.org/officeDocument/2006/relationships/hyperlink" Id="rId54" Target="https://www.canada.ca/en/services/jobs/training/support-skilled-trades-apprentices.html" TargetMode="External" /><Relationship Type="http://schemas.openxmlformats.org/officeDocument/2006/relationships/hyperlink" Id="rId56" Target="https://www.canada.ca/en/services/jobs/training/support-skilled-trades-apprentices/funding-opportunities.html" TargetMode="External" /><Relationship Type="http://schemas.openxmlformats.org/officeDocument/2006/relationships/hyperlink" Id="rId55" Target="https://www.canada.ca/en/services/jobs/training/support-skilled-trades-apprentices/grants.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3" Target="https://www.jobbank.gc.ca/marketreport/requirements/6408/ca" TargetMode="External" /><Relationship Type="http://schemas.openxmlformats.org/officeDocument/2006/relationships/hyperlink" Id="rId52" Target="https://www.jobbank.gc.ca/wagereport/occupation/6388" TargetMode="External" /><Relationship Type="http://schemas.openxmlformats.org/officeDocument/2006/relationships/hyperlink" Id="rId59" Target="https://www.oitcinterfor.org/" TargetMode="External" /><Relationship Type="http://schemas.openxmlformats.org/officeDocument/2006/relationships/hyperlink" Id="rId49" Target="https://www.onetonline.org/link/summary/47-2031.00" TargetMode="External" /><Relationship Type="http://schemas.openxmlformats.org/officeDocument/2006/relationships/hyperlink" Id="rId60" Target="https://www.salary.com/research/salary/benchmark/cabinetmaker-and-bench-carpenter-salary" TargetMode="External" /><Relationship Type="http://schemas.openxmlformats.org/officeDocument/2006/relationships/hyperlink" Id="rId61" Target="https://www.salary.com/research/salary/listing/cabinet-ma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2026-08-14T20:21:09Z</dcterms:created>
  <dcterms:modified xsi:type="dcterms:W3CDTF">2026-08-14T20:21:09Z</dcterms:modified>
</cp:coreProperties>
</file>

<file path=docProps/custom.xml><?xml version="1.0" encoding="utf-8"?>
<Properties xmlns="http://schemas.openxmlformats.org/officeDocument/2006/custom-properties" xmlns:vt="http://schemas.openxmlformats.org/officeDocument/2006/docPropsVTypes"/>
</file>