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bab98f1a9f1609b958d55d34439f66479524916"/>
    <w:p>
      <w:pPr>
        <w:pStyle w:val="Heading1"/>
      </w:pPr>
      <w:r>
        <w:t xml:space="preserve">Guia 41 — Carpinteiro e Técnico em Marcenaria</w:t>
      </w:r>
    </w:p>
    <w:p>
      <w:pPr>
        <w:pStyle w:val="FirstParagraph"/>
      </w:pPr>
      <w:r>
        <w:rPr>
          <w:bCs/>
          <w:b/>
        </w:rPr>
        <w:t xml:space="preserve">Mestre de trabalho controlado em português do Brasil — versão 2.0</w:t>
      </w:r>
      <w:r>
        <w:br/>
      </w:r>
      <w:r>
        <w:rPr>
          <w:bCs/>
          <w:b/>
        </w:rPr>
        <w:t xml:space="preserve">Data da revisão:</w:t>
      </w:r>
      <w:r>
        <w:t xml:space="preserve"> </w:t>
      </w:r>
      <w:r>
        <w:t xml:space="preserve">14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Carpintaria e marcenaria são caminhos profissionais relacionados ao trabalho com madeira, mas não são idênticos. Carpinteiros da construção normalmente constroem, instalam, reparam ou reformam componentes estruturais e de acabamento em residências, edifícios comerciais, infraestrutura e outros ambientes de obra. Marceneiros e carpinteiros de bancada trabalham com mais frequência em oficinas ou ambientes de fabricação, produzindo armários, componentes de móveis, peças de acabamento, marcenaria sob medida e outros produtos de madeira de precisão, às vezes seguidos de instalação em campo.</w:t>
      </w:r>
    </w:p>
    <w:p>
      <w:pPr>
        <w:pStyle w:val="BodyText"/>
      </w:pPr>
      <w:r>
        <w:t xml:space="preserve">Os empregadores podem usar títulos como carpinteiro, aprendiz de carpinteiro, carpinteiro de acabamento, carpinteiro de formas, marceneiro, instalador de armários, carpinteiro de bancada, técnico em marcenaria, joiner, técnico em trabalhos de madeira ou carpinteiro de oficina. As funções, regras de certificação, salários e expectativas de formação variam conforme o país, província/estado, empregador e especialidade.</w:t>
      </w:r>
    </w:p>
    <w:p>
      <w:pPr>
        <w:pStyle w:val="BodyText"/>
      </w:pPr>
      <w:r>
        <w:t xml:space="preserve">Este guia serve para exploração e preparação de carreira. Verifique os requisitos locais atuais, as regras de segurança, os requisitos de licença ou certificação e a disponibilidade de formação antes de pagar por um programa ou aceitar um trabalho.</w:t>
      </w:r>
    </w:p>
    <w:bookmarkEnd w:id="20"/>
    <w:bookmarkStart w:id="21" w:name="o-que-você-pode-fazer"/>
    <w:p>
      <w:pPr>
        <w:pStyle w:val="Heading2"/>
      </w:pPr>
      <w:r>
        <w:t xml:space="preserve">O que você pode fazer</w:t>
      </w:r>
    </w:p>
    <w:p>
      <w:pPr>
        <w:pStyle w:val="FirstParagraph"/>
      </w:pPr>
      <w:r>
        <w:t xml:space="preserve">Dependendo do caminho profissional, as responsabilidades típicas podem incluir:</w:t>
      </w:r>
    </w:p>
    <w:p>
      <w:pPr>
        <w:numPr>
          <w:ilvl w:val="0"/>
          <w:numId w:val="1001"/>
        </w:numPr>
        <w:pStyle w:val="Compact"/>
      </w:pPr>
      <w:r>
        <w:t xml:space="preserve">ler desenhos, plantas, desenhos de oficina, especificações e ordens de trabalho;</w:t>
      </w:r>
    </w:p>
    <w:p>
      <w:pPr>
        <w:numPr>
          <w:ilvl w:val="0"/>
          <w:numId w:val="1001"/>
        </w:numPr>
        <w:pStyle w:val="Compact"/>
      </w:pPr>
      <w:r>
        <w:t xml:space="preserve">medir, marcar, cortar, moldar, perfurar, montar, ajustar e instalar madeira ou materiais à base de madeira;</w:t>
      </w:r>
    </w:p>
    <w:p>
      <w:pPr>
        <w:numPr>
          <w:ilvl w:val="0"/>
          <w:numId w:val="1001"/>
        </w:numPr>
        <w:pStyle w:val="Compact"/>
      </w:pPr>
      <w:r>
        <w:t xml:space="preserve">construir ou instalar estruturas, formas, portas, janelas, acabamentos, escadas, divisórias, armários, bancadas, prateleiras, marcenaria e componentes de móveis;</w:t>
      </w:r>
    </w:p>
    <w:p>
      <w:pPr>
        <w:numPr>
          <w:ilvl w:val="0"/>
          <w:numId w:val="1001"/>
        </w:numPr>
        <w:pStyle w:val="Compact"/>
      </w:pPr>
      <w:r>
        <w:t xml:space="preserve">usar ferramentas manuais, ferramentas elétricas portáteis, máquinas estacionárias para madeira e instrumentos de medição;</w:t>
      </w:r>
    </w:p>
    <w:p>
      <w:pPr>
        <w:numPr>
          <w:ilvl w:val="0"/>
          <w:numId w:val="1001"/>
        </w:numPr>
        <w:pStyle w:val="Compact"/>
      </w:pPr>
      <w:r>
        <w:t xml:space="preserve">selecionar materiais e ferragens com base em dimensões, acabamento, resistência, umidade, aparência e requisitos do projeto;</w:t>
      </w:r>
    </w:p>
    <w:p>
      <w:pPr>
        <w:numPr>
          <w:ilvl w:val="0"/>
          <w:numId w:val="1001"/>
        </w:numPr>
        <w:pStyle w:val="Compact"/>
      </w:pPr>
      <w:r>
        <w:t xml:space="preserve">verificar encaixe, nível, prumo, esquadro, alinhamento e qualidade do acabamento;</w:t>
      </w:r>
    </w:p>
    <w:p>
      <w:pPr>
        <w:numPr>
          <w:ilvl w:val="0"/>
          <w:numId w:val="1001"/>
        </w:numPr>
        <w:pStyle w:val="Compact"/>
      </w:pPr>
      <w:r>
        <w:t xml:space="preserve">estimar ou acompanhar materiais, ferragens, perdas e necessidades básicas de produção;</w:t>
      </w:r>
    </w:p>
    <w:p>
      <w:pPr>
        <w:numPr>
          <w:ilvl w:val="0"/>
          <w:numId w:val="1001"/>
        </w:numPr>
        <w:pStyle w:val="Compact"/>
      </w:pPr>
      <w:r>
        <w:t xml:space="preserve">coordenar com supervisores, outros ofícios, clientes, projetistas, instaladores, fornecedores ou equipes de produção;</w:t>
      </w:r>
    </w:p>
    <w:p>
      <w:pPr>
        <w:numPr>
          <w:ilvl w:val="0"/>
          <w:numId w:val="1001"/>
        </w:numPr>
        <w:pStyle w:val="Compact"/>
      </w:pPr>
      <w:r>
        <w:t xml:space="preserve">manter ferramentas, áreas de trabalho e registros conforme os procedimentos do empregador; e</w:t>
      </w:r>
    </w:p>
    <w:p>
      <w:pPr>
        <w:numPr>
          <w:ilvl w:val="0"/>
          <w:numId w:val="1001"/>
        </w:numPr>
        <w:pStyle w:val="Compact"/>
      </w:pPr>
      <w:r>
        <w:t xml:space="preserve">interromper e escalar o trabalho quando desenhos, medidas, materiais, equipamentos ou condições do local criarem risco de segurança ou qualidade.</w:t>
      </w:r>
    </w:p>
    <w:p>
      <w:pPr>
        <w:pStyle w:val="FirstParagraph"/>
      </w:pPr>
      <w:r>
        <w:t xml:space="preserve">A carpintaria da construção pode envolver mais instalação em campo, trabalho estrutural, exposição externa, escadas, andaimes ou mudança frequente de locais de obra. A marcenaria pode envolver mais fabricação em oficina, trabalho repetitivo com máquinas, sistemas de coleta de pó, encaixes de precisão, lixamento, acabamento, montagem e programação de produção.</w:t>
      </w:r>
    </w:p>
    <w:bookmarkEnd w:id="21"/>
    <w:bookmarkStart w:id="22" w:name="Xe910fcca8e617bb66b2fa01d48f99900a5d6cdf"/>
    <w:p>
      <w:pPr>
        <w:pStyle w:val="Heading2"/>
      </w:pPr>
      <w:r>
        <w:t xml:space="preserve">Ambiente de trabalho e exigências físicas</w:t>
      </w:r>
    </w:p>
    <w:p>
      <w:pPr>
        <w:pStyle w:val="FirstParagraph"/>
      </w:pPr>
      <w:r>
        <w:t xml:space="preserve">O trabalho pode ocorrer em canteiros de obras, projetos de reforma, oficinas, marcenarias, fábricas, instalações de clientes ou locais de instalação. Alguns empregos exigem ficar em pé, curvar-se, levantar peso, ajoelhar-se, subir, carregar materiais e trabalhar em ambientes com ruído, poeira, calor, frio ou espaços ainda não finalizados.</w:t>
      </w:r>
    </w:p>
    <w:p>
      <w:pPr>
        <w:pStyle w:val="BodyText"/>
      </w:pPr>
      <w:r>
        <w:t xml:space="preserve">Carpintaria e marcenaria envolvem riscos importantes. Entre eles estão lâminas, serras, tupias, pregadores, prensas, equipamentos de lixamento, poeira de madeira em suspensão, ruído, quedas, lesões por levantamento de carga, riscos elétricos, produtos químicos, adesivos, revestimentos, produtos de acabamento e tráfego de veículos ou equipamentos.</w:t>
      </w:r>
    </w:p>
    <w:p>
      <w:pPr>
        <w:pStyle w:val="BodyText"/>
      </w:pPr>
      <w:r>
        <w:t xml:space="preserve">Siga os requisitos do empregador e da jurisdição para proteção de máquinas, equipamentos de proteção individual, proteção respiratória, proteção auditiva, proteção contra quedas, bloqueio e etiquetagem, manuseio de produtos químicos, ventilação, coleta de pó, organização do local e treinamento em equipamentos. Nunca remova uma proteção, desative um intertravamento, ignore proteção contra quedas ou improvise um procedimento perigoso para economizar tempo.</w:t>
      </w:r>
    </w:p>
    <w:bookmarkEnd w:id="22"/>
    <w:bookmarkStart w:id="23" w:name="habilidades-importantes"/>
    <w:p>
      <w:pPr>
        <w:pStyle w:val="Heading2"/>
      </w:pPr>
      <w:r>
        <w:t xml:space="preserve">Habilidades importantes</w:t>
      </w:r>
    </w:p>
    <w:p>
      <w:pPr>
        <w:pStyle w:val="FirstParagraph"/>
      </w:pPr>
      <w:r>
        <w:t xml:space="preserve">Os empregadores costumam valorizar:</w:t>
      </w:r>
    </w:p>
    <w:p>
      <w:pPr>
        <w:numPr>
          <w:ilvl w:val="0"/>
          <w:numId w:val="1002"/>
        </w:numPr>
        <w:pStyle w:val="Compact"/>
      </w:pPr>
      <w:r>
        <w:t xml:space="preserve">medição e aritmética precisas;</w:t>
      </w:r>
    </w:p>
    <w:p>
      <w:pPr>
        <w:numPr>
          <w:ilvl w:val="0"/>
          <w:numId w:val="1002"/>
        </w:numPr>
        <w:pStyle w:val="Compact"/>
      </w:pPr>
      <w:r>
        <w:t xml:space="preserve">capacidade de ler desenhos, plantas e especificações;</w:t>
      </w:r>
    </w:p>
    <w:p>
      <w:pPr>
        <w:numPr>
          <w:ilvl w:val="0"/>
          <w:numId w:val="1002"/>
        </w:numPr>
        <w:pStyle w:val="Compact"/>
      </w:pPr>
      <w:r>
        <w:t xml:space="preserve">uso seguro de ferramentas manuais e elétricas;</w:t>
      </w:r>
    </w:p>
    <w:p>
      <w:pPr>
        <w:numPr>
          <w:ilvl w:val="0"/>
          <w:numId w:val="1002"/>
        </w:numPr>
        <w:pStyle w:val="Compact"/>
      </w:pPr>
      <w:r>
        <w:t xml:space="preserve">conhecimento de materiais, incluindo madeira serrada, chapas, ferragens, fixadores, adesivos e acabamentos;</w:t>
      </w:r>
    </w:p>
    <w:p>
      <w:pPr>
        <w:numPr>
          <w:ilvl w:val="0"/>
          <w:numId w:val="1002"/>
        </w:numPr>
        <w:pStyle w:val="Compact"/>
      </w:pPr>
      <w:r>
        <w:t xml:space="preserve">corte, ajuste, montagem e instalação cuidadosos;</w:t>
      </w:r>
    </w:p>
    <w:p>
      <w:pPr>
        <w:numPr>
          <w:ilvl w:val="0"/>
          <w:numId w:val="1002"/>
        </w:numPr>
        <w:pStyle w:val="Compact"/>
      </w:pPr>
      <w:r>
        <w:t xml:space="preserve">atenção aos detalhes e à qualidade do acabamento;</w:t>
      </w:r>
    </w:p>
    <w:p>
      <w:pPr>
        <w:numPr>
          <w:ilvl w:val="0"/>
          <w:numId w:val="1002"/>
        </w:numPr>
        <w:pStyle w:val="Compact"/>
      </w:pPr>
      <w:r>
        <w:t xml:space="preserve">raciocínio espacial e visualização;</w:t>
      </w:r>
    </w:p>
    <w:p>
      <w:pPr>
        <w:numPr>
          <w:ilvl w:val="0"/>
          <w:numId w:val="1002"/>
        </w:numPr>
        <w:pStyle w:val="Compact"/>
      </w:pPr>
      <w:r>
        <w:t xml:space="preserve">estimativa básica e planejamento de materiais;</w:t>
      </w:r>
    </w:p>
    <w:p>
      <w:pPr>
        <w:numPr>
          <w:ilvl w:val="0"/>
          <w:numId w:val="1002"/>
        </w:numPr>
        <w:pStyle w:val="Compact"/>
      </w:pPr>
      <w:r>
        <w:t xml:space="preserve">resolução de problemas quando as condições do local ou os materiais diferem do plano;</w:t>
      </w:r>
    </w:p>
    <w:p>
      <w:pPr>
        <w:numPr>
          <w:ilvl w:val="0"/>
          <w:numId w:val="1002"/>
        </w:numPr>
        <w:pStyle w:val="Compact"/>
      </w:pPr>
      <w:r>
        <w:t xml:space="preserve">comunicação clara com supervisores, clientes, outros profissionais e colegas;</w:t>
      </w:r>
    </w:p>
    <w:p>
      <w:pPr>
        <w:numPr>
          <w:ilvl w:val="0"/>
          <w:numId w:val="1002"/>
        </w:numPr>
        <w:pStyle w:val="Compact"/>
      </w:pPr>
      <w:r>
        <w:t xml:space="preserve">confiabilidade, pontualidade e hábitos seguros de trabalho; e</w:t>
      </w:r>
    </w:p>
    <w:p>
      <w:pPr>
        <w:numPr>
          <w:ilvl w:val="0"/>
          <w:numId w:val="1002"/>
        </w:numPr>
        <w:pStyle w:val="Compact"/>
      </w:pPr>
      <w:r>
        <w:t xml:space="preserve">disposição para aprender ferramentas, máquinas, padrões e softwares específicos do empregador.</w:t>
      </w:r>
    </w:p>
    <w:p>
      <w:pPr>
        <w:pStyle w:val="FirstParagraph"/>
      </w:pPr>
      <w:r>
        <w:t xml:space="preserve">Habilidades digitais básicas são cada vez mais úteis para ler desenhos eletrônicos, receber ordens de trabalho, documentar o progresso, acompanhar materiais ou usar sistemas de estimativa e produção. Nenhum produto de software específico é universalmente obrigatório.</w:t>
      </w:r>
    </w:p>
    <w:bookmarkEnd w:id="23"/>
    <w:bookmarkStart w:id="28" w:name="educação-e-caminhos-de-entrada"/>
    <w:p>
      <w:pPr>
        <w:pStyle w:val="Heading2"/>
      </w:pPr>
      <w:r>
        <w:t xml:space="preserve">Educação e caminhos de entrada</w:t>
      </w:r>
    </w:p>
    <w:bookmarkStart w:id="24" w:name="estados-unidos"/>
    <w:p>
      <w:pPr>
        <w:pStyle w:val="Heading3"/>
      </w:pPr>
      <w:r>
        <w:t xml:space="preserve">Estados Unidos</w:t>
      </w:r>
    </w:p>
    <w:p>
      <w:pPr>
        <w:pStyle w:val="FirstParagraph"/>
      </w:pPr>
      <w:r>
        <w:t xml:space="preserve">O O*NET classifica Carpinteiros na ocupação</w:t>
      </w:r>
      <w:r>
        <w:t xml:space="preserve"> </w:t>
      </w:r>
      <w:r>
        <w:rPr>
          <w:bCs/>
          <w:b/>
        </w:rPr>
        <w:t xml:space="preserve">47-2031.00</w:t>
      </w:r>
      <w:r>
        <w:t xml:space="preserve">. Os requisitos de entrada variam, mas aprendizagem remunerada e treinamento fornecido pelo empregador são caminhos importantes. Os programas Registered Apprenticeship combinam aprendizagem prática remunerada no trabalho com instrução relacionada e desenvolvimento progressivo de habilidades.</w:t>
      </w:r>
    </w:p>
    <w:p>
      <w:pPr>
        <w:pStyle w:val="BodyText"/>
      </w:pPr>
      <w:r>
        <w:t xml:space="preserve">Um caminho prático de entrada pode ser:</w:t>
      </w:r>
    </w:p>
    <w:p>
      <w:pPr>
        <w:numPr>
          <w:ilvl w:val="0"/>
          <w:numId w:val="1003"/>
        </w:numPr>
        <w:pStyle w:val="Compact"/>
      </w:pPr>
      <w:r>
        <w:t xml:space="preserve">Desenvolver fundamentos de medição, aritmética, segurança com ferramentas, materiais e leitura de plantas.</w:t>
      </w:r>
    </w:p>
    <w:p>
      <w:pPr>
        <w:numPr>
          <w:ilvl w:val="0"/>
          <w:numId w:val="1003"/>
        </w:numPr>
        <w:pStyle w:val="Compact"/>
      </w:pPr>
      <w:r>
        <w:t xml:space="preserve">Analisar vagas locais para verificar se empregadores estão contratando ajudantes, aprendizes, auxiliares de marcenaria, instaladores ou trabalhadores iniciantes de produção.</w:t>
      </w:r>
    </w:p>
    <w:p>
      <w:pPr>
        <w:numPr>
          <w:ilvl w:val="0"/>
          <w:numId w:val="1003"/>
        </w:numPr>
        <w:pStyle w:val="Compact"/>
      </w:pPr>
      <w:r>
        <w:t xml:space="preserve">Pesquisar oportunidades atuais de aprendizagem remunerada em Apprenticeship.gov.</w:t>
      </w:r>
    </w:p>
    <w:p>
      <w:pPr>
        <w:numPr>
          <w:ilvl w:val="0"/>
          <w:numId w:val="1003"/>
        </w:numPr>
        <w:pStyle w:val="Compact"/>
      </w:pPr>
      <w:r>
        <w:t xml:space="preserve">Usar treinamento do empregador, treinamento sindical ou setorial quando aplicável, educação comunitária/técnica ou programas financiados pelo sistema de emprego para aprofundar habilidades.</w:t>
      </w:r>
    </w:p>
    <w:p>
      <w:pPr>
        <w:numPr>
          <w:ilvl w:val="0"/>
          <w:numId w:val="1003"/>
        </w:numPr>
        <w:pStyle w:val="Compact"/>
      </w:pPr>
      <w:r>
        <w:t xml:space="preserve">Avançar para funções de nível profissional, carpintaria de acabamento, marcenaria, instalação, supervisão, estimativa ou produção à medida que a experiência aumenta.</w:t>
      </w:r>
    </w:p>
    <w:p>
      <w:pPr>
        <w:pStyle w:val="FirstParagraph"/>
      </w:pPr>
      <w:r>
        <w:t xml:space="preserve">A disponibilidade de Registered Apprenticeship varia por empregador e localidade. O fato de a carpintaria ser um ofício que pode ter aprendizagem formal não significa que exista uma vaga aberta em todas as regiões.</w:t>
      </w:r>
    </w:p>
    <w:bookmarkEnd w:id="24"/>
    <w:bookmarkStart w:id="25" w:name="canadá"/>
    <w:p>
      <w:pPr>
        <w:pStyle w:val="Heading3"/>
      </w:pPr>
      <w:r>
        <w:t xml:space="preserve">Canadá</w:t>
      </w:r>
    </w:p>
    <w:p>
      <w:pPr>
        <w:pStyle w:val="FirstParagraph"/>
      </w:pPr>
      <w:r>
        <w:t xml:space="preserve">O Job Bank do Governo do Canadá classifica carpinteiros no</w:t>
      </w:r>
      <w:r>
        <w:t xml:space="preserve"> </w:t>
      </w:r>
      <w:r>
        <w:rPr>
          <w:bCs/>
          <w:b/>
        </w:rPr>
        <w:t xml:space="preserve">NOC 72310</w:t>
      </w:r>
      <w:r>
        <w:t xml:space="preserve">. Os requisitos nacionais atuais indicam que a conclusão do ensino médio normalmente é exigida. Para ser elegível à certificação do ofício, em geral é necessário concluir uma</w:t>
      </w:r>
      <w:r>
        <w:t xml:space="preserve"> </w:t>
      </w:r>
      <w:r>
        <w:rPr>
          <w:bCs/>
          <w:b/>
        </w:rPr>
        <w:t xml:space="preserve">aprendizagem de três a quatro anos</w:t>
      </w:r>
      <w:r>
        <w:t xml:space="preserve"> </w:t>
      </w:r>
      <w:r>
        <w:t xml:space="preserve">ou ter uma combinação de</w:t>
      </w:r>
      <w:r>
        <w:t xml:space="preserve"> </w:t>
      </w:r>
      <w:r>
        <w:rPr>
          <w:bCs/>
          <w:b/>
        </w:rPr>
        <w:t xml:space="preserve">mais de quatro anos de experiência profissional</w:t>
      </w:r>
      <w:r>
        <w:t xml:space="preserve"> </w:t>
      </w:r>
      <w:r>
        <w:t xml:space="preserve">com cursos relevantes de ensino médio, faculdade ou setor.</w:t>
      </w:r>
    </w:p>
    <w:p>
      <w:pPr>
        <w:pStyle w:val="BodyText"/>
      </w:pPr>
      <w:r>
        <w:t xml:space="preserve">A certificação de carpinteiro é obrigatória em Quebec e disponível, mas voluntária, em outras províncias e territórios. Carpinteiros qualificados podem buscar o selo</w:t>
      </w:r>
      <w:r>
        <w:t xml:space="preserve"> </w:t>
      </w:r>
      <w:r>
        <w:rPr>
          <w:bCs/>
          <w:b/>
        </w:rPr>
        <w:t xml:space="preserve">Red Seal</w:t>
      </w:r>
      <w:r>
        <w:t xml:space="preserve"> </w:t>
      </w:r>
      <w:r>
        <w:t xml:space="preserve">por meio do processo de exame interprovincial. Os requisitos podem variar por jurisdição, por isso verifique as regras atuais de aprendizagem e certificação da província ou território onde pretende trabalhar.</w:t>
      </w:r>
    </w:p>
    <w:p>
      <w:pPr>
        <w:pStyle w:val="BodyText"/>
      </w:pPr>
      <w:r>
        <w:t xml:space="preserve">A marcenaria pode seguir um caminho de ofício separado da carpintaria de construção em algumas jurisdições. Não presuma que uma credencial de um ofício cubra automaticamente todas as ocupações de trabalho com madeira.</w:t>
      </w:r>
    </w:p>
    <w:bookmarkEnd w:id="25"/>
    <w:bookmarkStart w:id="26" w:name="colômbia"/>
    <w:p>
      <w:pPr>
        <w:pStyle w:val="Heading3"/>
      </w:pPr>
      <w:r>
        <w:t xml:space="preserve">Colômbia</w:t>
      </w:r>
    </w:p>
    <w:p>
      <w:pPr>
        <w:pStyle w:val="FirstParagraph"/>
      </w:pPr>
      <w:r>
        <w:t xml:space="preserve">O SENA atualmente lista</w:t>
      </w:r>
      <w:r>
        <w:t xml:space="preserve"> </w:t>
      </w:r>
      <w:r>
        <w:rPr>
          <w:bCs/>
          <w:b/>
        </w:rPr>
        <w:t xml:space="preserve">Básico de carpintería y ebanistería</w:t>
      </w:r>
      <w:r>
        <w:t xml:space="preserve">, um programa complementar presencial de 60 horas que abrange habilidades básicas de carpintaria e marcenaria, incluindo montagem e instalação. A disponibilidade, local, horários, regras de admissão e condições de matrícula podem mudar, portanto verifique a oferta atual no Betowa antes de se inscrever.</w:t>
      </w:r>
    </w:p>
    <w:p>
      <w:pPr>
        <w:pStyle w:val="BodyText"/>
      </w:pPr>
      <w:r>
        <w:t xml:space="preserve">Pessoas na Colômbia também devem pesquisar no SENA/Betowa ofertas atuais relacionadas a trabalhos com madeira, móveis, marcenaria, acabamento, construção, segurança ocupacional, medição e habilidades de produção relacionadas. Os sistemas do Ministério do Trabalho sobre qualificações e informação ocupacional podem ajudar a identificar ocupações relacionadas e caminhos de formação.</w:t>
      </w:r>
    </w:p>
    <w:bookmarkEnd w:id="26"/>
    <w:bookmarkStart w:id="27" w:name="américa-latina-e-caribe"/>
    <w:p>
      <w:pPr>
        <w:pStyle w:val="Heading3"/>
      </w:pPr>
      <w:r>
        <w:t xml:space="preserve">América Latina e Caribe</w:t>
      </w:r>
    </w:p>
    <w:p>
      <w:pPr>
        <w:pStyle w:val="FirstParagraph"/>
      </w:pPr>
      <w:r>
        <w:t xml:space="preserve">Os sistemas de formação, licenciamento, certificação e aprendizagem variam por país. A OIT/Cinterfor pode ajudar a identificar instituições nacionais de formação profissional e sistemas de competências na região. Exemplos incluem SENA na Colômbia, SENCE no Chile, INTECAP na Guatemala, INFOTEP na República Dominicana e INEFOP no Uruguai.</w:t>
      </w:r>
    </w:p>
    <w:p>
      <w:pPr>
        <w:pStyle w:val="BodyText"/>
      </w:pPr>
      <w:r>
        <w:t xml:space="preserve">Sempre confirme o provedor nacional atual, critérios de elegibilidade, custos, reconhecimento e se alguma credencial é obrigatória para o trabalho que você pretende realizar.</w:t>
      </w:r>
    </w:p>
    <w:bookmarkEnd w:id="27"/>
    <w:bookmarkEnd w:id="28"/>
    <w:bookmarkStart w:id="29" w:name="X25b3667a7abbaf07de0898fa6da6c1ea0e57adc"/>
    <w:p>
      <w:pPr>
        <w:pStyle w:val="Heading2"/>
      </w:pPr>
      <w:r>
        <w:t xml:space="preserve">Estratégia de aprendizagem gratuita primeiro e de baixo custo</w:t>
      </w:r>
    </w:p>
    <w:p>
      <w:pPr>
        <w:pStyle w:val="FirstParagraph"/>
      </w:pPr>
      <w:r>
        <w:t xml:space="preserve">Não presuma que você precisa de um certificado privado caro antes de se candidatar. Uma sequência mais segura é:</w:t>
      </w:r>
    </w:p>
    <w:p>
      <w:pPr>
        <w:numPr>
          <w:ilvl w:val="0"/>
          <w:numId w:val="1004"/>
        </w:numPr>
        <w:pStyle w:val="Compact"/>
      </w:pPr>
      <w:r>
        <w:t xml:space="preserve">Revisar vagas reais na sua região e anotar os requisitos recorrentes.</w:t>
      </w:r>
    </w:p>
    <w:p>
      <w:pPr>
        <w:numPr>
          <w:ilvl w:val="0"/>
          <w:numId w:val="1004"/>
        </w:numPr>
        <w:pStyle w:val="Compact"/>
      </w:pPr>
      <w:r>
        <w:t xml:space="preserve">Priorizar formação pública, aprendizagem formal, treinamento oferecido pelo empregador ou opções de baixo custo.</w:t>
      </w:r>
    </w:p>
    <w:p>
      <w:pPr>
        <w:numPr>
          <w:ilvl w:val="0"/>
          <w:numId w:val="1004"/>
        </w:numPr>
        <w:pStyle w:val="Compact"/>
      </w:pPr>
      <w:r>
        <w:t xml:space="preserve">Desenvolver habilidades práticas de medição, leitura de plantas, materiais, segurança com ferramentas e estimativa básica.</w:t>
      </w:r>
    </w:p>
    <w:p>
      <w:pPr>
        <w:numPr>
          <w:ilvl w:val="0"/>
          <w:numId w:val="1004"/>
        </w:numPr>
        <w:pStyle w:val="Compact"/>
      </w:pPr>
      <w:r>
        <w:t xml:space="preserve">Praticar com materiais de treinamento seguros e exercícios supervisionados em oficina ou canteiro.</w:t>
      </w:r>
    </w:p>
    <w:p>
      <w:pPr>
        <w:numPr>
          <w:ilvl w:val="0"/>
          <w:numId w:val="1004"/>
        </w:numPr>
        <w:pStyle w:val="Compact"/>
      </w:pPr>
      <w:r>
        <w:t xml:space="preserve">Perguntar aos empregadores sobre integração remunerada, aprendizagem, vagas de trainee, ajuda para ferramentas, treinamento cruzado, apoio para mensalidades, reembolso de certificação e progressão interna.</w:t>
      </w:r>
    </w:p>
    <w:p>
      <w:pPr>
        <w:numPr>
          <w:ilvl w:val="0"/>
          <w:numId w:val="1004"/>
        </w:numPr>
        <w:pStyle w:val="Compact"/>
      </w:pPr>
      <w:r>
        <w:t xml:space="preserve">Considerar formação privada paga somente depois de verificar custo total, regras de reembolso, reconhecimento pelos empregadores e se a credencial aparece em vagas reais.</w:t>
      </w:r>
    </w:p>
    <w:p>
      <w:pPr>
        <w:pStyle w:val="FirstParagraph"/>
      </w:pPr>
      <w:r>
        <w:t xml:space="preserve">Nunca use prática sem supervisão em equipamentos perigosos como substituto do treinamento exigido para máquinas ou segurança.</w:t>
      </w:r>
    </w:p>
    <w:bookmarkEnd w:id="29"/>
    <w:bookmarkStart w:id="32" w:name="Xe621c4e762170be12e6df74317b03fa74675372"/>
    <w:p>
      <w:pPr>
        <w:pStyle w:val="Heading2"/>
      </w:pPr>
      <w:r>
        <w:t xml:space="preserve">Aprendizagem e formação baseada no trabalho</w:t>
      </w:r>
    </w:p>
    <w:bookmarkStart w:id="30" w:name="estados-unidos-1"/>
    <w:p>
      <w:pPr>
        <w:pStyle w:val="Heading3"/>
      </w:pPr>
      <w:r>
        <w:t xml:space="preserve">Estados Unidos</w:t>
      </w:r>
    </w:p>
    <w:p>
      <w:pPr>
        <w:pStyle w:val="FirstParagraph"/>
      </w:pPr>
      <w:r>
        <w:t xml:space="preserve">Use</w:t>
      </w:r>
      <w:r>
        <w:t xml:space="preserve"> </w:t>
      </w:r>
      <w:r>
        <w:rPr>
          <w:bCs/>
          <w:b/>
        </w:rPr>
        <w:t xml:space="preserve">Apprenticeship.gov</w:t>
      </w:r>
      <w:r>
        <w:t xml:space="preserve"> </w:t>
      </w:r>
      <w:r>
        <w:t xml:space="preserve">para pesquisar oportunidades atuais de Registered Apprenticeship. Esse modelo é conduzido pelo empregador e remunerado, combinando aprendizagem estruturada no trabalho, mentoria, instrução relacionada e progressão salarial.</w:t>
      </w:r>
    </w:p>
    <w:p>
      <w:pPr>
        <w:pStyle w:val="BodyText"/>
      </w:pPr>
      <w:r>
        <w:t xml:space="preserve">Dependendo do mercado local, pontos de entrada relacionados também podem incluir ajudante de carpinteiro, trabalhador da construção, auxiliar de marcenaria, ajudante de instalação, trabalhador de produção em madeira ou vaga de trainee.</w:t>
      </w:r>
    </w:p>
    <w:bookmarkEnd w:id="30"/>
    <w:bookmarkStart w:id="31" w:name="canadá-1"/>
    <w:p>
      <w:pPr>
        <w:pStyle w:val="Heading3"/>
      </w:pPr>
      <w:r>
        <w:t xml:space="preserve">Canadá</w:t>
      </w:r>
    </w:p>
    <w:p>
      <w:pPr>
        <w:pStyle w:val="FirstParagraph"/>
      </w:pPr>
      <w:r>
        <w:t xml:space="preserve">Os programas de aprendizagem são administrados pelas províncias e territórios. Os apoios federais atuais podem incluir Employment Insurance durante treinamento técnico elegível, medidas fiscais e o</w:t>
      </w:r>
      <w:r>
        <w:t xml:space="preserve"> </w:t>
      </w:r>
      <w:r>
        <w:rPr>
          <w:bCs/>
          <w:b/>
        </w:rPr>
        <w:t xml:space="preserve">Canada Apprentice Loan</w:t>
      </w:r>
      <w:r>
        <w:t xml:space="preserve">, que pode oferecer até</w:t>
      </w:r>
      <w:r>
        <w:t xml:space="preserve"> </w:t>
      </w:r>
      <w:r>
        <w:rPr>
          <w:bCs/>
          <w:b/>
        </w:rPr>
        <w:t xml:space="preserve">CAD $4.000 por período de treinamento técnico</w:t>
      </w:r>
      <w:r>
        <w:t xml:space="preserve">, sujeito à elegibilidade.</w:t>
      </w:r>
    </w:p>
    <w:p>
      <w:pPr>
        <w:pStyle w:val="BodyText"/>
      </w:pPr>
      <w:r>
        <w:t xml:space="preserve">Os antigos programas federais Apprenticeship Incentive Grant e Apprenticeship Completion Grant estão fechados para novas solicitações. Não dependa de sites antigos de treinamento que ainda apresentem esses subsídios como disponíveis atualmente.</w:t>
      </w:r>
    </w:p>
    <w:p>
      <w:pPr>
        <w:pStyle w:val="BodyText"/>
      </w:pPr>
      <w:r>
        <w:t xml:space="preserve">O programa federal Apprenticeship Service já apoiou empregadores que contratavam aprendizes de primeiro ano, inclusive em ofícios como Carpenter e Cabinetmaker, mas sua página pública atualmente informa que</w:t>
      </w:r>
      <w:r>
        <w:t xml:space="preserve"> </w:t>
      </w:r>
      <w:r>
        <w:rPr>
          <w:bCs/>
          <w:b/>
        </w:rPr>
        <w:t xml:space="preserve">não está aceitando solicitações enquanto ocorre um processo de renovação</w:t>
      </w:r>
      <w:r>
        <w:t xml:space="preserve">. Trate-o como um programa de apoio ao empregador dependente de status, e não como um subsídio ativo garantido.</w:t>
      </w:r>
    </w:p>
    <w:bookmarkEnd w:id="31"/>
    <w:bookmarkEnd w:id="32"/>
    <w:bookmarkStart w:id="37" w:name="X407cc97cbc780e84219d51d6951fefeca38ac88"/>
    <w:p>
      <w:pPr>
        <w:pStyle w:val="Heading2"/>
      </w:pPr>
      <w:r>
        <w:t xml:space="preserve">Financiamento, subsídios e apoio do empregador</w:t>
      </w:r>
    </w:p>
    <w:bookmarkStart w:id="33" w:name="estados-unidos-2"/>
    <w:p>
      <w:pPr>
        <w:pStyle w:val="Heading3"/>
      </w:pPr>
      <w:r>
        <w:t xml:space="preserve">Estados Unidos</w:t>
      </w:r>
    </w:p>
    <w:p>
      <w:pPr>
        <w:pStyle w:val="FirstParagraph"/>
      </w:pPr>
      <w:r>
        <w:t xml:space="preserve">American Job Centers podem ajudar candidatos elegíveis a explorar serviços de treinamento previstos na Workforce Innovation and Opportunity Act (WIOA). CareerOneStop e agências locais de emprego podem ajudar a localizar opções de treinamento aprovadas.</w:t>
      </w:r>
    </w:p>
    <w:p>
      <w:pPr>
        <w:pStyle w:val="BodyText"/>
      </w:pPr>
      <w:r>
        <w:t xml:space="preserve">A elegibilidade e o financiamento dependem da pessoa, da área local de emprego, do provedor e do programa. Apoio WIOA não é garantido.</w:t>
      </w:r>
    </w:p>
    <w:bookmarkEnd w:id="33"/>
    <w:bookmarkStart w:id="34" w:name="canadá-2"/>
    <w:p>
      <w:pPr>
        <w:pStyle w:val="Heading3"/>
      </w:pPr>
      <w:r>
        <w:t xml:space="preserve">Canadá</w:t>
      </w:r>
    </w:p>
    <w:p>
      <w:pPr>
        <w:pStyle w:val="FirstParagraph"/>
      </w:pPr>
      <w:r>
        <w:t xml:space="preserve">Além de apoios específicos de aprendizagem, estudantes podem ser elegíveis a programas provinciais/territoriais de formação ou outras formas de apoio público à educação, dependendo do programa e das circunstâncias pessoais. Verifique os critérios atuais antes de assumir compromissos financeiros.</w:t>
      </w:r>
    </w:p>
    <w:bookmarkEnd w:id="34"/>
    <w:bookmarkStart w:id="35" w:name="colômbia-e-américa-latina"/>
    <w:p>
      <w:pPr>
        <w:pStyle w:val="Heading3"/>
      </w:pPr>
      <w:r>
        <w:t xml:space="preserve">Colômbia e América Latina</w:t>
      </w:r>
    </w:p>
    <w:p>
      <w:pPr>
        <w:pStyle w:val="FirstParagraph"/>
      </w:pPr>
      <w:r>
        <w:t xml:space="preserve">Consulte primeiro os sistemas públicos de formação antes de pagar um provedor privado. Na Colômbia, comece pelo SENA e pelos sistemas públicos relacionados de qualificação. Em outros países da América Latina, use a OIT/Cinterfor para identificar a instituição nacional apropriada e depois confirme as regras atuais localmente.</w:t>
      </w:r>
    </w:p>
    <w:bookmarkEnd w:id="35"/>
    <w:bookmarkStart w:id="36" w:name="apoio-do-empregador"/>
    <w:p>
      <w:pPr>
        <w:pStyle w:val="Heading3"/>
      </w:pPr>
      <w:r>
        <w:t xml:space="preserve">Apoio do empregador</w:t>
      </w:r>
    </w:p>
    <w:p>
      <w:pPr>
        <w:pStyle w:val="FirstParagraph"/>
      </w:pPr>
      <w:r>
        <w:t xml:space="preserve">Pergunte aos empregadores sobre:</w:t>
      </w:r>
    </w:p>
    <w:p>
      <w:pPr>
        <w:numPr>
          <w:ilvl w:val="0"/>
          <w:numId w:val="1005"/>
        </w:numPr>
        <w:pStyle w:val="Compact"/>
      </w:pPr>
      <w:r>
        <w:t xml:space="preserve">integração remunerada e treinamento supervisionado em ferramentas;</w:t>
      </w:r>
    </w:p>
    <w:p>
      <w:pPr>
        <w:numPr>
          <w:ilvl w:val="0"/>
          <w:numId w:val="1005"/>
        </w:numPr>
        <w:pStyle w:val="Compact"/>
      </w:pPr>
      <w:r>
        <w:t xml:space="preserve">caminhos de aprendizagem ou trainee;</w:t>
      </w:r>
    </w:p>
    <w:p>
      <w:pPr>
        <w:numPr>
          <w:ilvl w:val="0"/>
          <w:numId w:val="1005"/>
        </w:numPr>
        <w:pStyle w:val="Compact"/>
      </w:pPr>
      <w:r>
        <w:t xml:space="preserve">ajuda para ferramentas ou EPI;</w:t>
      </w:r>
    </w:p>
    <w:p>
      <w:pPr>
        <w:numPr>
          <w:ilvl w:val="0"/>
          <w:numId w:val="1005"/>
        </w:numPr>
        <w:pStyle w:val="Compact"/>
      </w:pPr>
      <w:r>
        <w:t xml:space="preserve">apoio para mensalidades;</w:t>
      </w:r>
    </w:p>
    <w:p>
      <w:pPr>
        <w:numPr>
          <w:ilvl w:val="0"/>
          <w:numId w:val="1005"/>
        </w:numPr>
        <w:pStyle w:val="Compact"/>
      </w:pPr>
      <w:r>
        <w:t xml:space="preserve">reembolso de certificação ou exames;</w:t>
      </w:r>
    </w:p>
    <w:p>
      <w:pPr>
        <w:numPr>
          <w:ilvl w:val="0"/>
          <w:numId w:val="1005"/>
        </w:numPr>
        <w:pStyle w:val="Compact"/>
      </w:pPr>
      <w:r>
        <w:t xml:space="preserve">treinamento cruzado em instalação, acabamento, CNC, estimativa ou produção; e</w:t>
      </w:r>
    </w:p>
    <w:p>
      <w:pPr>
        <w:numPr>
          <w:ilvl w:val="0"/>
          <w:numId w:val="1005"/>
        </w:numPr>
        <w:pStyle w:val="Compact"/>
      </w:pPr>
      <w:r>
        <w:t xml:space="preserve">oportunidades internas de promoção.</w:t>
      </w:r>
    </w:p>
    <w:p>
      <w:pPr>
        <w:pStyle w:val="FirstParagraph"/>
      </w:pPr>
      <w:r>
        <w:t xml:space="preserve">Obtenha por escrito as condições de reembolso ou permanência antes de gastar dinheiro. Alguns programas exigem devolução dos valores se você sair da empresa dentro de determinado período.</w:t>
      </w:r>
    </w:p>
    <w:bookmarkEnd w:id="36"/>
    <w:bookmarkEnd w:id="37"/>
    <w:bookmarkStart w:id="41" w:name="renda-e-perspectiva-de-emprego"/>
    <w:p>
      <w:pPr>
        <w:pStyle w:val="Heading2"/>
      </w:pPr>
      <w:r>
        <w:t xml:space="preserve">Renda e perspectiva de emprego</w:t>
      </w:r>
    </w:p>
    <w:bookmarkStart w:id="38" w:name="X4b3648fb7f32b44de06a660b0a21af10f3dd0cb"/>
    <w:p>
      <w:pPr>
        <w:pStyle w:val="Heading3"/>
      </w:pPr>
      <w:r>
        <w:t xml:space="preserve">Estados Unidos — dados oficiais de carpinteiros</w:t>
      </w:r>
    </w:p>
    <w:p>
      <w:pPr>
        <w:pStyle w:val="FirstParagraph"/>
      </w:pPr>
      <w:r>
        <w:t xml:space="preserve">O O*NET apresenta dados salariais de 2025 do Bureau of Labor Statistics para Carpinteiros:</w:t>
      </w:r>
    </w:p>
    <w:p>
      <w:pPr>
        <w:numPr>
          <w:ilvl w:val="0"/>
          <w:numId w:val="1006"/>
        </w:numPr>
        <w:pStyle w:val="Compact"/>
      </w:pPr>
      <w:r>
        <w:rPr>
          <w:bCs/>
          <w:b/>
        </w:rPr>
        <w:t xml:space="preserve">Salário mediano por hora: US$ 29,12</w:t>
      </w:r>
    </w:p>
    <w:p>
      <w:pPr>
        <w:numPr>
          <w:ilvl w:val="0"/>
          <w:numId w:val="1006"/>
        </w:numPr>
        <w:pStyle w:val="Compact"/>
      </w:pPr>
      <w:r>
        <w:rPr>
          <w:bCs/>
          <w:b/>
        </w:rPr>
        <w:t xml:space="preserve">Salário anual mediano: US$ 60.580</w:t>
      </w:r>
    </w:p>
    <w:p>
      <w:pPr>
        <w:pStyle w:val="FirstParagraph"/>
      </w:pPr>
      <w:r>
        <w:t xml:space="preserve">O O*NET também informa aproximadamente</w:t>
      </w:r>
      <w:r>
        <w:t xml:space="preserve"> </w:t>
      </w:r>
      <w:r>
        <w:rPr>
          <w:bCs/>
          <w:b/>
        </w:rPr>
        <w:t xml:space="preserve">959.000 trabalhadores em 2024</w:t>
      </w:r>
      <w:r>
        <w:t xml:space="preserve">, crescimento projetado de</w:t>
      </w:r>
      <w:r>
        <w:t xml:space="preserve"> </w:t>
      </w:r>
      <w:r>
        <w:rPr>
          <w:bCs/>
          <w:b/>
        </w:rPr>
        <w:t xml:space="preserve">5% a 6% entre 2024 e 2034</w:t>
      </w:r>
      <w:r>
        <w:t xml:space="preserve"> </w:t>
      </w:r>
      <w:r>
        <w:t xml:space="preserve">e cerca de</w:t>
      </w:r>
      <w:r>
        <w:t xml:space="preserve"> </w:t>
      </w:r>
      <w:r>
        <w:rPr>
          <w:bCs/>
          <w:b/>
        </w:rPr>
        <w:t xml:space="preserve">74.100 vagas anuais</w:t>
      </w:r>
      <w:r>
        <w:t xml:space="preserve"> </w:t>
      </w:r>
      <w:r>
        <w:t xml:space="preserve">decorrentes de crescimento e reposição de trabalhadores.</w:t>
      </w:r>
    </w:p>
    <w:p>
      <w:pPr>
        <w:pStyle w:val="BodyText"/>
      </w:pPr>
      <w:r>
        <w:t xml:space="preserve">Essas são estatísticas nacionais para carpinteiros. Não representam um salário inicial garantido e podem não refletir marcenaria, carpintaria de bancada ou funções especializadas de trabalho com madeira.</w:t>
      </w:r>
    </w:p>
    <w:bookmarkEnd w:id="38"/>
    <w:bookmarkStart w:id="39" w:name="X5bf3203a9955f5111fd7b7a24944381bd760c62"/>
    <w:p>
      <w:pPr>
        <w:pStyle w:val="Heading3"/>
      </w:pPr>
      <w:r>
        <w:t xml:space="preserve">Estados Unidos — estimativas atuais não governamentais para marcenaria</w:t>
      </w:r>
    </w:p>
    <w:p>
      <w:pPr>
        <w:pStyle w:val="FirstParagraph"/>
      </w:pPr>
      <w:r>
        <w:t xml:space="preserve">Sites privados de salários apresentam valores diferentes para títulos próximos:</w:t>
      </w:r>
    </w:p>
    <w:p>
      <w:pPr>
        <w:numPr>
          <w:ilvl w:val="0"/>
          <w:numId w:val="1007"/>
        </w:numPr>
        <w:pStyle w:val="Compact"/>
      </w:pPr>
      <w:r>
        <w:t xml:space="preserve">Salary.com informou média aproximada de</w:t>
      </w:r>
      <w:r>
        <w:t xml:space="preserve"> </w:t>
      </w:r>
      <w:r>
        <w:rPr>
          <w:bCs/>
          <w:b/>
        </w:rPr>
        <w:t xml:space="preserve">US$ 41.709 por ano / US$ 20 por hora</w:t>
      </w:r>
      <w:r>
        <w:t xml:space="preserve"> </w:t>
      </w:r>
      <w:r>
        <w:t xml:space="preserve">para Cabinetmaker and Bench Carpenter em 1º de julho de 2026, com faixa declarada entre o 25º e 75º percentil de aproximadamente</w:t>
      </w:r>
      <w:r>
        <w:t xml:space="preserve"> </w:t>
      </w:r>
      <w:r>
        <w:rPr>
          <w:bCs/>
          <w:b/>
        </w:rPr>
        <w:t xml:space="preserve">US$ 34.226–US$ 51.809</w:t>
      </w:r>
      <w:r>
        <w:t xml:space="preserve">.</w:t>
      </w:r>
    </w:p>
    <w:p>
      <w:pPr>
        <w:numPr>
          <w:ilvl w:val="0"/>
          <w:numId w:val="1007"/>
        </w:numPr>
        <w:pStyle w:val="Compact"/>
      </w:pPr>
      <w:r>
        <w:t xml:space="preserve">Salary.com informou separadamente média aproximada de</w:t>
      </w:r>
      <w:r>
        <w:t xml:space="preserve"> </w:t>
      </w:r>
      <w:r>
        <w:rPr>
          <w:bCs/>
          <w:b/>
        </w:rPr>
        <w:t xml:space="preserve">US$ 60.290 por ano / US$ 29 por hora</w:t>
      </w:r>
      <w:r>
        <w:t xml:space="preserve"> </w:t>
      </w:r>
      <w:r>
        <w:t xml:space="preserve">para Cabinet Maker em 1º de julho de 2026, com faixa declarada entre o 25º e 75º percentil de aproximadamente</w:t>
      </w:r>
      <w:r>
        <w:t xml:space="preserve"> </w:t>
      </w:r>
      <w:r>
        <w:rPr>
          <w:bCs/>
          <w:b/>
        </w:rPr>
        <w:t xml:space="preserve">US$ 54.219–US$ 66.817</w:t>
      </w:r>
      <w:r>
        <w:t xml:space="preserve">.</w:t>
      </w:r>
    </w:p>
    <w:p>
      <w:pPr>
        <w:pStyle w:val="FirstParagraph"/>
      </w:pPr>
      <w:r>
        <w:t xml:space="preserve">Esses são</w:t>
      </w:r>
      <w:r>
        <w:t xml:space="preserve"> </w:t>
      </w:r>
      <w:r>
        <w:rPr>
          <w:bCs/>
          <w:b/>
        </w:rPr>
        <w:t xml:space="preserve">estimativas de mercado não governamentais para títulos relacionados</w:t>
      </w:r>
      <w:r>
        <w:t xml:space="preserve">. As metodologias e definições de cargo diferem, portanto esses valores não devem ser misturados com a mediana oficial de carpinteiros do BLS/O*NET.</w:t>
      </w:r>
    </w:p>
    <w:bookmarkEnd w:id="39"/>
    <w:bookmarkStart w:id="40" w:name="canadá--dados-oficiais-de-carpinteiros"/>
    <w:p>
      <w:pPr>
        <w:pStyle w:val="Heading3"/>
      </w:pPr>
      <w:r>
        <w:t xml:space="preserve">Canadá — dados oficiais de carpinteiros</w:t>
      </w:r>
    </w:p>
    <w:p>
      <w:pPr>
        <w:pStyle w:val="FirstParagraph"/>
      </w:pPr>
      <w:r>
        <w:t xml:space="preserve">O Job Bank do Governo do Canadá informa salários nacionais de carpinteiros, atualizados em 19 de novembro de 2025, de aproximadamente:</w:t>
      </w:r>
    </w:p>
    <w:p>
      <w:pPr>
        <w:numPr>
          <w:ilvl w:val="0"/>
          <w:numId w:val="1008"/>
        </w:numPr>
        <w:pStyle w:val="Compact"/>
      </w:pPr>
      <w:r>
        <w:rPr>
          <w:bCs/>
          <w:b/>
        </w:rPr>
        <w:t xml:space="preserve">CAD $22,00/hora — baixo</w:t>
      </w:r>
    </w:p>
    <w:p>
      <w:pPr>
        <w:numPr>
          <w:ilvl w:val="0"/>
          <w:numId w:val="1008"/>
        </w:numPr>
        <w:pStyle w:val="Compact"/>
      </w:pPr>
      <w:r>
        <w:rPr>
          <w:bCs/>
          <w:b/>
        </w:rPr>
        <w:t xml:space="preserve">CAD $32,12/hora — mediano</w:t>
      </w:r>
    </w:p>
    <w:p>
      <w:pPr>
        <w:numPr>
          <w:ilvl w:val="0"/>
          <w:numId w:val="1008"/>
        </w:numPr>
        <w:pStyle w:val="Compact"/>
      </w:pPr>
      <w:r>
        <w:rPr>
          <w:bCs/>
          <w:b/>
        </w:rPr>
        <w:t xml:space="preserve">CAD $44,23/hora — alto</w:t>
      </w:r>
    </w:p>
    <w:p>
      <w:pPr>
        <w:pStyle w:val="FirstParagraph"/>
      </w:pPr>
      <w:r>
        <w:t xml:space="preserve">Os salários variam por província, território, experiência, especialidade, situação sindical, setor da construção e demanda local. Use os filtros de localização do Job Bank antes de tomar uma decisão sobre treinamento ou mudança.</w:t>
      </w:r>
    </w:p>
    <w:bookmarkEnd w:id="40"/>
    <w:bookmarkEnd w:id="41"/>
    <w:bookmarkStart w:id="42" w:name="plano-prático-de-12-semanas-para-começar"/>
    <w:p>
      <w:pPr>
        <w:pStyle w:val="Heading2"/>
      </w:pPr>
      <w:r>
        <w:t xml:space="preserve">Plano prático de 12 semanas para começar</w:t>
      </w:r>
    </w:p>
    <w:p>
      <w:pPr>
        <w:pStyle w:val="FirstParagraph"/>
      </w:pPr>
      <w:r>
        <w:rPr>
          <w:bCs/>
          <w:b/>
        </w:rPr>
        <w:t xml:space="preserve">Semanas 1–2:</w:t>
      </w:r>
      <w:r>
        <w:t xml:space="preserve"> </w:t>
      </w:r>
      <w:r>
        <w:t xml:space="preserve">Revise 15–20 vagas locais de ajudante de carpinteiro, aprendiz de carpinteiro, marceneiro, auxiliar de marcenaria, instalador ou trabalhador com madeira. Registre ferramentas recorrentes, requisitos de segurança, credenciais, horários e expectativas de experiência.</w:t>
      </w:r>
    </w:p>
    <w:p>
      <w:pPr>
        <w:pStyle w:val="BodyText"/>
      </w:pPr>
      <w:r>
        <w:rPr>
          <w:bCs/>
          <w:b/>
        </w:rPr>
        <w:t xml:space="preserve">Semanas 3–4:</w:t>
      </w:r>
      <w:r>
        <w:t xml:space="preserve"> </w:t>
      </w:r>
      <w:r>
        <w:t xml:space="preserve">Reforce medição e aritmética: frações, decimais, conversão métrico/imperial, área, ângulos, marcação, tolerâncias e quantidades de materiais.</w:t>
      </w:r>
    </w:p>
    <w:p>
      <w:pPr>
        <w:pStyle w:val="BodyText"/>
      </w:pPr>
      <w:r>
        <w:rPr>
          <w:bCs/>
          <w:b/>
        </w:rPr>
        <w:t xml:space="preserve">Semanas 5–6:</w:t>
      </w:r>
      <w:r>
        <w:t xml:space="preserve"> </w:t>
      </w:r>
      <w:r>
        <w:t xml:space="preserve">Aprenda conceitos básicos de desenho e leitura de plantas, terminologia de madeira serrada e chapas, ferragens, fixadores, adesivos e acabamentos.</w:t>
      </w:r>
    </w:p>
    <w:p>
      <w:pPr>
        <w:pStyle w:val="BodyText"/>
      </w:pPr>
      <w:r>
        <w:rPr>
          <w:bCs/>
          <w:b/>
        </w:rPr>
        <w:t xml:space="preserve">Semanas 7–8:</w:t>
      </w:r>
      <w:r>
        <w:t xml:space="preserve"> </w:t>
      </w:r>
      <w:r>
        <w:t xml:space="preserve">Conclua treinamento supervisionado de segurança com ferramentas. Aprenda proteção adequada, EPI, coleta de pó, inspeção e procedimentos de desligamento para os equipamentos que você está autorizado a usar.</w:t>
      </w:r>
    </w:p>
    <w:p>
      <w:pPr>
        <w:pStyle w:val="BodyText"/>
      </w:pPr>
      <w:r>
        <w:rPr>
          <w:bCs/>
          <w:b/>
        </w:rPr>
        <w:t xml:space="preserve">Semanas 9–10:</w:t>
      </w:r>
      <w:r>
        <w:t xml:space="preserve"> </w:t>
      </w:r>
      <w:r>
        <w:t xml:space="preserve">Desenvolva um pequeno projeto prático supervisionado ou exercício de treinamento que demonstre medição, marcação, corte, montagem, encaixe, acabamento e documentação precisos. Não use equipamento para o qual você não tenha sido treinado e autorizado.</w:t>
      </w:r>
    </w:p>
    <w:p>
      <w:pPr>
        <w:pStyle w:val="BodyText"/>
      </w:pPr>
      <w:r>
        <w:rPr>
          <w:bCs/>
          <w:b/>
        </w:rPr>
        <w:t xml:space="preserve">Semanas 11–12:</w:t>
      </w:r>
      <w:r>
        <w:t xml:space="preserve"> </w:t>
      </w:r>
      <w:r>
        <w:t xml:space="preserve">Pesquise aprendizagem, formação pública e vagas de trainee em empregadores. Verifique financiamento, custos totais, requisitos de ferramentas, regras de reembolso e exigências atuais das vagas locais antes de se matricular em formação paga.</w:t>
      </w:r>
    </w:p>
    <w:bookmarkEnd w:id="42"/>
    <w:bookmarkStart w:id="43" w:name="X0655adce623bdf13e9a77f524008ee555da739e"/>
    <w:p>
      <w:pPr>
        <w:pStyle w:val="Heading2"/>
      </w:pPr>
      <w:r>
        <w:t xml:space="preserve">Como construir experiência sem já ter o título</w:t>
      </w:r>
    </w:p>
    <w:p>
      <w:pPr>
        <w:pStyle w:val="FirstParagraph"/>
      </w:pPr>
      <w:r>
        <w:t xml:space="preserve">Experiência transferível pode vir de:</w:t>
      </w:r>
    </w:p>
    <w:p>
      <w:pPr>
        <w:numPr>
          <w:ilvl w:val="0"/>
          <w:numId w:val="1009"/>
        </w:numPr>
        <w:pStyle w:val="Compact"/>
      </w:pPr>
      <w:r>
        <w:t xml:space="preserve">trabalho como ajudante da construção ou de outro ofício;</w:t>
      </w:r>
    </w:p>
    <w:p>
      <w:pPr>
        <w:numPr>
          <w:ilvl w:val="0"/>
          <w:numId w:val="1009"/>
        </w:numPr>
        <w:pStyle w:val="Compact"/>
      </w:pPr>
      <w:r>
        <w:t xml:space="preserve">manutenção e reparos;</w:t>
      </w:r>
    </w:p>
    <w:p>
      <w:pPr>
        <w:numPr>
          <w:ilvl w:val="0"/>
          <w:numId w:val="1009"/>
        </w:numPr>
        <w:pStyle w:val="Compact"/>
      </w:pPr>
      <w:r>
        <w:t xml:space="preserve">montagem ou instalação de móveis;</w:t>
      </w:r>
    </w:p>
    <w:p>
      <w:pPr>
        <w:numPr>
          <w:ilvl w:val="0"/>
          <w:numId w:val="1009"/>
        </w:numPr>
        <w:pStyle w:val="Compact"/>
      </w:pPr>
      <w:r>
        <w:t xml:space="preserve">almoxarifado ou movimentação de materiais;</w:t>
      </w:r>
    </w:p>
    <w:p>
      <w:pPr>
        <w:numPr>
          <w:ilvl w:val="0"/>
          <w:numId w:val="1009"/>
        </w:numPr>
        <w:pStyle w:val="Compact"/>
      </w:pPr>
      <w:r>
        <w:t xml:space="preserve">fabricação ou produção;</w:t>
      </w:r>
    </w:p>
    <w:p>
      <w:pPr>
        <w:numPr>
          <w:ilvl w:val="0"/>
          <w:numId w:val="1009"/>
        </w:numPr>
        <w:pStyle w:val="Compact"/>
      </w:pPr>
      <w:r>
        <w:t xml:space="preserve">apoio a reformas e melhorias residenciais;</w:t>
      </w:r>
    </w:p>
    <w:p>
      <w:pPr>
        <w:numPr>
          <w:ilvl w:val="0"/>
          <w:numId w:val="1009"/>
        </w:numPr>
        <w:pStyle w:val="Compact"/>
      </w:pPr>
      <w:r>
        <w:t xml:space="preserve">fabricação de cenários, exposições, sets ou instalações;</w:t>
      </w:r>
    </w:p>
    <w:p>
      <w:pPr>
        <w:numPr>
          <w:ilvl w:val="0"/>
          <w:numId w:val="1009"/>
        </w:numPr>
        <w:pStyle w:val="Compact"/>
      </w:pPr>
      <w:r>
        <w:t xml:space="preserve">trabalho em varejo de materiais de construção; ou</w:t>
      </w:r>
    </w:p>
    <w:p>
      <w:pPr>
        <w:numPr>
          <w:ilvl w:val="0"/>
          <w:numId w:val="1009"/>
        </w:numPr>
        <w:pStyle w:val="Compact"/>
      </w:pPr>
      <w:r>
        <w:t xml:space="preserve">projetos supervisionados comunitários ou de formação profissional.</w:t>
      </w:r>
    </w:p>
    <w:p>
      <w:pPr>
        <w:pStyle w:val="FirstParagraph"/>
      </w:pPr>
      <w:r>
        <w:t xml:space="preserve">Ao descrever sua experiência, seja preciso. Evidências úteis incluem medições corretas, uso seguro de ferramentas, qualidade de instalação, baixo retrabalho, controle de materiais, assiduidade, comunicação com clientes ou conclusão bem-sucedida de projetos supervisionados. Não afirme ter nível profissional, Red Seal, licença, certificação, conhecimento de CNC, trabalho estrutural ou operação de máquinas se você realmente não tiver essa experiência.</w:t>
      </w:r>
    </w:p>
    <w:bookmarkEnd w:id="43"/>
    <w:bookmarkStart w:id="44" w:name="progressão-profissional"/>
    <w:p>
      <w:pPr>
        <w:pStyle w:val="Heading2"/>
      </w:pPr>
      <w:r>
        <w:t xml:space="preserve">Progressão profissional</w:t>
      </w:r>
    </w:p>
    <w:p>
      <w:pPr>
        <w:pStyle w:val="FirstParagraph"/>
      </w:pPr>
      <w:r>
        <w:t xml:space="preserve">Possíveis próximos passos incluem carpinteiro de nível profissional, carpinteiro de acabamento, carpinteiro de formas, marceneiro, instalador de armários, técnico em marcenaria, líder de oficina, orçamentista, encarregado, supervisor de produção, operador de CNC para madeira, coordenador de projetos ou trabalho autônomo onde legalmente permitido.</w:t>
      </w:r>
    </w:p>
    <w:p>
      <w:pPr>
        <w:pStyle w:val="BodyText"/>
      </w:pPr>
      <w:r>
        <w:t xml:space="preserve">Funções avançadas podem exigir melhor leitura de plantas, conhecimento de normas, estimativa, familiaridade com CNC/CAD/CAM, experiência de supervisão, certificação do ofício, licença comercial ou credenciais específicas da jurisdição.</w:t>
      </w:r>
    </w:p>
    <w:p>
      <w:pPr>
        <w:pStyle w:val="BodyText"/>
      </w:pPr>
      <w:r>
        <w:t xml:space="preserve">Antes de pagar por um certificado avançado ou curso de software, compare várias vagas atuais para a função exata que deseja.</w:t>
      </w:r>
    </w:p>
    <w:bookmarkEnd w:id="44"/>
    <w:bookmarkStart w:id="45" w:name="uso-responsável-de-ia-neste-trabalho"/>
    <w:p>
      <w:pPr>
        <w:pStyle w:val="Heading2"/>
      </w:pPr>
      <w:r>
        <w:t xml:space="preserve">Uso responsável de IA neste trabalho</w:t>
      </w:r>
    </w:p>
    <w:p>
      <w:pPr>
        <w:pStyle w:val="FirstParagraph"/>
      </w:pPr>
      <w:r>
        <w:t xml:space="preserve">Ferramentas de IA podem ajudar a explicar terminologia geral, criar perguntas de entrevista para prática, resumir notas de estudo não sensíveis ou elaborar uma lista neutra de materiais para um exercício de treinamento. Elas não devem substituir desenhos aprovados, cálculos estruturais, especificações de engenharia, procedimentos de segurança, instruções de máquinas, medições, requisitos de normas ou controles de qualidade do empregador.</w:t>
      </w:r>
    </w:p>
    <w:p>
      <w:pPr>
        <w:pStyle w:val="BodyText"/>
      </w:pPr>
      <w:r>
        <w:t xml:space="preserve">Não insira em um serviço público de IA desenhos proprietários, informações de clientes, preços de fornecedores, credenciais, propostas, cronogramas internos, detalhes de acesso ou outras informações protegidas do projeto, a menos que o empregador ou cliente tenha autorizado explicitamente esse uso.</w:t>
      </w:r>
    </w:p>
    <w:p>
      <w:pPr>
        <w:pStyle w:val="BodyText"/>
      </w:pPr>
      <w:r>
        <w:t xml:space="preserve">Verifique medidas, quantidades, listas de corte, fórmulas, hipóteses de carga, recomendações de produtos e citações geradas por IA antes de usá-las. Um erro que pareça plausível pode causar desperdício, retrabalho, dano a equipamentos, perda financeira ou lesão.</w:t>
      </w:r>
    </w:p>
    <w:bookmarkEnd w:id="45"/>
    <w:bookmarkStart w:id="46" w:name="X356fdc2e85bc057c4a052aa3e43ca44bd86592f"/>
    <w:p>
      <w:pPr>
        <w:pStyle w:val="Heading2"/>
      </w:pPr>
      <w:r>
        <w:t xml:space="preserve">Noções básicas de cibersegurança e privacidade</w:t>
      </w:r>
    </w:p>
    <w:p>
      <w:pPr>
        <w:pStyle w:val="FirstParagraph"/>
      </w:pPr>
      <w:r>
        <w:t xml:space="preserve">Empresas modernas de construção e marcenaria podem usar desenhos em nuvem, plataformas de estimativa, sistemas de gestão de obras, arquivos CNC, ordens de trabalho digitais e portais de clientes. Siga as regras do empregador para:</w:t>
      </w:r>
    </w:p>
    <w:p>
      <w:pPr>
        <w:numPr>
          <w:ilvl w:val="0"/>
          <w:numId w:val="1010"/>
        </w:numPr>
        <w:pStyle w:val="Compact"/>
      </w:pPr>
      <w:r>
        <w:t xml:space="preserve">acesso a contas e autenticação multifator;</w:t>
      </w:r>
    </w:p>
    <w:p>
      <w:pPr>
        <w:numPr>
          <w:ilvl w:val="0"/>
          <w:numId w:val="1010"/>
        </w:numPr>
        <w:pStyle w:val="Compact"/>
      </w:pPr>
      <w:r>
        <w:t xml:space="preserve">senhas e compartilhamento de credenciais;</w:t>
      </w:r>
    </w:p>
    <w:p>
      <w:pPr>
        <w:numPr>
          <w:ilvl w:val="0"/>
          <w:numId w:val="1010"/>
        </w:numPr>
        <w:pStyle w:val="Compact"/>
      </w:pPr>
      <w:r>
        <w:t xml:space="preserve">phishing e anexos suspeitos;</w:t>
      </w:r>
    </w:p>
    <w:p>
      <w:pPr>
        <w:numPr>
          <w:ilvl w:val="0"/>
          <w:numId w:val="1010"/>
        </w:numPr>
        <w:pStyle w:val="Compact"/>
      </w:pPr>
      <w:r>
        <w:t xml:space="preserve">locais aprovados para compartilhamento de arquivos;</w:t>
      </w:r>
    </w:p>
    <w:p>
      <w:pPr>
        <w:numPr>
          <w:ilvl w:val="0"/>
          <w:numId w:val="1010"/>
        </w:numPr>
        <w:pStyle w:val="Compact"/>
      </w:pPr>
      <w:r>
        <w:t xml:space="preserve">endereços e informações de contato de clientes;</w:t>
      </w:r>
    </w:p>
    <w:p>
      <w:pPr>
        <w:numPr>
          <w:ilvl w:val="0"/>
          <w:numId w:val="1010"/>
        </w:numPr>
        <w:pStyle w:val="Compact"/>
      </w:pPr>
      <w:r>
        <w:t xml:space="preserve">desenhos proprietários e arquivos de produção;</w:t>
      </w:r>
    </w:p>
    <w:p>
      <w:pPr>
        <w:numPr>
          <w:ilvl w:val="0"/>
          <w:numId w:val="1010"/>
        </w:numPr>
        <w:pStyle w:val="Compact"/>
      </w:pPr>
      <w:r>
        <w:t xml:space="preserve">mídia removível usada com equipamentos de oficina;</w:t>
      </w:r>
    </w:p>
    <w:p>
      <w:pPr>
        <w:numPr>
          <w:ilvl w:val="0"/>
          <w:numId w:val="1010"/>
        </w:numPr>
        <w:pStyle w:val="Compact"/>
      </w:pPr>
      <w:r>
        <w:t xml:space="preserve">relato de incidentes; e</w:t>
      </w:r>
    </w:p>
    <w:p>
      <w:pPr>
        <w:numPr>
          <w:ilvl w:val="0"/>
          <w:numId w:val="1010"/>
        </w:numPr>
        <w:pStyle w:val="Compact"/>
      </w:pPr>
      <w:r>
        <w:t xml:space="preserve">uso de dispositivos pessoais ou ferramentas públicas de IA.</w:t>
      </w:r>
    </w:p>
    <w:p>
      <w:pPr>
        <w:pStyle w:val="FirstParagraph"/>
      </w:pPr>
      <w:r>
        <w:t xml:space="preserve">Se um fornecedor, cliente ou gerente parecer solicitar mudança de conta bancária, pagamento urgente, download incomum de arquivo ou nova instrução de compra por um canal inesperado, verifique a solicitação pelo processo aprovado do empregador antes de agir.</w:t>
      </w:r>
    </w:p>
    <w:bookmarkEnd w:id="46"/>
    <w:bookmarkStart w:id="47" w:name="X9567fac25ee3919602453afc3b03d558910a2d4"/>
    <w:p>
      <w:pPr>
        <w:pStyle w:val="Heading2"/>
      </w:pPr>
      <w:r>
        <w:t xml:space="preserve">Evite golpes e ofertas de formação de baixa qualidade</w:t>
      </w:r>
    </w:p>
    <w:p>
      <w:pPr>
        <w:pStyle w:val="FirstParagraph"/>
      </w:pPr>
      <w:r>
        <w:t xml:space="preserve">Tenha cautela quando uma escola, recrutador, empregador ou vendedor de treinamento:</w:t>
      </w:r>
    </w:p>
    <w:p>
      <w:pPr>
        <w:numPr>
          <w:ilvl w:val="0"/>
          <w:numId w:val="1011"/>
        </w:numPr>
        <w:pStyle w:val="Compact"/>
      </w:pPr>
      <w:r>
        <w:t xml:space="preserve">garante emprego, aprendizagem, colocação sindical ou salário específico;</w:t>
      </w:r>
    </w:p>
    <w:p>
      <w:pPr>
        <w:numPr>
          <w:ilvl w:val="0"/>
          <w:numId w:val="1011"/>
        </w:numPr>
        <w:pStyle w:val="Compact"/>
      </w:pPr>
      <w:r>
        <w:t xml:space="preserve">pressiona você a pagar imediatamente;</w:t>
      </w:r>
    </w:p>
    <w:p>
      <w:pPr>
        <w:numPr>
          <w:ilvl w:val="0"/>
          <w:numId w:val="1011"/>
        </w:numPr>
        <w:pStyle w:val="Compact"/>
      </w:pPr>
      <w:r>
        <w:t xml:space="preserve">afirma que um certificado privado é legalmente obrigatório sem evidência oficial;</w:t>
      </w:r>
    </w:p>
    <w:p>
      <w:pPr>
        <w:numPr>
          <w:ilvl w:val="0"/>
          <w:numId w:val="1011"/>
        </w:numPr>
        <w:pStyle w:val="Compact"/>
      </w:pPr>
      <w:r>
        <w:t xml:space="preserve">não informa custo total, custo de ferramentas, condições de financiamento ou regras de reembolso;</w:t>
      </w:r>
    </w:p>
    <w:p>
      <w:pPr>
        <w:numPr>
          <w:ilvl w:val="0"/>
          <w:numId w:val="1011"/>
        </w:numPr>
        <w:pStyle w:val="Compact"/>
      </w:pPr>
      <w:r>
        <w:t xml:space="preserve">não consegue explicar quais empregadores reconhecem o treinamento;</w:t>
      </w:r>
    </w:p>
    <w:p>
      <w:pPr>
        <w:numPr>
          <w:ilvl w:val="0"/>
          <w:numId w:val="1011"/>
        </w:numPr>
        <w:pStyle w:val="Compact"/>
      </w:pPr>
      <w:r>
        <w:t xml:space="preserve">pede pagamento por uma oferta de emprego, envio de equipamento ou verificação de antecedentes usando cartões-presente, criptomoedas ou métodos incomuns; ou</w:t>
      </w:r>
    </w:p>
    <w:p>
      <w:pPr>
        <w:numPr>
          <w:ilvl w:val="0"/>
          <w:numId w:val="1011"/>
        </w:numPr>
        <w:pStyle w:val="Compact"/>
      </w:pPr>
      <w:r>
        <w:t xml:space="preserve">pede dados sensíveis de identidade ou bancários antes que você tenha verificado a organização de forma independente.</w:t>
      </w:r>
    </w:p>
    <w:p>
      <w:pPr>
        <w:pStyle w:val="FirstParagraph"/>
      </w:pPr>
      <w:r>
        <w:t xml:space="preserve">Quando possível, use fontes oficiais do governo, de programas de aprendizagem, sindicatos, empregadores ou provedores públicos/acreditados para verificar alegações.</w:t>
      </w:r>
    </w:p>
    <w:bookmarkEnd w:id="47"/>
    <w:bookmarkStart w:id="48" w:name="quando-pausar-antes-de-gastar-dinheiro"/>
    <w:p>
      <w:pPr>
        <w:pStyle w:val="Heading2"/>
      </w:pPr>
      <w:r>
        <w:t xml:space="preserve">Quando pausar antes de gastar dinheiro</w:t>
      </w:r>
    </w:p>
    <w:p>
      <w:pPr>
        <w:pStyle w:val="FirstParagraph"/>
      </w:pPr>
      <w:r>
        <w:t xml:space="preserve">Pause ou adie a matrícula quando:</w:t>
      </w:r>
    </w:p>
    <w:p>
      <w:pPr>
        <w:numPr>
          <w:ilvl w:val="0"/>
          <w:numId w:val="1012"/>
        </w:numPr>
        <w:pStyle w:val="Compact"/>
      </w:pPr>
      <w:r>
        <w:t xml:space="preserve">empregadores locais não pedem a credencial que você está considerando;</w:t>
      </w:r>
    </w:p>
    <w:p>
      <w:pPr>
        <w:numPr>
          <w:ilvl w:val="0"/>
          <w:numId w:val="1012"/>
        </w:numPr>
        <w:pStyle w:val="Compact"/>
      </w:pPr>
      <w:r>
        <w:t xml:space="preserve">o provedor não fornece por escrito o custo total, requisitos de ferramentas e regras de reembolso;</w:t>
      </w:r>
    </w:p>
    <w:p>
      <w:pPr>
        <w:numPr>
          <w:ilvl w:val="0"/>
          <w:numId w:val="1012"/>
        </w:numPr>
        <w:pStyle w:val="Compact"/>
      </w:pPr>
      <w:r>
        <w:t xml:space="preserve">formação pública, aprendizagem, sindicato ou treinamento pago pelo empregador pode cobrir a mesma habilidade;</w:t>
      </w:r>
    </w:p>
    <w:p>
      <w:pPr>
        <w:numPr>
          <w:ilvl w:val="0"/>
          <w:numId w:val="1012"/>
        </w:numPr>
        <w:pStyle w:val="Compact"/>
      </w:pPr>
      <w:r>
        <w:t xml:space="preserve">você ainda não confirmou se o programa é reconhecido na sua jurisdição;</w:t>
      </w:r>
    </w:p>
    <w:p>
      <w:pPr>
        <w:numPr>
          <w:ilvl w:val="0"/>
          <w:numId w:val="1012"/>
        </w:numPr>
        <w:pStyle w:val="Compact"/>
      </w:pPr>
      <w:r>
        <w:t xml:space="preserve">as exigências físicas ou condições de segurança do trabalho não são adequadas às suas circunstâncias; ou</w:t>
      </w:r>
    </w:p>
    <w:p>
      <w:pPr>
        <w:numPr>
          <w:ilvl w:val="0"/>
          <w:numId w:val="1012"/>
        </w:numPr>
        <w:pStyle w:val="Compact"/>
      </w:pPr>
      <w:r>
        <w:t xml:space="preserve">as condições de financiamento criariam uma dívida que você não conseguiria pagar confortavelmente.</w:t>
      </w:r>
    </w:p>
    <w:bookmarkEnd w:id="48"/>
    <w:bookmarkStart w:id="62" w:name="fontes-atuais"/>
    <w:p>
      <w:pPr>
        <w:pStyle w:val="Heading2"/>
      </w:pPr>
      <w:r>
        <w:t xml:space="preserve">Fontes atuais</w:t>
      </w:r>
    </w:p>
    <w:p>
      <w:pPr>
        <w:pStyle w:val="FirstParagraph"/>
      </w:pPr>
      <w:r>
        <w:t xml:space="preserve">Fontes oficiais/públicas:</w:t>
      </w:r>
    </w:p>
    <w:p>
      <w:pPr>
        <w:numPr>
          <w:ilvl w:val="0"/>
          <w:numId w:val="1013"/>
        </w:numPr>
        <w:pStyle w:val="Compact"/>
      </w:pPr>
      <w:r>
        <w:t xml:space="preserve">U.S. Department of Labor O*NET OnLine — Carpenters:</w:t>
      </w:r>
      <w:r>
        <w:t xml:space="preserve"> </w:t>
      </w:r>
      <w:hyperlink r:id="rId49">
        <w:r>
          <w:rPr>
            <w:rStyle w:val="Hyperlink"/>
          </w:rPr>
          <w:t xml:space="preserve">source</w:t>
        </w:r>
      </w:hyperlink>
    </w:p>
    <w:p>
      <w:pPr>
        <w:numPr>
          <w:ilvl w:val="0"/>
          <w:numId w:val="1013"/>
        </w:numPr>
        <w:pStyle w:val="Compact"/>
      </w:pPr>
      <w:r>
        <w:t xml:space="preserve">Apprenticeship.gov:</w:t>
      </w:r>
      <w:r>
        <w:t xml:space="preserve"> </w:t>
      </w:r>
      <w:hyperlink r:id="rId50">
        <w:r>
          <w:rPr>
            <w:rStyle w:val="Hyperlink"/>
          </w:rPr>
          <w:t xml:space="preserve">source</w:t>
        </w:r>
      </w:hyperlink>
    </w:p>
    <w:p>
      <w:pPr>
        <w:numPr>
          <w:ilvl w:val="0"/>
          <w:numId w:val="1013"/>
        </w:numPr>
        <w:pStyle w:val="Compact"/>
      </w:pPr>
      <w:r>
        <w:t xml:space="preserve">CareerOneStop — recursos de treinamento WIOA:</w:t>
      </w:r>
      <w:r>
        <w:t xml:space="preserve"> </w:t>
      </w:r>
      <w:hyperlink r:id="rId51">
        <w:r>
          <w:rPr>
            <w:rStyle w:val="Hyperlink"/>
          </w:rPr>
          <w:t xml:space="preserve">source</w:t>
        </w:r>
      </w:hyperlink>
    </w:p>
    <w:p>
      <w:pPr>
        <w:numPr>
          <w:ilvl w:val="0"/>
          <w:numId w:val="1013"/>
        </w:numPr>
        <w:pStyle w:val="Compact"/>
      </w:pPr>
      <w:r>
        <w:t xml:space="preserve">Government of Canada Job Bank — salários de carpinteiros:</w:t>
      </w:r>
      <w:r>
        <w:t xml:space="preserve"> </w:t>
      </w:r>
      <w:hyperlink r:id="rId52">
        <w:r>
          <w:rPr>
            <w:rStyle w:val="Hyperlink"/>
          </w:rPr>
          <w:t xml:space="preserve">source</w:t>
        </w:r>
      </w:hyperlink>
    </w:p>
    <w:p>
      <w:pPr>
        <w:numPr>
          <w:ilvl w:val="0"/>
          <w:numId w:val="1013"/>
        </w:numPr>
        <w:pStyle w:val="Compact"/>
      </w:pPr>
      <w:r>
        <w:t xml:space="preserve">Government of Canada Job Bank — requisitos de Carpenter (NOC 72310):</w:t>
      </w:r>
      <w:r>
        <w:t xml:space="preserve"> </w:t>
      </w:r>
      <w:hyperlink r:id="rId53">
        <w:r>
          <w:rPr>
            <w:rStyle w:val="Hyperlink"/>
          </w:rPr>
          <w:t xml:space="preserve">source</w:t>
        </w:r>
      </w:hyperlink>
    </w:p>
    <w:p>
      <w:pPr>
        <w:numPr>
          <w:ilvl w:val="0"/>
          <w:numId w:val="1013"/>
        </w:numPr>
        <w:pStyle w:val="Compact"/>
      </w:pPr>
      <w:r>
        <w:t xml:space="preserve">Government of Canada — apoios para ofícios especializados e aprendizagem:</w:t>
      </w:r>
      <w:r>
        <w:t xml:space="preserve"> </w:t>
      </w:r>
      <w:hyperlink r:id="rId54">
        <w:r>
          <w:rPr>
            <w:rStyle w:val="Hyperlink"/>
          </w:rPr>
          <w:t xml:space="preserve">source</w:t>
        </w:r>
      </w:hyperlink>
    </w:p>
    <w:p>
      <w:pPr>
        <w:numPr>
          <w:ilvl w:val="0"/>
          <w:numId w:val="1013"/>
        </w:numPr>
        <w:pStyle w:val="Compact"/>
      </w:pPr>
      <w:r>
        <w:t xml:space="preserve">Government of Canada — situação dos Apprenticeship Grants:</w:t>
      </w:r>
      <w:r>
        <w:t xml:space="preserve"> </w:t>
      </w:r>
      <w:hyperlink r:id="rId55">
        <w:r>
          <w:rPr>
            <w:rStyle w:val="Hyperlink"/>
          </w:rPr>
          <w:t xml:space="preserve">source</w:t>
        </w:r>
      </w:hyperlink>
    </w:p>
    <w:p>
      <w:pPr>
        <w:numPr>
          <w:ilvl w:val="0"/>
          <w:numId w:val="1013"/>
        </w:numPr>
        <w:pStyle w:val="Compact"/>
      </w:pPr>
      <w:r>
        <w:t xml:space="preserve">Government of Canada — oportunidades de financiamento para ofícios especializados e aprendizagem:</w:t>
      </w:r>
      <w:r>
        <w:t xml:space="preserve"> </w:t>
      </w:r>
      <w:hyperlink r:id="rId56">
        <w:r>
          <w:rPr>
            <w:rStyle w:val="Hyperlink"/>
          </w:rPr>
          <w:t xml:space="preserve">source</w:t>
        </w:r>
      </w:hyperlink>
    </w:p>
    <w:p>
      <w:pPr>
        <w:numPr>
          <w:ilvl w:val="0"/>
          <w:numId w:val="1013"/>
        </w:numPr>
        <w:pStyle w:val="Compact"/>
      </w:pPr>
      <w:r>
        <w:t xml:space="preserve">Government of Canada — Apprenticeship Service:</w:t>
      </w:r>
      <w:r>
        <w:t xml:space="preserve"> </w:t>
      </w:r>
      <w:hyperlink r:id="rId57">
        <w:r>
          <w:rPr>
            <w:rStyle w:val="Hyperlink"/>
          </w:rPr>
          <w:t xml:space="preserve">source</w:t>
        </w:r>
      </w:hyperlink>
    </w:p>
    <w:p>
      <w:pPr>
        <w:numPr>
          <w:ilvl w:val="0"/>
          <w:numId w:val="1013"/>
        </w:numPr>
        <w:pStyle w:val="Compact"/>
      </w:pPr>
      <w:r>
        <w:t xml:space="preserve">SENA Betowa — Básico de carpintería y ebanistería:</w:t>
      </w:r>
      <w:r>
        <w:t xml:space="preserve"> </w:t>
      </w:r>
      <w:hyperlink r:id="rId58">
        <w:r>
          <w:rPr>
            <w:rStyle w:val="Hyperlink"/>
          </w:rPr>
          <w:t xml:space="preserve">source</w:t>
        </w:r>
      </w:hyperlink>
    </w:p>
    <w:p>
      <w:pPr>
        <w:numPr>
          <w:ilvl w:val="0"/>
          <w:numId w:val="1013"/>
        </w:numPr>
        <w:pStyle w:val="Compact"/>
      </w:pPr>
      <w:r>
        <w:t xml:space="preserve">OIT/Cinterfor:</w:t>
      </w:r>
      <w:r>
        <w:t xml:space="preserve"> </w:t>
      </w:r>
      <w:hyperlink r:id="rId59">
        <w:r>
          <w:rPr>
            <w:rStyle w:val="Hyperlink"/>
          </w:rPr>
          <w:t xml:space="preserve">source</w:t>
        </w:r>
      </w:hyperlink>
    </w:p>
    <w:p>
      <w:pPr>
        <w:pStyle w:val="FirstParagraph"/>
      </w:pPr>
      <w:r>
        <w:t xml:space="preserve">Fontes salariais suplementares não governamentais:</w:t>
      </w:r>
    </w:p>
    <w:p>
      <w:pPr>
        <w:numPr>
          <w:ilvl w:val="0"/>
          <w:numId w:val="1014"/>
        </w:numPr>
        <w:pStyle w:val="Compact"/>
      </w:pPr>
      <w:r>
        <w:t xml:space="preserve">Salary.com — Cabinetmaker and Bench Carpenter:</w:t>
      </w:r>
      <w:r>
        <w:t xml:space="preserve"> </w:t>
      </w:r>
      <w:hyperlink r:id="rId60">
        <w:r>
          <w:rPr>
            <w:rStyle w:val="Hyperlink"/>
          </w:rPr>
          <w:t xml:space="preserve">source</w:t>
        </w:r>
      </w:hyperlink>
    </w:p>
    <w:p>
      <w:pPr>
        <w:numPr>
          <w:ilvl w:val="0"/>
          <w:numId w:val="1014"/>
        </w:numPr>
        <w:pStyle w:val="Compact"/>
      </w:pPr>
      <w:r>
        <w:t xml:space="preserve">Salary.com — Cabinet Maker:</w:t>
      </w:r>
      <w:r>
        <w:t xml:space="preserve"> </w:t>
      </w:r>
      <w:hyperlink r:id="rId61">
        <w:r>
          <w:rPr>
            <w:rStyle w:val="Hyperlink"/>
          </w:rPr>
          <w:t xml:space="preserve">source</w:t>
        </w:r>
      </w:hyperlink>
    </w:p>
    <w:bookmarkEnd w:id="62"/>
    <w:bookmarkStart w:id="63" w:name="nota-de-fonte-e-revisão"/>
    <w:p>
      <w:pPr>
        <w:pStyle w:val="Heading2"/>
      </w:pPr>
      <w:r>
        <w:t xml:space="preserve">Nota de fonte e revisão</w:t>
      </w:r>
    </w:p>
    <w:p>
      <w:pPr>
        <w:pStyle w:val="FirstParagraph"/>
      </w:pPr>
      <w:r>
        <w:t xml:space="preserve">Este guia usa pesquisa de fontes atuais registrada em 14 de agosto de 2026. Salários, disponibilidade de formação, requisitos de certificação, regras de apoio financeiro e condições locais de contratação podem mudar. Verifique novamente as fontes oficiais e vagas atuais antes de agir.</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afirma certificação humana independente, acreditação profissional, tradução certificada, revisão jurídica, aconselhamento financeiro ou garantia de emprego.</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basico-de-carpinteria-y-ebanisteria?offertype=company&amp;programId=12174" TargetMode="External" /><Relationship Type="http://schemas.openxmlformats.org/officeDocument/2006/relationships/hyperlink" Id="rId50" Target="https://www.apprenticeship.gov/" TargetMode="External" /><Relationship Type="http://schemas.openxmlformats.org/officeDocument/2006/relationships/hyperlink" Id="rId57" Target="https://www.canada.ca/en/employment-social-development/programs/apprentice-service-program.html" TargetMode="External" /><Relationship Type="http://schemas.openxmlformats.org/officeDocument/2006/relationships/hyperlink" Id="rId54" Target="https://www.canada.ca/en/services/jobs/training/support-skilled-trades-apprentices.html" TargetMode="External" /><Relationship Type="http://schemas.openxmlformats.org/officeDocument/2006/relationships/hyperlink" Id="rId56" Target="https://www.canada.ca/en/services/jobs/training/support-skilled-trades-apprentices/funding-opportunities.html" TargetMode="External" /><Relationship Type="http://schemas.openxmlformats.org/officeDocument/2006/relationships/hyperlink" Id="rId55" Target="https://www.canada.ca/en/services/jobs/training/support-skilled-trades-apprentices/grants.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3" Target="https://www.jobbank.gc.ca/marketreport/requirements/6408/ca" TargetMode="External" /><Relationship Type="http://schemas.openxmlformats.org/officeDocument/2006/relationships/hyperlink" Id="rId52" Target="https://www.jobbank.gc.ca/wagereport/occupation/6388" TargetMode="External" /><Relationship Type="http://schemas.openxmlformats.org/officeDocument/2006/relationships/hyperlink" Id="rId59" Target="https://www.oitcinterfor.org/" TargetMode="External" /><Relationship Type="http://schemas.openxmlformats.org/officeDocument/2006/relationships/hyperlink" Id="rId49" Target="https://www.onetonline.org/link/summary/47-2031.00" TargetMode="External" /><Relationship Type="http://schemas.openxmlformats.org/officeDocument/2006/relationships/hyperlink" Id="rId60" Target="https://www.salary.com/research/salary/benchmark/cabinetmaker-and-bench-carpenter-salary" TargetMode="External" /><Relationship Type="http://schemas.openxmlformats.org/officeDocument/2006/relationships/hyperlink" Id="rId61" Target="https://www.salary.com/research/salary/listing/cabinet-maker-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basico-de-carpinteria-y-ebanisteria?offertype=company&amp;programId=12174" TargetMode="External" /><Relationship Type="http://schemas.openxmlformats.org/officeDocument/2006/relationships/hyperlink" Id="rId50" Target="https://www.apprenticeship.gov/" TargetMode="External" /><Relationship Type="http://schemas.openxmlformats.org/officeDocument/2006/relationships/hyperlink" Id="rId57" Target="https://www.canada.ca/en/employment-social-development/programs/apprentice-service-program.html" TargetMode="External" /><Relationship Type="http://schemas.openxmlformats.org/officeDocument/2006/relationships/hyperlink" Id="rId54" Target="https://www.canada.ca/en/services/jobs/training/support-skilled-trades-apprentices.html" TargetMode="External" /><Relationship Type="http://schemas.openxmlformats.org/officeDocument/2006/relationships/hyperlink" Id="rId56" Target="https://www.canada.ca/en/services/jobs/training/support-skilled-trades-apprentices/funding-opportunities.html" TargetMode="External" /><Relationship Type="http://schemas.openxmlformats.org/officeDocument/2006/relationships/hyperlink" Id="rId55" Target="https://www.canada.ca/en/services/jobs/training/support-skilled-trades-apprentices/grants.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3" Target="https://www.jobbank.gc.ca/marketreport/requirements/6408/ca" TargetMode="External" /><Relationship Type="http://schemas.openxmlformats.org/officeDocument/2006/relationships/hyperlink" Id="rId52" Target="https://www.jobbank.gc.ca/wagereport/occupation/6388" TargetMode="External" /><Relationship Type="http://schemas.openxmlformats.org/officeDocument/2006/relationships/hyperlink" Id="rId59" Target="https://www.oitcinterfor.org/" TargetMode="External" /><Relationship Type="http://schemas.openxmlformats.org/officeDocument/2006/relationships/hyperlink" Id="rId49" Target="https://www.onetonline.org/link/summary/47-2031.00" TargetMode="External" /><Relationship Type="http://schemas.openxmlformats.org/officeDocument/2006/relationships/hyperlink" Id="rId60" Target="https://www.salary.com/research/salary/benchmark/cabinetmaker-and-bench-carpenter-salary" TargetMode="External" /><Relationship Type="http://schemas.openxmlformats.org/officeDocument/2006/relationships/hyperlink" Id="rId61" Target="https://www.salary.com/research/salary/listing/cabinet-ma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2026-08-14T20:21:12Z</dcterms:created>
  <dcterms:modified xsi:type="dcterms:W3CDTF">2026-08-14T20:21:12Z</dcterms:modified>
</cp:coreProperties>
</file>

<file path=docProps/custom.xml><?xml version="1.0" encoding="utf-8"?>
<Properties xmlns="http://schemas.openxmlformats.org/officeDocument/2006/custom-properties" xmlns:vt="http://schemas.openxmlformats.org/officeDocument/2006/docPropsVTypes"/>
</file>