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c703a53efe78dba2f61dd6b49d9246136193573"/>
    <w:p>
      <w:pPr>
        <w:pStyle w:val="Heading1"/>
      </w:pPr>
      <w:r>
        <w:t xml:space="preserve">Guia 45 — Operador de estação de tratamento de água e esgoto</w:t>
      </w:r>
    </w:p>
    <w:p>
      <w:pPr>
        <w:pStyle w:val="FirstParagraph"/>
      </w:pPr>
      <w:r>
        <w:rPr>
          <w:bCs/>
          <w:b/>
        </w:rPr>
        <w:t xml:space="preserve">Mestre de trabalho controlado em português do Brasil (pt-BR) — versão 2.0</w:t>
      </w:r>
      <w:r>
        <w:br/>
      </w:r>
      <w:r>
        <w:rPr>
          <w:bCs/>
          <w:b/>
        </w:rPr>
        <w:t xml:space="preserve">Data da revisão:</w:t>
      </w:r>
      <w:r>
        <w:t xml:space="preserve"> </w:t>
      </w:r>
      <w:r>
        <w:t xml:space="preserve">17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Operadores de estações e sistemas de tratamento de água e esgoto ajudam a manter sistemas de água potável e de esgotamento sanitário funcionando dentro dos requisitos aprovados de saúde pública, meio ambiente, segurança e operação da instalação. O trabalho combina monitoramento de processos, observação de equipamentos, amostragem e registros, apoio à manutenção rotineira, alarmes e comunicações, controles computadorizados, organização e limpeza, e decisões operacionais cuidadosamente controladas.</w:t>
      </w:r>
    </w:p>
    <w:p>
      <w:pPr>
        <w:pStyle w:val="BodyText"/>
      </w:pPr>
      <w:r>
        <w:t xml:space="preserve">Os empregadores podem usar títulos como operador de tratamento de água, operador de tratamento de esgoto, operador de estação, operador de sistema de tratamento, operador em treinamento, operador de serviços públicos, operador de distribuição ou coleta, operador de processo ou técnico de tratamento. Títulos parecidos podem envolver atribuições, níveis de certificação, classificações de instalações, turnos e responsabilidades legais muito diferentes.</w:t>
      </w:r>
    </w:p>
    <w:p>
      <w:pPr>
        <w:pStyle w:val="BodyText"/>
      </w:pPr>
      <w:r>
        <w:t xml:space="preserve">O título do cargo, por si só, não autoriza uma pessoa a alterar parâmetros de processo, selecionar ou dosar produtos químicos, entrar em espaço confinado, executar trabalho elétrico, aplicar bloqueio e etiquetagem, realizar desvios de tratamento, liberar resultados laboratoriais, tomar decisões de conformidade regulatória nem atuar como operador responsável. Essas atividades dependem da jurisdição, classificação da instalação, nível do operador, autorização do empregador, procedimentos aprovados, treinamento vigente e supervisão qualificada.</w:t>
      </w:r>
    </w:p>
    <w:p>
      <w:pPr>
        <w:pStyle w:val="BodyText"/>
      </w:pPr>
      <w:r>
        <w:t xml:space="preserve">Este guia apoia a exploração profissional. Ele não é manual de operação de estação, protocolo de amostragem, método laboratorial, instrução de dosagem química, programa de espaços confinados, procedimento de controle de energias, plano de emergência, interpretação de licença ambiental nem autorização para operar de forma independente.</w:t>
      </w:r>
    </w:p>
    <w:bookmarkEnd w:id="20"/>
    <w:bookmarkStart w:id="21" w:name="o-que-os-operadores-realmente-fazem"/>
    <w:p>
      <w:pPr>
        <w:pStyle w:val="Heading2"/>
      </w:pPr>
      <w:r>
        <w:t xml:space="preserve">O que os operadores realmente fazem</w:t>
      </w:r>
    </w:p>
    <w:p>
      <w:pPr>
        <w:pStyle w:val="FirstParagraph"/>
      </w:pPr>
      <w:r>
        <w:t xml:space="preserve">Dependendo da estação, turno, certificação, treinamento e autorização, o trabalho pode incluir:</w:t>
      </w:r>
    </w:p>
    <w:p>
      <w:pPr>
        <w:numPr>
          <w:ilvl w:val="0"/>
          <w:numId w:val="1001"/>
        </w:numPr>
        <w:pStyle w:val="Compact"/>
      </w:pPr>
      <w:r>
        <w:t xml:space="preserve">revisar registros de turno, ordens de serviço, alarmes, permissões, procedimentos aprovados, informações de segurança e registros operacionais;</w:t>
      </w:r>
    </w:p>
    <w:p>
      <w:pPr>
        <w:numPr>
          <w:ilvl w:val="0"/>
          <w:numId w:val="1001"/>
        </w:numPr>
        <w:pStyle w:val="Compact"/>
      </w:pPr>
      <w:r>
        <w:t xml:space="preserve">observar tanques, bacias, bombas, válvulas, tubulações, medidores, indicadores, unidades de tratamento, filtros, decantadores, sopradores, sistemas de desinfecção, sistemas químicos e equipamentos de apoio;</w:t>
      </w:r>
    </w:p>
    <w:p>
      <w:pPr>
        <w:numPr>
          <w:ilvl w:val="0"/>
          <w:numId w:val="1001"/>
        </w:numPr>
        <w:pStyle w:val="Compact"/>
      </w:pPr>
      <w:r>
        <w:t xml:space="preserve">monitorar indicadores de processo aprovados e telas de controle computadorizado ou SCADA dentro da autoridade atribuída;</w:t>
      </w:r>
    </w:p>
    <w:p>
      <w:pPr>
        <w:numPr>
          <w:ilvl w:val="0"/>
          <w:numId w:val="1001"/>
        </w:numPr>
        <w:pStyle w:val="Compact"/>
      </w:pPr>
      <w:r>
        <w:t xml:space="preserve">registrar leituras, amostras, inspeções, observações de manutenção, alarmes, ações corretivas e passagens de turno;</w:t>
      </w:r>
    </w:p>
    <w:p>
      <w:pPr>
        <w:numPr>
          <w:ilvl w:val="0"/>
          <w:numId w:val="1001"/>
        </w:numPr>
        <w:pStyle w:val="Compact"/>
      </w:pPr>
      <w:r>
        <w:t xml:space="preserve">coletar ou auxiliar na coleta de amostras e em testes de rotina conforme métodos aprovados da instalação e sob supervisão;</w:t>
      </w:r>
    </w:p>
    <w:p>
      <w:pPr>
        <w:numPr>
          <w:ilvl w:val="0"/>
          <w:numId w:val="1001"/>
        </w:numPr>
        <w:pStyle w:val="Compact"/>
      </w:pPr>
      <w:r>
        <w:t xml:space="preserve">executar ou auxiliar em limpeza, organização, inspeção, manutenção preventiva e tarefas menores em equipamentos quando autorizado;</w:t>
      </w:r>
    </w:p>
    <w:p>
      <w:pPr>
        <w:numPr>
          <w:ilvl w:val="0"/>
          <w:numId w:val="1001"/>
        </w:numPr>
        <w:pStyle w:val="Compact"/>
      </w:pPr>
      <w:r>
        <w:t xml:space="preserve">receber, preparar ou documentar materiais e produtos químicos de acordo com os procedimentos do empregador e o papel atribuído;</w:t>
      </w:r>
    </w:p>
    <w:p>
      <w:pPr>
        <w:numPr>
          <w:ilvl w:val="0"/>
          <w:numId w:val="1001"/>
        </w:numPr>
        <w:pStyle w:val="Compact"/>
      </w:pPr>
      <w:r>
        <w:t xml:space="preserve">comunicar leituras anormais, vazamentos, odores, alarmes, derramamentos, problemas em equipamentos, questões de saúde pública e questões ambientais;</w:t>
      </w:r>
    </w:p>
    <w:p>
      <w:pPr>
        <w:numPr>
          <w:ilvl w:val="0"/>
          <w:numId w:val="1001"/>
        </w:numPr>
        <w:pStyle w:val="Compact"/>
      </w:pPr>
      <w:r>
        <w:t xml:space="preserve">coordenar-se com operadores certificados, supervisores, pessoal de laboratório, mecânicos, eletricistas, engenheiros, profissionais ambientais, contratados, reguladores, equipes de emergência e outros trabalhadores de serviços públicos; e</w:t>
      </w:r>
    </w:p>
    <w:p>
      <w:pPr>
        <w:numPr>
          <w:ilvl w:val="0"/>
          <w:numId w:val="1001"/>
        </w:numPr>
        <w:pStyle w:val="Compact"/>
      </w:pPr>
      <w:r>
        <w:t xml:space="preserve">interromper e escalar o trabalho quando houver incerteza sobre uma condição, leitura, tarefa, atmosfera, estado de energia, amostra, mudança de processo ou autorização.</w:t>
      </w:r>
    </w:p>
    <w:p>
      <w:pPr>
        <w:pStyle w:val="FirstParagraph"/>
      </w:pPr>
      <w:r>
        <w:t xml:space="preserve">BLS e O*NET descrevem tarefas ocupacionais amplas. Eles não estabelecem que todo trabalhador em treinamento ou de nível inicial possa executar todas as tarefas. Um operador em treinamento ou novo empregado pode começar com observação, leituras, documentação, organização e limpeza, amostragem supervisionada e apoio simples à manutenção antes de avançar pelo processo de qualificação do empregador e da jurisdição.</w:t>
      </w:r>
    </w:p>
    <w:bookmarkEnd w:id="21"/>
    <w:bookmarkStart w:id="22" w:name="ambiente-de-trabalho-e-horários"/>
    <w:p>
      <w:pPr>
        <w:pStyle w:val="Heading2"/>
      </w:pPr>
      <w:r>
        <w:t xml:space="preserve">Ambiente de trabalho e horários</w:t>
      </w:r>
    </w:p>
    <w:p>
      <w:pPr>
        <w:pStyle w:val="FirstParagraph"/>
      </w:pPr>
      <w:r>
        <w:t xml:space="preserve">Instalações de água e esgoto podem funcionar continuamente. O BLS informa que operadores podem trabalhar em turnos alternados, à noite, em fins de semana, feriados e chamados emergenciais. Algumas instalações têm equipes 24 horas por dia; outras usam escalas de sobreaviso ou equipes menores.</w:t>
      </w:r>
    </w:p>
    <w:p>
      <w:pPr>
        <w:pStyle w:val="BodyText"/>
      </w:pPr>
      <w:r>
        <w:t xml:space="preserve">O trabalho pode ocorrer em ambientes internos e externos, perto de superfícies molhadas, tanques, bacias, fossos, poços de visita, bombas, motores, tubulações, áreas de produtos químicos, laboratórios, veículos, escadas, plataformas e salas de controle computadorizadas. As condições podem incluir ruído, odores, calor, frio, chuva, piso escorregadio, esgoto ou lodo, aerossóis, substâncias corrosivas ou tóxicas, gases perigosos, espaços confinados, equipamentos em movimento, pressão e locais de difícil acesso.</w:t>
      </w:r>
    </w:p>
    <w:p>
      <w:pPr>
        <w:pStyle w:val="BodyText"/>
      </w:pPr>
      <w:r>
        <w:t xml:space="preserve">Leia cada vaga com atenção. Uma função de treinamento em uma pequena estação de água potável pode ser muito diferente de uma função de operador certificado de esgoto em uma grande instalação, de uma função em sistema de coleta ou de um cargo com responsabilidades de operador responsável.</w:t>
      </w:r>
    </w:p>
    <w:bookmarkEnd w:id="22"/>
    <w:bookmarkStart w:id="23" w:name="exigências-físicas"/>
    <w:p>
      <w:pPr>
        <w:pStyle w:val="Heading2"/>
      </w:pPr>
      <w:r>
        <w:t xml:space="preserve">Exigências físicas</w:t>
      </w:r>
    </w:p>
    <w:p>
      <w:pPr>
        <w:pStyle w:val="FirstParagraph"/>
      </w:pPr>
      <w:r>
        <w:t xml:space="preserve">O trabalho pode envolver ficar em pé, caminhar, subir escadas, abaixar-se, ajoelhar-se, transportar ferramentas ou amostras, abrir acessos aprovados, ler instrumentos, trabalhar próximo a equipamentos e responder a alarmes ou emergências. Empregadores podem estabelecer requisitos legais relacionados a aptidão física, direção, EPI, respiradores, vacinação, vigilância médica ou resposta a emergências com base nos riscos reais e nas funções essenciais do trabalho.</w:t>
      </w:r>
    </w:p>
    <w:p>
      <w:pPr>
        <w:pStyle w:val="BodyText"/>
      </w:pPr>
      <w:r>
        <w:t xml:space="preserve">Não trate as exigências físicas como um teste de resistência pessoal. Pergunte como o empregador controla levantamento de cargas, escorregões, quedas, tráfego, calor, fadiga, exposição, espaços confinados, resgate, trabalho isolado e resposta a emergências, e como são tratadas adaptações legais para as funções reais do cargo.</w:t>
      </w:r>
    </w:p>
    <w:bookmarkEnd w:id="23"/>
    <w:bookmarkStart w:id="24" w:name="segurança-vem-antes-da-produção"/>
    <w:p>
      <w:pPr>
        <w:pStyle w:val="Heading2"/>
      </w:pPr>
      <w:r>
        <w:t xml:space="preserve">Segurança vem antes da produção</w:t>
      </w:r>
    </w:p>
    <w:p>
      <w:pPr>
        <w:pStyle w:val="FirstParagraph"/>
      </w:pPr>
      <w:r>
        <w:t xml:space="preserve">O trabalho com água e esgoto pode expor pessoas a patógenos, perfurocortantes, esgoto e lodo, aerossóis, produtos químicos de tratamento, substâncias incompatíveis, cloro ou outros gases tóxicos, sulfeto de hidrogênio, atmosferas com deficiência de oxigênio, espaços confinados, quedas e afogamento, eletricidade, energia armazenada, pressão, máquinas rotativas, veículos, escorregões, levantamento de cargas, calor e fadiga.</w:t>
      </w:r>
    </w:p>
    <w:p>
      <w:pPr>
        <w:pStyle w:val="BodyText"/>
      </w:pPr>
      <w:r>
        <w:t xml:space="preserve">Não improvise dosagem ou mistura de produtos químicos, entrada ou resgate em espaços confinados, testes atmosféricos, bloqueio/etiquetagem, trabalho elétrico energizado, abertura de linhas, liberação de pressão, desvios, desinfecção, liberação de resultados laboratoriais, mudanças de controle de processo, resposta a derramamentos nem retorno ao serviço. Use somente procedimentos aprovados pelo empregador, funções treinadas, permissões, EPI, monitoramento, comunicações e supervisão exigidos.</w:t>
      </w:r>
    </w:p>
    <w:p>
      <w:pPr>
        <w:pStyle w:val="BodyText"/>
      </w:pPr>
      <w:r>
        <w:t xml:space="preserve">Interrompa o trabalho e escale quando:</w:t>
      </w:r>
    </w:p>
    <w:p>
      <w:pPr>
        <w:numPr>
          <w:ilvl w:val="0"/>
          <w:numId w:val="1002"/>
        </w:numPr>
        <w:pStyle w:val="Compact"/>
      </w:pPr>
      <w:r>
        <w:t xml:space="preserve">uma tarefa estiver fora de sua certificação, treinamento, função atribuída ou autorização do empregador;</w:t>
      </w:r>
    </w:p>
    <w:p>
      <w:pPr>
        <w:numPr>
          <w:ilvl w:val="0"/>
          <w:numId w:val="1002"/>
        </w:numPr>
        <w:pStyle w:val="Compact"/>
      </w:pPr>
      <w:r>
        <w:t xml:space="preserve">uma leitura de processo, alarme, resultado de amostra ou indicação de SCADA for inexplicável ou inconsistente;</w:t>
      </w:r>
    </w:p>
    <w:p>
      <w:pPr>
        <w:numPr>
          <w:ilvl w:val="0"/>
          <w:numId w:val="1002"/>
        </w:numPr>
        <w:pStyle w:val="Compact"/>
      </w:pPr>
      <w:r>
        <w:t xml:space="preserve">houver incerteza sobre recipiente, linha, transferência, rótulo, ficha de dados de segurança, concentração, compatibilidade ou autorização de um produto químico;</w:t>
      </w:r>
    </w:p>
    <w:p>
      <w:pPr>
        <w:numPr>
          <w:ilvl w:val="0"/>
          <w:numId w:val="1002"/>
        </w:numPr>
        <w:pStyle w:val="Compact"/>
      </w:pPr>
      <w:r>
        <w:t xml:space="preserve">ocorrer vazamento químico, odor incomum, vapor visível, derramamento, recipiente danificado ou suspeita de substância incompatível;</w:t>
      </w:r>
    </w:p>
    <w:p>
      <w:pPr>
        <w:numPr>
          <w:ilvl w:val="0"/>
          <w:numId w:val="1002"/>
        </w:numPr>
        <w:pStyle w:val="Compact"/>
      </w:pPr>
      <w:r>
        <w:t xml:space="preserve">soar um alarme de gás, alguém apresentar sintomas, a ventilação for incerta ou houver possibilidade de atmosfera com deficiência de oxigênio ou tóxica;</w:t>
      </w:r>
    </w:p>
    <w:p>
      <w:pPr>
        <w:numPr>
          <w:ilvl w:val="0"/>
          <w:numId w:val="1002"/>
        </w:numPr>
        <w:pStyle w:val="Compact"/>
      </w:pPr>
      <w:r>
        <w:t xml:space="preserve">fossa, poço de visita, galeria, tanque, poço úmido, esgoto, bacia ou outro local puder ser espaço confinado com exigência de permissão e o programa do local não tiver autorizado o trabalho;</w:t>
      </w:r>
    </w:p>
    <w:p>
      <w:pPr>
        <w:numPr>
          <w:ilvl w:val="0"/>
          <w:numId w:val="1002"/>
        </w:numPr>
        <w:pStyle w:val="Compact"/>
      </w:pPr>
      <w:r>
        <w:t xml:space="preserve">a exposição a esgoto, lodo, perfurocortantes, sangue, aerossóis ou outros riscos biológicos não estiver controlada ou faltar higiene/EPI obrigatório;</w:t>
      </w:r>
    </w:p>
    <w:p>
      <w:pPr>
        <w:numPr>
          <w:ilvl w:val="0"/>
          <w:numId w:val="1002"/>
        </w:numPr>
        <w:pStyle w:val="Compact"/>
      </w:pPr>
      <w:r>
        <w:t xml:space="preserve">houver incerteza sobre condição elétrica, energia perigosa, pressão, conteúdo de linha, proteções, rotação, estado de bloqueio ou identificação do equipamento;</w:t>
      </w:r>
    </w:p>
    <w:p>
      <w:pPr>
        <w:numPr>
          <w:ilvl w:val="0"/>
          <w:numId w:val="1002"/>
        </w:numPr>
        <w:pStyle w:val="Compact"/>
      </w:pPr>
      <w:r>
        <w:t xml:space="preserve">bomba, motor, válvula, soprador, misturador, transportador, veículo, plataforma, escada, guarda-corpo, tampa ou dispositivo de içamento parecer danificado ou anormal;</w:t>
      </w:r>
    </w:p>
    <w:p>
      <w:pPr>
        <w:numPr>
          <w:ilvl w:val="0"/>
          <w:numId w:val="1002"/>
        </w:numPr>
        <w:pStyle w:val="Compact"/>
      </w:pPr>
      <w:r>
        <w:t xml:space="preserve">existir risco de queda ou afogamento sem os controles exigidos;</w:t>
      </w:r>
    </w:p>
    <w:p>
      <w:pPr>
        <w:numPr>
          <w:ilvl w:val="0"/>
          <w:numId w:val="1002"/>
        </w:numPr>
        <w:pStyle w:val="Compact"/>
      </w:pPr>
      <w:r>
        <w:t xml:space="preserve">desvio, descarga, interrupção de tratamento, decisão de laboratório, questão de saúde pública ou obrigação de reporte regulatório estiver fora de sua autoridade;</w:t>
      </w:r>
    </w:p>
    <w:p>
      <w:pPr>
        <w:numPr>
          <w:ilvl w:val="0"/>
          <w:numId w:val="1002"/>
        </w:numPr>
        <w:pStyle w:val="Compact"/>
      </w:pPr>
      <w:r>
        <w:t xml:space="preserve">faltarem comunicações, supervisão, prontidão de resgate, resposta a emergências ou cobertura obrigatória de uma segunda pessoa; ou</w:t>
      </w:r>
    </w:p>
    <w:p>
      <w:pPr>
        <w:numPr>
          <w:ilvl w:val="0"/>
          <w:numId w:val="1002"/>
        </w:numPr>
        <w:pStyle w:val="Compact"/>
      </w:pPr>
      <w:r>
        <w:t xml:space="preserve">pressão por produção entrar em conflito com controles aprovados de segurança, meio ambiente ou saúde pública.</w:t>
      </w:r>
    </w:p>
    <w:bookmarkEnd w:id="24"/>
    <w:bookmarkStart w:id="25" w:name="Xcbd55e82f8bfdaada86b39249cd51f0985cfba5"/>
    <w:p>
      <w:pPr>
        <w:pStyle w:val="Heading2"/>
      </w:pPr>
      <w:r>
        <w:t xml:space="preserve">Espaços confinados, sulfeto de hidrogênio e atmosferas tóxicas</w:t>
      </w:r>
    </w:p>
    <w:p>
      <w:pPr>
        <w:pStyle w:val="FirstParagraph"/>
      </w:pPr>
      <w:r>
        <w:t xml:space="preserve">A OSHA identifica esgotos e tratamento de águas residuais como ambientes onde pode haver sulfeto de hidrogênio. Ele pode se acumular em áreas baixas ou fechadas, como fossos, poços de visita, esgotos e galerias. O odor não é um aviso confiável.</w:t>
      </w:r>
    </w:p>
    <w:p>
      <w:pPr>
        <w:pStyle w:val="BodyText"/>
      </w:pPr>
      <w:r>
        <w:t xml:space="preserve">Um guia profissional não pode determinar se um espaço exige permissão, selecionar um monitor atmosférico, estabelecer leituras aceitáveis, autorizar uma entrada, definir ventilação, designar um vigia nem criar um plano de resgate. Siga o programa de espaços confinados do empregador e execute somente a função para a qual você foi treinado, equipado e autorizado.</w:t>
      </w:r>
    </w:p>
    <w:p>
      <w:pPr>
        <w:pStyle w:val="BodyText"/>
      </w:pPr>
      <w:r>
        <w:t xml:space="preserve">Nunca entre em um espaço incerto nem tente um resgate improvisado. Se ocorrer alarme, perda de comunicação, falha de ventilação, adoecimento de uma pessoa ou dúvida sobre atmosfera ou classificação do espaço, saia ou permaneça fora conforme o procedimento do local e contate o pessoal treinado responsável.</w:t>
      </w:r>
    </w:p>
    <w:bookmarkEnd w:id="25"/>
    <w:bookmarkStart w:id="26" w:name="produtos-químicos-e-exposição-biológica"/>
    <w:p>
      <w:pPr>
        <w:pStyle w:val="Heading2"/>
      </w:pPr>
      <w:r>
        <w:t xml:space="preserve">Produtos químicos e exposição biológica</w:t>
      </w:r>
    </w:p>
    <w:p>
      <w:pPr>
        <w:pStyle w:val="FirstParagraph"/>
      </w:pPr>
      <w:r>
        <w:t xml:space="preserve">Instalações de tratamento podem usar desinfetantes, coagulantes, ácidos, bases, polímeros, oxidantes ou outros produtos químicos de processo. Instalações de esgoto também podem envolver esgoto, lodo, perfurocortantes, aerossóis e riscos biológicos.</w:t>
      </w:r>
    </w:p>
    <w:p>
      <w:pPr>
        <w:pStyle w:val="BodyText"/>
      </w:pPr>
      <w:r>
        <w:t xml:space="preserve">Não selecione produtos químicos, calcule ou ajuste doses, misture substâncias incompatíveis, transfira material, neutralize um derramamento, escolha EPI nem realize descontaminação com base em instruções de um guia profissional ou resposta de IA. Use o procedimento aprovado da estação, rótulos, fichas de dados de segurança, programa de controle de exposição, pessoal qualificado e processo de emergência.</w:t>
      </w:r>
    </w:p>
    <w:p>
      <w:pPr>
        <w:pStyle w:val="BodyText"/>
      </w:pPr>
      <w:r>
        <w:t xml:space="preserve">Para exposição biológica, siga os requisitos do empregador sobre higiene, EPI, perfurocortantes, vacinação ou disposições médicas, relato de exposição e descontaminação. Comunique imediatamente perfurações, respingos, sintomas, EPI danificado ou contato não controlado com esgoto pelo processo da instalação.</w:t>
      </w:r>
    </w:p>
    <w:bookmarkEnd w:id="26"/>
    <w:bookmarkStart w:id="27" w:name="X9a25c10d9a39a3662a8edd2cfed22d38a2ae30d"/>
    <w:p>
      <w:pPr>
        <w:pStyle w:val="Heading2"/>
      </w:pPr>
      <w:r>
        <w:t xml:space="preserve">Limites de eletricidade, mecânica, pressão e energia perigosa</w:t>
      </w:r>
    </w:p>
    <w:p>
      <w:pPr>
        <w:pStyle w:val="FirstParagraph"/>
      </w:pPr>
      <w:r>
        <w:t xml:space="preserve">Bombas, motores, sopradores, misturadores, válvulas, transportadores, painéis elétricos, geradores, equipamentos de alimentação química, sistemas comprimidos e linhas pressurizadas podem reter ou introduzir energia perigosa mesmo quando o equipamento parece parado.</w:t>
      </w:r>
    </w:p>
    <w:p>
      <w:pPr>
        <w:pStyle w:val="BodyText"/>
      </w:pPr>
      <w:r>
        <w:t xml:space="preserve">A estrutura de bloqueio/etiquetagem da OSHA atribui responsabilidades específicas a empregados autorizados e afetados. Não copie deste guia sequência de isolamento, ordem de válvulas, método de teste, colocação de cadeado, etapa de alívio de pressão, verificação elétrica, desvio, jumper ou procedimento de reinício.</w:t>
      </w:r>
    </w:p>
    <w:p>
      <w:pPr>
        <w:pStyle w:val="BodyText"/>
      </w:pPr>
      <w:r>
        <w:t xml:space="preserve">Se houver dúvida sobre identificação do equipamento, estado de energia, pressão, conteúdo da linha, proteções, estado de controle remoto ou autorização, pare e contate a pessoa responsável autorizada ou qualificada. Nunca suponha que silêncio, vazão zero em um indicador ou ausência de movimento visível prove que o equipamento é seguro.</w:t>
      </w:r>
    </w:p>
    <w:bookmarkEnd w:id="27"/>
    <w:bookmarkStart w:id="28" w:name="Xa5a59d620cec9fc8081e1da9ea151094ba3e2fb"/>
    <w:p>
      <w:pPr>
        <w:pStyle w:val="Heading2"/>
      </w:pPr>
      <w:r>
        <w:t xml:space="preserve">Limites de amostragem, laboratório, registros e conformidade</w:t>
      </w:r>
    </w:p>
    <w:p>
      <w:pPr>
        <w:pStyle w:val="FirstParagraph"/>
      </w:pPr>
      <w:r>
        <w:t xml:space="preserve">Amostras e resultados laboratoriais podem influenciar decisões de tratamento, reporte de saúde pública, conformidade de licenças e ações ambientais. Métodos, preservação, cadeia de custódia, calibração, critérios de aceitação, autoridade de liberação e reporte variam por instalação e jurisdição.</w:t>
      </w:r>
    </w:p>
    <w:p>
      <w:pPr>
        <w:pStyle w:val="BodyText"/>
      </w:pPr>
      <w:r>
        <w:t xml:space="preserve">Uma pessoa em treinamento pode auxiliar em amostragens ou testes de rotina seguindo procedimentos aprovados, mas este guia não fornece método de ensaio nem autoriza interpretação. Não altere um processo, libere resultado, certifique conformidade, modifique registro nem decida que uma descarga ou condição de água potável é aceitável, salvo quando essa responsabilidade estiver expressamente dentro de sua função autorizada.</w:t>
      </w:r>
    </w:p>
    <w:p>
      <w:pPr>
        <w:pStyle w:val="BodyText"/>
      </w:pPr>
      <w:r>
        <w:t xml:space="preserve">Registros precisos são importantes. Registre apenas o que realmente observou ou executou, use unidades e horários exigidos, preserve correções conforme o procedimento da instalação e escale discrepâncias em vez de adivinhar.</w:t>
      </w:r>
    </w:p>
    <w:bookmarkEnd w:id="28"/>
    <w:bookmarkStart w:id="29" w:name="X40a87c849ec8aafe823099d3207218fa249e154"/>
    <w:p>
      <w:pPr>
        <w:pStyle w:val="Heading2"/>
      </w:pPr>
      <w:r>
        <w:t xml:space="preserve">SCADA, alarmes, cibersegurança e privacidade</w:t>
      </w:r>
    </w:p>
    <w:p>
      <w:pPr>
        <w:pStyle w:val="FirstParagraph"/>
      </w:pPr>
      <w:r>
        <w:t xml:space="preserve">Muitas estações usam controles computadorizados ou sistemas SCADA para exibir condições de processo e alarmes. Direitos de acesso e autoridade operacional variam conforme a função.</w:t>
      </w:r>
    </w:p>
    <w:p>
      <w:pPr>
        <w:pStyle w:val="BodyText"/>
      </w:pPr>
      <w:r>
        <w:t xml:space="preserve">Nunca compartilhe credenciais, contorne controles de acesso, use ferramentas de acesso remoto não autorizadas, desative alarmes, altere setpoints nem copie informações sensíveis da instalação para sistemas públicos de IA. Proteja diagramas da instalação, parâmetros de tratamento, inventários químicos, informações de segurança, registros de clientes, resultados laboratoriais, detalhes de incidentes, dados de saúde pública, informações de reporte ambiental, rotas de acesso e fotografias conforme a política do empregador e a lei.</w:t>
      </w:r>
    </w:p>
    <w:p>
      <w:pPr>
        <w:pStyle w:val="BodyText"/>
      </w:pPr>
      <w:r>
        <w:t xml:space="preserve">Trate comportamento inesperado de SCADA, avisos desconhecidos, sessões remotas sem explicação, mudanças de configuração, dados ausentes ou alarmes suspeitos como questões que devem ser verificadas pelo processo operacional e de cibersegurança aprovado.</w:t>
      </w:r>
    </w:p>
    <w:bookmarkEnd w:id="29"/>
    <w:bookmarkStart w:id="30" w:name="Xec39930e61c04b9d0dfa2da01ff9d27d1f62e1a"/>
    <w:p>
      <w:pPr>
        <w:pStyle w:val="Heading2"/>
      </w:pPr>
      <w:r>
        <w:t xml:space="preserve">Habilidades valorizadas pelos empregadores</w:t>
      </w:r>
    </w:p>
    <w:p>
      <w:pPr>
        <w:pStyle w:val="FirstParagraph"/>
      </w:pPr>
      <w:r>
        <w:t xml:space="preserve">Empregadores costumam valorizar:</w:t>
      </w:r>
    </w:p>
    <w:p>
      <w:pPr>
        <w:numPr>
          <w:ilvl w:val="0"/>
          <w:numId w:val="1003"/>
        </w:numPr>
        <w:pStyle w:val="Compact"/>
      </w:pPr>
      <w:r>
        <w:t xml:space="preserve">leitura cuidadosa de procedimentos, registros, rótulos, informações de segurança e ordens de serviço;</w:t>
      </w:r>
    </w:p>
    <w:p>
      <w:pPr>
        <w:numPr>
          <w:ilvl w:val="0"/>
          <w:numId w:val="1003"/>
        </w:numPr>
        <w:pStyle w:val="Compact"/>
      </w:pPr>
      <w:r>
        <w:t xml:space="preserve">observação, medição, documentação e passagem de turno precisas;</w:t>
      </w:r>
    </w:p>
    <w:p>
      <w:pPr>
        <w:numPr>
          <w:ilvl w:val="0"/>
          <w:numId w:val="1003"/>
        </w:numPr>
        <w:pStyle w:val="Compact"/>
      </w:pPr>
      <w:r>
        <w:t xml:space="preserve">fundamentos de matemática, química, biologia, mecânica, eletricidade e processos adequados à função;</w:t>
      </w:r>
    </w:p>
    <w:p>
      <w:pPr>
        <w:numPr>
          <w:ilvl w:val="0"/>
          <w:numId w:val="1003"/>
        </w:numPr>
        <w:pStyle w:val="Compact"/>
      </w:pPr>
      <w:r>
        <w:t xml:space="preserve">hábitos seguros de amostragem e organização dentro de procedimentos aprovados;</w:t>
      </w:r>
    </w:p>
    <w:p>
      <w:pPr>
        <w:numPr>
          <w:ilvl w:val="0"/>
          <w:numId w:val="1003"/>
        </w:numPr>
        <w:pStyle w:val="Compact"/>
      </w:pPr>
      <w:r>
        <w:t xml:space="preserve">comunicação confiável e disposição para escalar incertezas;</w:t>
      </w:r>
    </w:p>
    <w:p>
      <w:pPr>
        <w:numPr>
          <w:ilvl w:val="0"/>
          <w:numId w:val="1003"/>
        </w:numPr>
        <w:pStyle w:val="Compact"/>
      </w:pPr>
      <w:r>
        <w:t xml:space="preserve">familiaridade com computadores, alarmes, registros e interfaces SCADA controladas;</w:t>
      </w:r>
    </w:p>
    <w:p>
      <w:pPr>
        <w:numPr>
          <w:ilvl w:val="0"/>
          <w:numId w:val="1003"/>
        </w:numPr>
        <w:pStyle w:val="Compact"/>
      </w:pPr>
      <w:r>
        <w:t xml:space="preserve">atenção à higiene, EPI, condição de equipamentos, escorregões, tráfego e segurança do local;</w:t>
      </w:r>
    </w:p>
    <w:p>
      <w:pPr>
        <w:numPr>
          <w:ilvl w:val="0"/>
          <w:numId w:val="1003"/>
        </w:numPr>
        <w:pStyle w:val="Compact"/>
      </w:pPr>
      <w:r>
        <w:t xml:space="preserve">trabalho em equipe com operadores certificados, pessoal de laboratório, manutenção, engenharia e supervisão; e</w:t>
      </w:r>
    </w:p>
    <w:p>
      <w:pPr>
        <w:numPr>
          <w:ilvl w:val="0"/>
          <w:numId w:val="1003"/>
        </w:numPr>
        <w:pStyle w:val="Compact"/>
      </w:pPr>
      <w:r>
        <w:t xml:space="preserve">respeito disciplinado à certificação, classificação da instalação, autorização e escopo regulado.</w:t>
      </w:r>
    </w:p>
    <w:p>
      <w:pPr>
        <w:pStyle w:val="FirstParagraph"/>
      </w:pPr>
      <w:r>
        <w:t xml:space="preserve">Não se apresente como operador certificado, operador responsável, analista de laboratório, eletricista, participante ou socorrista de espaço confinado, empregado autorizado para bloqueio, especialista em conformidade ambiental ou manipulador químico qualificado, a menos que você realmente possua a credencial ou autorização do empregador exigida.</w:t>
      </w:r>
    </w:p>
    <w:bookmarkEnd w:id="30"/>
    <w:bookmarkStart w:id="35" w:name="educação-e-caminhos-de-entrada"/>
    <w:p>
      <w:pPr>
        <w:pStyle w:val="Heading2"/>
      </w:pPr>
      <w:r>
        <w:t xml:space="preserve">Educação e caminhos de entrada</w:t>
      </w:r>
    </w:p>
    <w:bookmarkStart w:id="31" w:name="estados-unidos"/>
    <w:p>
      <w:pPr>
        <w:pStyle w:val="Heading3"/>
      </w:pPr>
      <w:r>
        <w:t xml:space="preserve">Estados Unidos</w:t>
      </w:r>
    </w:p>
    <w:p>
      <w:pPr>
        <w:pStyle w:val="FirstParagraph"/>
      </w:pPr>
      <w:r>
        <w:t xml:space="preserve">O BLS classifica Water and Wastewater Treatment Plant and System Operators no SOC</w:t>
      </w:r>
      <w:r>
        <w:t xml:space="preserve"> </w:t>
      </w:r>
      <w:r>
        <w:rPr>
          <w:bCs/>
          <w:b/>
        </w:rPr>
        <w:t xml:space="preserve">51-8031</w:t>
      </w:r>
      <w:r>
        <w:t xml:space="preserve">. A escolaridade típica de entrada é</w:t>
      </w:r>
      <w:r>
        <w:t xml:space="preserve"> </w:t>
      </w:r>
      <w:r>
        <w:rPr>
          <w:bCs/>
          <w:b/>
        </w:rPr>
        <w:t xml:space="preserve">diploma de ensino médio ou equivalente</w:t>
      </w:r>
      <w:r>
        <w:t xml:space="preserve">; a experiência relacionada normalmente exigida é</w:t>
      </w:r>
      <w:r>
        <w:t xml:space="preserve"> </w:t>
      </w:r>
      <w:r>
        <w:rPr>
          <w:bCs/>
          <w:b/>
        </w:rPr>
        <w:t xml:space="preserve">nenhuma</w:t>
      </w:r>
      <w:r>
        <w:t xml:space="preserve">; e o treinamento típico é</w:t>
      </w:r>
      <w:r>
        <w:t xml:space="preserve"> </w:t>
      </w:r>
      <w:r>
        <w:rPr>
          <w:bCs/>
          <w:b/>
        </w:rPr>
        <w:t xml:space="preserve">treinamento de longo prazo no trabalho</w:t>
      </w:r>
      <w:r>
        <w:t xml:space="preserve">.</w:t>
      </w:r>
    </w:p>
    <w:p>
      <w:pPr>
        <w:pStyle w:val="BodyText"/>
      </w:pPr>
      <w:r>
        <w:t xml:space="preserve">O BLS informa que normalmente é exigida licença estadual, embora trabalhadores iniciantes frequentemente completem requisitos de licenciamento durante o treinamento no trabalho. Os requisitos e níveis de operador variam amplamente por estado e instalação.</w:t>
      </w:r>
    </w:p>
    <w:p>
      <w:pPr>
        <w:pStyle w:val="BodyText"/>
      </w:pPr>
      <w:r>
        <w:t xml:space="preserve">Uma sequência prática é:</w:t>
      </w:r>
    </w:p>
    <w:p>
      <w:pPr>
        <w:numPr>
          <w:ilvl w:val="0"/>
          <w:numId w:val="1004"/>
        </w:numPr>
        <w:pStyle w:val="Compact"/>
      </w:pPr>
      <w:r>
        <w:t xml:space="preserve">Compare vagas atuais de operador em treinamento, trainee, operador de serviços públicos, operador de água e operador de esgoto no local onde pretende trabalhar.</w:t>
      </w:r>
    </w:p>
    <w:p>
      <w:pPr>
        <w:numPr>
          <w:ilvl w:val="0"/>
          <w:numId w:val="1004"/>
        </w:numPr>
        <w:pStyle w:val="Compact"/>
      </w:pPr>
      <w:r>
        <w:t xml:space="preserve">Identifique as autoridades estaduais responsáveis pela certificação de operadores de água potável e esgoto e a classificação da instalação ligada à vaga.</w:t>
      </w:r>
    </w:p>
    <w:p>
      <w:pPr>
        <w:numPr>
          <w:ilvl w:val="0"/>
          <w:numId w:val="1004"/>
        </w:numPr>
        <w:pStyle w:val="Compact"/>
      </w:pPr>
      <w:r>
        <w:t xml:space="preserve">Registre requisitos de escolaridade, exames, experiência, status de operador em treinamento, reciprocidade, renovação, educação continuada, direção, turnos e condição física.</w:t>
      </w:r>
    </w:p>
    <w:p>
      <w:pPr>
        <w:numPr>
          <w:ilvl w:val="0"/>
          <w:numId w:val="1004"/>
        </w:numPr>
        <w:pStyle w:val="Compact"/>
      </w:pPr>
      <w:r>
        <w:t xml:space="preserve">Compare treinamento pago pelo empregador, Registered Apprenticeship, programas públicos de community college ou escolas técnicas e ajuda elegível antes de pagar um curso privado.</w:t>
      </w:r>
    </w:p>
    <w:p>
      <w:pPr>
        <w:numPr>
          <w:ilvl w:val="0"/>
          <w:numId w:val="1004"/>
        </w:numPr>
        <w:pStyle w:val="Compact"/>
      </w:pPr>
      <w:r>
        <w:t xml:space="preserve">Desenvolva evidências supervisionadas em documentação, matemática, ciências básicas, apoio à manutenção, amostragem segura, uso de computadores e operações de serviços públicos sem exceder sua autorização.</w:t>
      </w:r>
    </w:p>
    <w:p>
      <w:pPr>
        <w:numPr>
          <w:ilvl w:val="0"/>
          <w:numId w:val="1004"/>
        </w:numPr>
        <w:pStyle w:val="Compact"/>
      </w:pPr>
      <w:r>
        <w:t xml:space="preserve">Avance somente pelas regras de certificação da jurisdição e pelo processo de qualificação de tarefas do empregador.</w:t>
      </w:r>
    </w:p>
    <w:p>
      <w:pPr>
        <w:pStyle w:val="FirstParagraph"/>
      </w:pPr>
      <w:r>
        <w:t xml:space="preserve">O O*NET identifica</w:t>
      </w:r>
      <w:r>
        <w:t xml:space="preserve"> </w:t>
      </w:r>
      <w:r>
        <w:rPr>
          <w:bCs/>
          <w:b/>
        </w:rPr>
        <w:t xml:space="preserve">51-8031.00 Water and Wastewater Treatment Plant and System Operators</w:t>
      </w:r>
      <w:r>
        <w:t xml:space="preserve"> </w:t>
      </w:r>
      <w:r>
        <w:t xml:space="preserve">e lista títulos de aprendizagem como Waste Treatment Operator, Wastewater Systems Operator, Water Systems Operation Specialist e Water Treatment Plant Operator. Esses títulos são evidência de possíveis caminhos, não prova de vaga atual nem de licença.</w:t>
      </w:r>
    </w:p>
    <w:bookmarkEnd w:id="31"/>
    <w:bookmarkStart w:id="32" w:name="canadá"/>
    <w:p>
      <w:pPr>
        <w:pStyle w:val="Heading3"/>
      </w:pPr>
      <w:r>
        <w:t xml:space="preserve">Canadá</w:t>
      </w:r>
    </w:p>
    <w:p>
      <w:pPr>
        <w:pStyle w:val="FirstParagraph"/>
      </w:pPr>
      <w:r>
        <w:t xml:space="preserve">O Job Bank do Governo do Canadá mapeia Wastewater Treatment Plant Operator para</w:t>
      </w:r>
      <w:r>
        <w:t xml:space="preserve"> </w:t>
      </w:r>
      <w:r>
        <w:rPr>
          <w:bCs/>
          <w:b/>
        </w:rPr>
        <w:t xml:space="preserve">Water and waste treatment plant operators, NOC 92101</w:t>
      </w:r>
      <w:r>
        <w:t xml:space="preserve">.</w:t>
      </w:r>
    </w:p>
    <w:p>
      <w:pPr>
        <w:pStyle w:val="BodyText"/>
      </w:pPr>
      <w:r>
        <w:t xml:space="preserve">O Job Bank informa que é exigido ensino médio; cursos de college ou da indústria em química, controle de poluição ou áreas relacionadas geralmente são exigidos; treinamento no trabalho é fornecido; e experiência prévia na área pode ser exigida. Também informa que certificação de tratamento/distribuição de água e coleta/tratamento de esgoto é exigida em níveis relacionados à classificação da instalação.</w:t>
      </w:r>
    </w:p>
    <w:p>
      <w:pPr>
        <w:pStyle w:val="BodyText"/>
      </w:pPr>
      <w:r>
        <w:t xml:space="preserve">O Canadá não possui uma única licença nacional de operador que substitua requisitos provinciais ou territoriais. A Health Canada informa que províncias e territórios são os principais responsáveis pela segurança da água potável, enquanto municípios geralmente cuidam de tratamento e distribuição. Instalações de esgoto também podem estar sujeitas às Wastewater Systems Effluent Regulations federais.</w:t>
      </w:r>
    </w:p>
    <w:p>
      <w:pPr>
        <w:pStyle w:val="BodyText"/>
      </w:pPr>
      <w:r>
        <w:t xml:space="preserve">Verifique província ou território, classe da instalação, classe do operador, regras de operador em treinamento, escolaridade, experiência, exame, renovação, educação continuada, reciprocidade e requisitos de operador responsável antes de depender de um curso ou credencial anterior.</w:t>
      </w:r>
    </w:p>
    <w:bookmarkEnd w:id="32"/>
    <w:bookmarkStart w:id="33" w:name="colômbia"/>
    <w:p>
      <w:pPr>
        <w:pStyle w:val="Heading3"/>
      </w:pPr>
      <w:r>
        <w:t xml:space="preserve">Colômbia</w:t>
      </w:r>
    </w:p>
    <w:p>
      <w:pPr>
        <w:pStyle w:val="FirstParagraph"/>
      </w:pPr>
      <w:r>
        <w:t xml:space="preserve">O catálogo Betowa do SENA identifica caminhos relacionados, incluindo:</w:t>
      </w:r>
    </w:p>
    <w:p>
      <w:pPr>
        <w:numPr>
          <w:ilvl w:val="0"/>
          <w:numId w:val="1005"/>
        </w:numPr>
        <w:pStyle w:val="Compact"/>
      </w:pPr>
      <w:r>
        <w:rPr>
          <w:bCs/>
          <w:b/>
        </w:rPr>
        <w:t xml:space="preserve">Operación de sistemas de potabilización de agua — Técnico, 12 meses</w:t>
      </w:r>
    </w:p>
    <w:p>
      <w:pPr>
        <w:numPr>
          <w:ilvl w:val="0"/>
          <w:numId w:val="1005"/>
        </w:numPr>
        <w:pStyle w:val="Compact"/>
      </w:pPr>
      <w:r>
        <w:rPr>
          <w:bCs/>
          <w:b/>
        </w:rPr>
        <w:t xml:space="preserve">Saneamiento y salud ambiental — Técnico, 2,208 horas</w:t>
      </w:r>
    </w:p>
    <w:p>
      <w:pPr>
        <w:numPr>
          <w:ilvl w:val="0"/>
          <w:numId w:val="1005"/>
        </w:numPr>
        <w:pStyle w:val="Compact"/>
      </w:pPr>
      <w:r>
        <w:rPr>
          <w:bCs/>
          <w:b/>
        </w:rPr>
        <w:t xml:space="preserve">Análisis de riesgos en sistemas de agua y saneamiento — formação complementar, 48 horas</w:t>
      </w:r>
    </w:p>
    <w:p>
      <w:pPr>
        <w:pStyle w:val="FirstParagraph"/>
      </w:pPr>
      <w:r>
        <w:t xml:space="preserve">A disponibilidade é dinâmica. Pode existir um perfil de programa sem turma ou vagas abertas no momento. Verifique a oferta ativa, município, modalidade, datas, requisitos de admissão e disponibilidade antes de planejar com base no programa.</w:t>
      </w:r>
    </w:p>
    <w:p>
      <w:pPr>
        <w:pStyle w:val="BodyText"/>
      </w:pPr>
      <w:r>
        <w:t xml:space="preserve">O Título C do RAS publicado pelo Ministério de Habitação informa que o pessoal que opera sistemas de tratamento de água potável deve ter competência adequada ao trabalho e descreve certificação pelo SENA ou por outro organismo de certificação de pessoas legalmente acreditado. A Resolução 2115 de 2007 também faz referência a trabalhadores de estação certificados dentro do marco nacional aplicável.</w:t>
      </w:r>
    </w:p>
    <w:p>
      <w:pPr>
        <w:pStyle w:val="BodyText"/>
      </w:pPr>
      <w:r>
        <w:t xml:space="preserve">Essas fontes não autorizam uma pessoa a operar toda instalação nem executar toda tarefa. Devem ser verificados os requisitos atuais do Ministério, SENA, ONAC, empregador, prestador de serviço, normas técnicas e autoridades locais porque regras, normas, esquemas de competência e acreditações podem mudar.</w:t>
      </w:r>
    </w:p>
    <w:bookmarkEnd w:id="33"/>
    <w:bookmarkStart w:id="34" w:name="américa-latina-e-caribe"/>
    <w:p>
      <w:pPr>
        <w:pStyle w:val="Heading3"/>
      </w:pPr>
      <w:r>
        <w:t xml:space="preserve">América Latina e Caribe</w:t>
      </w:r>
    </w:p>
    <w:p>
      <w:pPr>
        <w:pStyle w:val="FirstParagraph"/>
      </w:pPr>
      <w:r>
        <w:t xml:space="preserve">Treinamento, certificação e autoridade do operador variam por país. A rede institucional da OIT/Cinterfor e os recursos REDIFP podem ajudar a localizar instituições nacionais de formação profissional e certificação de competências.</w:t>
      </w:r>
    </w:p>
    <w:p>
      <w:pPr>
        <w:pStyle w:val="BodyText"/>
      </w:pPr>
      <w:r>
        <w:t xml:space="preserve">Use a rede regional como localizador e depois verifique o programa, autoridade de água potável, autoridade ambiental, autoridade trabalhista/de segurança, classificação da instalação, requisitos do operador e regras do empregador no país onde pretende trabalhar. Não presuma que um curso, certificado, nível de operador ou licença seja transferível entre países.</w:t>
      </w:r>
    </w:p>
    <w:bookmarkEnd w:id="34"/>
    <w:bookmarkEnd w:id="35"/>
    <w:bookmarkStart w:id="36" w:name="aprendizagem-e-treinamento-do-empregador"/>
    <w:p>
      <w:pPr>
        <w:pStyle w:val="Heading2"/>
      </w:pPr>
      <w:r>
        <w:t xml:space="preserve">Aprendizagem e treinamento do empregador</w:t>
      </w:r>
    </w:p>
    <w:p>
      <w:pPr>
        <w:pStyle w:val="FirstParagraph"/>
      </w:pPr>
      <w:r>
        <w:t xml:space="preserve">Nos Estados Unidos, O*NET e Apprenticeship.gov dão suporte ao Registered Apprenticeship como possível caminho sob vários títulos de operador de água e esgoto. Use Apprenticeship.gov como localizador ativo e verifique patrocinador, ocupação, localização, condição remunerada, elegibilidade, registro, vaga atual, instrução relacionada e relação com a certificação estadual.</w:t>
      </w:r>
    </w:p>
    <w:p>
      <w:pPr>
        <w:pStyle w:val="BodyText"/>
      </w:pPr>
      <w:r>
        <w:t xml:space="preserve">O treinamento do empregador pode incluir integração ao local, fundamentos de processo, amostragem, apoio laboratorial, rondas de equipamentos, controles computadorizados, apoio à manutenção, comunicação de perigos, controles de exposição biológica, conscientização sobre controle de energias, funções em espaços confinados, EPI, resposta a emergências e validações supervisionadas de tarefas. Pergunte quais treinamentos são pagos, quais certificações ou exames são exigidos, quais tarefas cada qualificação autoriza e se existem custos ou acordos de treinamento caso você saia.</w:t>
      </w:r>
    </w:p>
    <w:p>
      <w:pPr>
        <w:pStyle w:val="BodyText"/>
      </w:pPr>
      <w:r>
        <w:t xml:space="preserve">Nenhum título de aprendizagem, programa de treinamento do empregador, conclusão de curso ou validação supervisionada de tarefa garante certificação, autoridade como operador responsável, emprego permanente ou transferência para outra jurisdição.</w:t>
      </w:r>
    </w:p>
    <w:bookmarkEnd w:id="36"/>
    <w:bookmarkStart w:id="37" w:name="X2a7483a32c69eff8d4bca23b120a77d2bf43dc7"/>
    <w:p>
      <w:pPr>
        <w:pStyle w:val="Heading2"/>
      </w:pPr>
      <w:r>
        <w:t xml:space="preserve">Aprendizado gratuito primeiro e opções de baixo custo</w:t>
      </w:r>
    </w:p>
    <w:p>
      <w:pPr>
        <w:pStyle w:val="FirstParagraph"/>
      </w:pPr>
      <w:r>
        <w:t xml:space="preserve">Comece pelo mercado de trabalho local real e pelas regras de certificação antes de comprar um certificado privado:</w:t>
      </w:r>
    </w:p>
    <w:p>
      <w:pPr>
        <w:numPr>
          <w:ilvl w:val="0"/>
          <w:numId w:val="1006"/>
        </w:numPr>
        <w:pStyle w:val="Compact"/>
      </w:pPr>
      <w:r>
        <w:t xml:space="preserve">Escolha uma localização-alvo e decida se busca água potável, esgoto, coleta/distribuição ou uma função mais ampla de serviços públicos.</w:t>
      </w:r>
    </w:p>
    <w:p>
      <w:pPr>
        <w:numPr>
          <w:ilvl w:val="0"/>
          <w:numId w:val="1006"/>
        </w:numPr>
        <w:pStyle w:val="Compact"/>
      </w:pPr>
      <w:r>
        <w:t xml:space="preserve">Analise de 15 a 20 vagas atuais e registre requisitos recorrentes de escolaridade, certificação, turno, direção, condição física e experiência.</w:t>
      </w:r>
    </w:p>
    <w:p>
      <w:pPr>
        <w:numPr>
          <w:ilvl w:val="0"/>
          <w:numId w:val="1006"/>
        </w:numPr>
        <w:pStyle w:val="Compact"/>
      </w:pPr>
      <w:r>
        <w:t xml:space="preserve">Identifique a autoridade responsável pela certificação de operadores e a classificação da instalação.</w:t>
      </w:r>
    </w:p>
    <w:p>
      <w:pPr>
        <w:numPr>
          <w:ilvl w:val="0"/>
          <w:numId w:val="1006"/>
        </w:numPr>
        <w:pStyle w:val="Compact"/>
      </w:pPr>
      <w:r>
        <w:t xml:space="preserve">Procure vagas de trainee do empregador, Apprenticeship.gov, community colleges ou escolas técnicas públicas, SENA ou a instituição nacional correspondente e treinamento patrocinado por empregadores.</w:t>
      </w:r>
    </w:p>
    <w:p>
      <w:pPr>
        <w:numPr>
          <w:ilvl w:val="0"/>
          <w:numId w:val="1006"/>
        </w:numPr>
        <w:pStyle w:val="Compact"/>
      </w:pPr>
      <w:r>
        <w:t xml:space="preserve">Verifique se o programa é reconhecido para o caminho de certificação exato antes de pagar.</w:t>
      </w:r>
    </w:p>
    <w:p>
      <w:pPr>
        <w:numPr>
          <w:ilvl w:val="0"/>
          <w:numId w:val="1006"/>
        </w:numPr>
        <w:pStyle w:val="Compact"/>
      </w:pPr>
      <w:r>
        <w:t xml:space="preserve">Solicite por escrito o custo total de mensalidades, livros, EPI, laboratório, exames, novas tentativas, viagens, renovação e reembolso.</w:t>
      </w:r>
    </w:p>
    <w:p>
      <w:pPr>
        <w:numPr>
          <w:ilvl w:val="0"/>
          <w:numId w:val="1006"/>
        </w:numPr>
        <w:pStyle w:val="Compact"/>
      </w:pPr>
      <w:r>
        <w:t xml:space="preserve">Prefira aprendizado supervisionado, reconhecido e controlado em segurança que esteja ligado a requisitos reais de operador.</w:t>
      </w:r>
    </w:p>
    <w:p>
      <w:pPr>
        <w:pStyle w:val="FirstParagraph"/>
      </w:pPr>
      <w:r>
        <w:t xml:space="preserve">Aprendizado gratuito on-line pode ajudar com terminologia, aritmética, fundamentos de química, fundamentos de microbiologia, noções mecânicas, documentação e preparação para entrevistas. Ele não substitui treinamento específico da instalação, prática supervisionada, certificação, métodos laboratoriais qualificados, funções em espaços confinados, autorização de controle de energia nem requisitos legais do operador.</w:t>
      </w:r>
    </w:p>
    <w:bookmarkEnd w:id="37"/>
    <w:bookmarkStart w:id="38" w:name="caminhos-de-financiamento"/>
    <w:p>
      <w:pPr>
        <w:pStyle w:val="Heading2"/>
      </w:pPr>
      <w:r>
        <w:t xml:space="preserve">Caminhos de financiamento</w:t>
      </w:r>
    </w:p>
    <w:p>
      <w:pPr>
        <w:pStyle w:val="FirstParagraph"/>
      </w:pPr>
      <w:r>
        <w:t xml:space="preserve">Nos Estados Unidos, o FAFSA pode conectar estudantes elegíveis em programas e instituições elegíveis a bolsas, work-study ou empréstimos federais. Um curso curto, preparação para exame, certificado privado ou programa de treinamento do empregador não é automaticamente elegível para auxílio.</w:t>
      </w:r>
    </w:p>
    <w:p>
      <w:pPr>
        <w:pStyle w:val="BodyText"/>
      </w:pPr>
      <w:r>
        <w:t xml:space="preserve">Antes de contrair dívida, consulte colleges públicos, patrocinadores de aprendizagem, empregadores, escritórios de força de trabalho, recursos educacionais para veteranos quando aplicável, organizações comunitárias e escritórios de auxílio financeiro sobre apoio atual. Verifique por escrito o programa exato, elegibilidade, prazos, pagamento, custos de ferramentas ou laboratório, viagens, exames e condições de emprego.</w:t>
      </w:r>
    </w:p>
    <w:p>
      <w:pPr>
        <w:pStyle w:val="BodyText"/>
      </w:pPr>
      <w:r>
        <w:t xml:space="preserve">SENA e outros sistemas públicos de formação profissional podem oferecer caminhos gratuitos ou de menor custo, mas disponibilidade e admissão variam. Não há garantia de financiamento, vaga, bolsa, aprendizagem, certificação ou emprego.</w:t>
      </w:r>
    </w:p>
    <w:bookmarkEnd w:id="38"/>
    <w:bookmarkStart w:id="41" w:name="salários-e-perspectivas"/>
    <w:p>
      <w:pPr>
        <w:pStyle w:val="Heading2"/>
      </w:pPr>
      <w:r>
        <w:t xml:space="preserve">Salários e perspectivas</w:t>
      </w:r>
    </w:p>
    <w:bookmarkStart w:id="39" w:name="estados-unidos-1"/>
    <w:p>
      <w:pPr>
        <w:pStyle w:val="Heading3"/>
      </w:pPr>
      <w:r>
        <w:t xml:space="preserve">Estados Unidos</w:t>
      </w:r>
    </w:p>
    <w:p>
      <w:pPr>
        <w:pStyle w:val="FirstParagraph"/>
      </w:pPr>
      <w:r>
        <w:t xml:space="preserve">O BLS informa para</w:t>
      </w:r>
      <w:r>
        <w:t xml:space="preserve"> </w:t>
      </w:r>
      <w:r>
        <w:rPr>
          <w:bCs/>
          <w:b/>
        </w:rPr>
        <w:t xml:space="preserve">Water and Wastewater Treatment Plant and System Operators, SOC 51-8031</w:t>
      </w:r>
      <w:r>
        <w:t xml:space="preserve">:</w:t>
      </w:r>
    </w:p>
    <w:p>
      <w:pPr>
        <w:numPr>
          <w:ilvl w:val="0"/>
          <w:numId w:val="1007"/>
        </w:numPr>
        <w:pStyle w:val="Compact"/>
      </w:pPr>
      <w:r>
        <w:rPr>
          <w:bCs/>
          <w:b/>
        </w:rPr>
        <w:t xml:space="preserve">Salário anual mediano em maio de 2024: $58,260</w:t>
      </w:r>
    </w:p>
    <w:p>
      <w:pPr>
        <w:numPr>
          <w:ilvl w:val="0"/>
          <w:numId w:val="1007"/>
        </w:numPr>
        <w:pStyle w:val="Compact"/>
      </w:pPr>
      <w:r>
        <w:rPr>
          <w:bCs/>
          <w:b/>
        </w:rPr>
        <w:t xml:space="preserve">Salário mediano por hora em maio de 2024: $28.01</w:t>
      </w:r>
    </w:p>
    <w:p>
      <w:pPr>
        <w:numPr>
          <w:ilvl w:val="0"/>
          <w:numId w:val="1007"/>
        </w:numPr>
        <w:pStyle w:val="Compact"/>
      </w:pPr>
      <w:r>
        <w:rPr>
          <w:bCs/>
          <w:b/>
        </w:rPr>
        <w:t xml:space="preserve">10 por cento inferiores: abaixo de $37,870</w:t>
      </w:r>
    </w:p>
    <w:p>
      <w:pPr>
        <w:numPr>
          <w:ilvl w:val="0"/>
          <w:numId w:val="1007"/>
        </w:numPr>
        <w:pStyle w:val="Compact"/>
      </w:pPr>
      <w:r>
        <w:rPr>
          <w:bCs/>
          <w:b/>
        </w:rPr>
        <w:t xml:space="preserve">10 por cento superiores: acima de $86,160</w:t>
      </w:r>
    </w:p>
    <w:p>
      <w:pPr>
        <w:numPr>
          <w:ilvl w:val="0"/>
          <w:numId w:val="1007"/>
        </w:numPr>
        <w:pStyle w:val="Compact"/>
      </w:pPr>
      <w:r>
        <w:rPr>
          <w:bCs/>
          <w:b/>
        </w:rPr>
        <w:t xml:space="preserve">Emprego em 2024: 132,400</w:t>
      </w:r>
    </w:p>
    <w:p>
      <w:pPr>
        <w:numPr>
          <w:ilvl w:val="0"/>
          <w:numId w:val="1007"/>
        </w:numPr>
        <w:pStyle w:val="Compact"/>
      </w:pPr>
      <w:r>
        <w:rPr>
          <w:bCs/>
          <w:b/>
        </w:rPr>
        <w:t xml:space="preserve">Emprego projetado em 2034: 123,800</w:t>
      </w:r>
    </w:p>
    <w:p>
      <w:pPr>
        <w:numPr>
          <w:ilvl w:val="0"/>
          <w:numId w:val="1007"/>
        </w:numPr>
        <w:pStyle w:val="Compact"/>
      </w:pPr>
      <w:r>
        <w:rPr>
          <w:bCs/>
          <w:b/>
        </w:rPr>
        <w:t xml:space="preserve">Mudança projetada, 2024–2034: -8,700 empregos</w:t>
      </w:r>
    </w:p>
    <w:p>
      <w:pPr>
        <w:numPr>
          <w:ilvl w:val="0"/>
          <w:numId w:val="1007"/>
        </w:numPr>
        <w:pStyle w:val="Compact"/>
      </w:pPr>
      <w:r>
        <w:rPr>
          <w:bCs/>
          <w:b/>
        </w:rPr>
        <w:t xml:space="preserve">Mudança projetada: -7 por cento</w:t>
      </w:r>
    </w:p>
    <w:p>
      <w:pPr>
        <w:numPr>
          <w:ilvl w:val="0"/>
          <w:numId w:val="1007"/>
        </w:numPr>
        <w:pStyle w:val="Compact"/>
      </w:pPr>
      <w:r>
        <w:rPr>
          <w:bCs/>
          <w:b/>
        </w:rPr>
        <w:t xml:space="preserve">Aberturas projetadas: cerca de 10,700 por ano, em média</w:t>
      </w:r>
      <w:r>
        <w:t xml:space="preserve">, atribuídas pelo BLS a necessidades de reposição e não ao crescimento da ocupação</w:t>
      </w:r>
    </w:p>
    <w:p>
      <w:pPr>
        <w:pStyle w:val="FirstParagraph"/>
      </w:pPr>
      <w:r>
        <w:t xml:space="preserve">Essas são estatísticas ocupacionais nacionais dos Estados Unidos, não promessas de salário inicial. A queda projetada não significa ausência de contratação; o BLS ainda projeta vagas de reposição. Salários e oportunidades variam por localização, empregador, certificação, tipo de instalação, turno, horas extras, situação sindical e experiência.</w:t>
      </w:r>
    </w:p>
    <w:bookmarkEnd w:id="39"/>
    <w:bookmarkStart w:id="40" w:name="canadá-1"/>
    <w:p>
      <w:pPr>
        <w:pStyle w:val="Heading3"/>
      </w:pPr>
      <w:r>
        <w:t xml:space="preserve">Canadá</w:t>
      </w:r>
    </w:p>
    <w:p>
      <w:pPr>
        <w:pStyle w:val="FirstParagraph"/>
      </w:pPr>
      <w:r>
        <w:t xml:space="preserve">O Job Bank do Governo do Canadá informa indicadores salariais nacionais para</w:t>
      </w:r>
      <w:r>
        <w:t xml:space="preserve"> </w:t>
      </w:r>
      <w:r>
        <w:rPr>
          <w:bCs/>
          <w:b/>
        </w:rPr>
        <w:t xml:space="preserve">NOC 92101</w:t>
      </w:r>
      <w:r>
        <w:t xml:space="preserve">:</w:t>
      </w:r>
    </w:p>
    <w:p>
      <w:pPr>
        <w:numPr>
          <w:ilvl w:val="0"/>
          <w:numId w:val="1008"/>
        </w:numPr>
        <w:pStyle w:val="Compact"/>
      </w:pPr>
      <w:r>
        <w:rPr>
          <w:bCs/>
          <w:b/>
        </w:rPr>
        <w:t xml:space="preserve">CAD $25.00/hora — baixo</w:t>
      </w:r>
    </w:p>
    <w:p>
      <w:pPr>
        <w:numPr>
          <w:ilvl w:val="0"/>
          <w:numId w:val="1008"/>
        </w:numPr>
        <w:pStyle w:val="Compact"/>
      </w:pPr>
      <w:r>
        <w:rPr>
          <w:bCs/>
          <w:b/>
        </w:rPr>
        <w:t xml:space="preserve">CAD $36.06/hora — mediano</w:t>
      </w:r>
    </w:p>
    <w:p>
      <w:pPr>
        <w:numPr>
          <w:ilvl w:val="0"/>
          <w:numId w:val="1008"/>
        </w:numPr>
        <w:pStyle w:val="Compact"/>
      </w:pPr>
      <w:r>
        <w:rPr>
          <w:bCs/>
          <w:b/>
        </w:rPr>
        <w:t xml:space="preserve">CAD $48.00/hora — alto</w:t>
      </w:r>
    </w:p>
    <w:p>
      <w:pPr>
        <w:pStyle w:val="FirstParagraph"/>
      </w:pPr>
      <w:r>
        <w:t xml:space="preserve">A página de salários foi atualizada em 19 de novembro de 2025. São indicadores do grupo ocupacional, não salário inicial garantido nem uma comparação de moeda convertida com salários dos Estados Unidos. Use filtros regionais e verifique a instalação, nível de certificação e atribuições reais.</w:t>
      </w:r>
    </w:p>
    <w:p>
      <w:pPr>
        <w:pStyle w:val="BodyText"/>
      </w:pPr>
      <w:r>
        <w:t xml:space="preserve">Nenhuma estimativa salarial privada é incluída porque há evidência salarial oficial atual.</w:t>
      </w:r>
    </w:p>
    <w:bookmarkEnd w:id="40"/>
    <w:bookmarkEnd w:id="41"/>
    <w:bookmarkStart w:id="42" w:name="um-plano-inicial-prático-de-12-semanas"/>
    <w:p>
      <w:pPr>
        <w:pStyle w:val="Heading2"/>
      </w:pPr>
      <w:r>
        <w:t xml:space="preserve">Um plano inicial prático de 12 semanas</w:t>
      </w:r>
    </w:p>
    <w:p>
      <w:pPr>
        <w:pStyle w:val="FirstParagraph"/>
      </w:pPr>
      <w:r>
        <w:rPr>
          <w:bCs/>
          <w:b/>
        </w:rPr>
        <w:t xml:space="preserve">Semanas 1–2:</w:t>
      </w:r>
      <w:r>
        <w:t xml:space="preserve"> </w:t>
      </w:r>
      <w:r>
        <w:t xml:space="preserve">Escolha uma geografia-alvo e compare funções em água potável, esgoto, operador em treinamento e operador de serviços públicos. Registre autoridade de certificação, classificação da instalação, escolaridade, turnos, direção e experiência exigidos.</w:t>
      </w:r>
    </w:p>
    <w:p>
      <w:pPr>
        <w:pStyle w:val="BodyText"/>
      </w:pPr>
      <w:r>
        <w:rPr>
          <w:bCs/>
          <w:b/>
        </w:rPr>
        <w:t xml:space="preserve">Semanas 3–4:</w:t>
      </w:r>
      <w:r>
        <w:t xml:space="preserve"> </w:t>
      </w:r>
      <w:r>
        <w:t xml:space="preserve">Estude fundamentos de baixo risco: vocabulário de tratamento, aritmética, conceitos básicos de química e biologia, conceitos gerais de bombas e válvulas, documentação, comunicação de segurança e terminologia comum de serviços públicos. Não pratique tarefas perigosas.</w:t>
      </w:r>
    </w:p>
    <w:p>
      <w:pPr>
        <w:pStyle w:val="BodyText"/>
      </w:pPr>
      <w:r>
        <w:rPr>
          <w:bCs/>
          <w:b/>
        </w:rPr>
        <w:t xml:space="preserve">Semanas 5–6:</w:t>
      </w:r>
      <w:r>
        <w:t xml:space="preserve"> </w:t>
      </w:r>
      <w:r>
        <w:t xml:space="preserve">Compare caminhos de operador em treinamento, programas públicos técnicos/community college, Registered Apprenticeship, treinamento do empregador, SENA ou a instituição nacional correspondente e elegibilidade para auxílio financeiro. Verifique reconhecimento e custo total.</w:t>
      </w:r>
    </w:p>
    <w:p>
      <w:pPr>
        <w:pStyle w:val="BodyText"/>
      </w:pPr>
      <w:r>
        <w:rPr>
          <w:bCs/>
          <w:b/>
        </w:rPr>
        <w:t xml:space="preserve">Semanas 7–8:</w:t>
      </w:r>
      <w:r>
        <w:t xml:space="preserve"> </w:t>
      </w:r>
      <w:r>
        <w:t xml:space="preserve">Desenvolva evidências supervisionadas em documentação, apoio à manutenção, organização e limpeza, medições básicas, manuseio seguro de amostras sob instrução, uso de computadores, comunicação com clientes ou equipes e passagens de turno confiáveis.</w:t>
      </w:r>
    </w:p>
    <w:p>
      <w:pPr>
        <w:pStyle w:val="BodyText"/>
      </w:pPr>
      <w:r>
        <w:rPr>
          <w:bCs/>
          <w:b/>
        </w:rPr>
        <w:t xml:space="preserve">Semanas 9–10:</w:t>
      </w:r>
      <w:r>
        <w:t xml:space="preserve"> </w:t>
      </w:r>
      <w:r>
        <w:t xml:space="preserve">Prepare currículo e exemplos de entrevista que demonstrem registros precisos, escalonamento seguro, confiabilidade, trabalho em equipe, observação cuidadosa e respeito pelo escopo regulado. Descreva apenas trabalhos que realmente executou.</w:t>
      </w:r>
    </w:p>
    <w:p>
      <w:pPr>
        <w:pStyle w:val="BodyText"/>
      </w:pPr>
      <w:r>
        <w:rPr>
          <w:bCs/>
          <w:b/>
        </w:rPr>
        <w:t xml:space="preserve">Semanas 11–12:</w:t>
      </w:r>
      <w:r>
        <w:t xml:space="preserve"> </w:t>
      </w:r>
      <w:r>
        <w:t xml:space="preserve">Candidate-se a vagas de trainee, operador em treinamento, aprendizagem, auxiliar de serviços públicos, operador de tratamento ou funções relacionadas compatíveis com sua elegibilidade real. Acompanhe candidaturas, etapas de certificação, exames, prazos e retornos.</w:t>
      </w:r>
    </w:p>
    <w:bookmarkEnd w:id="42"/>
    <w:bookmarkStart w:id="43" w:name="orientação-para-currículo-e-entrevista"/>
    <w:p>
      <w:pPr>
        <w:pStyle w:val="Heading2"/>
      </w:pPr>
      <w:r>
        <w:t xml:space="preserve">Orientação para currículo e entrevista</w:t>
      </w:r>
    </w:p>
    <w:p>
      <w:pPr>
        <w:pStyle w:val="FirstParagraph"/>
      </w:pPr>
      <w:r>
        <w:t xml:space="preserve">Evidências úteis podem incluir:</w:t>
      </w:r>
    </w:p>
    <w:p>
      <w:pPr>
        <w:numPr>
          <w:ilvl w:val="0"/>
          <w:numId w:val="1009"/>
        </w:numPr>
        <w:pStyle w:val="Compact"/>
      </w:pPr>
      <w:r>
        <w:t xml:space="preserve">registros, inspeções, inventários, ordens de serviço ou registros de qualidade precisos;</w:t>
      </w:r>
    </w:p>
    <w:p>
      <w:pPr>
        <w:numPr>
          <w:ilvl w:val="0"/>
          <w:numId w:val="1009"/>
        </w:numPr>
        <w:pStyle w:val="Compact"/>
      </w:pPr>
      <w:r>
        <w:t xml:space="preserve">trabalho seguro próximo a equipamentos industriais ou de serviços públicos;</w:t>
      </w:r>
    </w:p>
    <w:p>
      <w:pPr>
        <w:numPr>
          <w:ilvl w:val="0"/>
          <w:numId w:val="1009"/>
        </w:numPr>
        <w:pStyle w:val="Compact"/>
      </w:pPr>
      <w:r>
        <w:t xml:space="preserve">amostragem supervisionada, apoio laboratorial, apoio de manutenção ou trabalho ambiental;</w:t>
      </w:r>
    </w:p>
    <w:p>
      <w:pPr>
        <w:numPr>
          <w:ilvl w:val="0"/>
          <w:numId w:val="1009"/>
        </w:numPr>
        <w:pStyle w:val="Compact"/>
      </w:pPr>
      <w:r>
        <w:t xml:space="preserve">fundamentos de aritmética, medição, química, biologia, mecânica ou eletricidade;</w:t>
      </w:r>
    </w:p>
    <w:p>
      <w:pPr>
        <w:numPr>
          <w:ilvl w:val="0"/>
          <w:numId w:val="1009"/>
        </w:numPr>
        <w:pStyle w:val="Compact"/>
      </w:pPr>
      <w:r>
        <w:t xml:space="preserve">trabalho em turnos, comunicação de emergência, atendimento ao cliente, trabalho em equipe ou documentação regulada;</w:t>
      </w:r>
    </w:p>
    <w:p>
      <w:pPr>
        <w:numPr>
          <w:ilvl w:val="0"/>
          <w:numId w:val="1009"/>
        </w:numPr>
        <w:pStyle w:val="Compact"/>
      </w:pPr>
      <w:r>
        <w:t xml:space="preserve">sistemas informatizados, alarmes, entrada de dados ou experiência controlada de monitoramento de processos; e</w:t>
      </w:r>
    </w:p>
    <w:p>
      <w:pPr>
        <w:numPr>
          <w:ilvl w:val="0"/>
          <w:numId w:val="1009"/>
        </w:numPr>
        <w:pStyle w:val="Compact"/>
      </w:pPr>
      <w:r>
        <w:t xml:space="preserve">exemplos de parar, escalar ou pedir ajuda qualificada quando uma condição era incerta.</w:t>
      </w:r>
    </w:p>
    <w:p>
      <w:pPr>
        <w:pStyle w:val="FirstParagraph"/>
      </w:pPr>
      <w:r>
        <w:t xml:space="preserve">Não afirme possuir certificação, experiência como operador responsável, autoridade sobre SCADA, qualificação laboratorial, autoridade para dosagem química, qualificação em espaços confinados, autorização elétrica, autorização de bloqueio, responsabilidade por conformidade ambiental ou autoridade de reporte regulatório, a menos que isso seja verdadeiro e comprovável.</w:t>
      </w:r>
    </w:p>
    <w:p>
      <w:pPr>
        <w:pStyle w:val="BodyText"/>
      </w:pPr>
      <w:r>
        <w:t xml:space="preserve">Em entrevistas, pergunte:</w:t>
      </w:r>
    </w:p>
    <w:p>
      <w:pPr>
        <w:numPr>
          <w:ilvl w:val="0"/>
          <w:numId w:val="1010"/>
        </w:numPr>
        <w:pStyle w:val="Compact"/>
      </w:pPr>
      <w:r>
        <w:t xml:space="preserve">Qual certificado de operador ou status de operador em treinamento é exigido na contratação?</w:t>
      </w:r>
    </w:p>
    <w:p>
      <w:pPr>
        <w:numPr>
          <w:ilvl w:val="0"/>
          <w:numId w:val="1010"/>
        </w:numPr>
        <w:pStyle w:val="Compact"/>
      </w:pPr>
      <w:r>
        <w:t xml:space="preserve">Qual é a classificação da instalação e qual nível de certificação é necessário para avançar?</w:t>
      </w:r>
    </w:p>
    <w:p>
      <w:pPr>
        <w:numPr>
          <w:ilvl w:val="0"/>
          <w:numId w:val="1010"/>
        </w:numPr>
        <w:pStyle w:val="Compact"/>
      </w:pPr>
      <w:r>
        <w:t xml:space="preserve">Quais treinamentos, exames e educação continuada o empregador paga?</w:t>
      </w:r>
    </w:p>
    <w:p>
      <w:pPr>
        <w:numPr>
          <w:ilvl w:val="0"/>
          <w:numId w:val="1010"/>
        </w:numPr>
        <w:pStyle w:val="Compact"/>
      </w:pPr>
      <w:r>
        <w:t xml:space="preserve">Como são os primeiros 90 dias de uma pessoa em treinamento?</w:t>
      </w:r>
    </w:p>
    <w:p>
      <w:pPr>
        <w:numPr>
          <w:ilvl w:val="0"/>
          <w:numId w:val="1010"/>
        </w:numPr>
        <w:pStyle w:val="Compact"/>
      </w:pPr>
      <w:r>
        <w:t xml:space="preserve">Quais tarefas exigem supervisão direta ou autorização separada?</w:t>
      </w:r>
    </w:p>
    <w:p>
      <w:pPr>
        <w:numPr>
          <w:ilvl w:val="0"/>
          <w:numId w:val="1010"/>
        </w:numPr>
        <w:pStyle w:val="Compact"/>
      </w:pPr>
      <w:r>
        <w:t xml:space="preserve">Como são gerenciados espaços confinados, riscos químicos, exposição biológica, controle de energias, resgate e trabalho isolado?</w:t>
      </w:r>
    </w:p>
    <w:p>
      <w:pPr>
        <w:numPr>
          <w:ilvl w:val="0"/>
          <w:numId w:val="1010"/>
        </w:numPr>
        <w:pStyle w:val="Compact"/>
      </w:pPr>
      <w:r>
        <w:t xml:space="preserve">Quais turnos, chamados, horas extras, fins de semana e responsabilidades emergenciais são comuns?</w:t>
      </w:r>
    </w:p>
    <w:p>
      <w:pPr>
        <w:numPr>
          <w:ilvl w:val="0"/>
          <w:numId w:val="1010"/>
        </w:numPr>
        <w:pStyle w:val="Compact"/>
      </w:pPr>
      <w:r>
        <w:t xml:space="preserve">Como trabalho de laboratório, acesso a SCADA, mudanças de processo e decisões regulatórias são separados por função?</w:t>
      </w:r>
    </w:p>
    <w:bookmarkEnd w:id="43"/>
    <w:bookmarkStart w:id="44" w:name="uso-responsável-de-ia"/>
    <w:p>
      <w:pPr>
        <w:pStyle w:val="Heading2"/>
      </w:pPr>
      <w:r>
        <w:t xml:space="preserve">Uso responsável de IA</w:t>
      </w:r>
    </w:p>
    <w:p>
      <w:pPr>
        <w:pStyle w:val="FirstParagraph"/>
      </w:pPr>
      <w:r>
        <w:t xml:space="preserve">A IA pode ajudar em tarefas profissionais de baixo risco, como:</w:t>
      </w:r>
    </w:p>
    <w:p>
      <w:pPr>
        <w:numPr>
          <w:ilvl w:val="0"/>
          <w:numId w:val="1011"/>
        </w:numPr>
        <w:pStyle w:val="Compact"/>
      </w:pPr>
      <w:r>
        <w:t xml:space="preserve">explicar terminologia geral em linguagem simples;</w:t>
      </w:r>
    </w:p>
    <w:p>
      <w:pPr>
        <w:numPr>
          <w:ilvl w:val="0"/>
          <w:numId w:val="1011"/>
        </w:numPr>
        <w:pStyle w:val="Compact"/>
      </w:pPr>
      <w:r>
        <w:t xml:space="preserve">criar perguntas de estudo com base em material público aprovado;</w:t>
      </w:r>
    </w:p>
    <w:p>
      <w:pPr>
        <w:numPr>
          <w:ilvl w:val="0"/>
          <w:numId w:val="1011"/>
        </w:numPr>
        <w:pStyle w:val="Compact"/>
      </w:pPr>
      <w:r>
        <w:t xml:space="preserve">organizar pesquisa de certificações e prazos de candidatura;</w:t>
      </w:r>
    </w:p>
    <w:p>
      <w:pPr>
        <w:numPr>
          <w:ilvl w:val="0"/>
          <w:numId w:val="1011"/>
        </w:numPr>
        <w:pStyle w:val="Compact"/>
      </w:pPr>
      <w:r>
        <w:t xml:space="preserve">comparar requisitos de vagas;</w:t>
      </w:r>
    </w:p>
    <w:p>
      <w:pPr>
        <w:numPr>
          <w:ilvl w:val="0"/>
          <w:numId w:val="1011"/>
        </w:numPr>
        <w:pStyle w:val="Compact"/>
      </w:pPr>
      <w:r>
        <w:t xml:space="preserve">melhorar a estrutura do currículo sem inventar experiência; e</w:t>
      </w:r>
    </w:p>
    <w:p>
      <w:pPr>
        <w:numPr>
          <w:ilvl w:val="0"/>
          <w:numId w:val="1011"/>
        </w:numPr>
        <w:pStyle w:val="Compact"/>
      </w:pPr>
      <w:r>
        <w:t xml:space="preserve">redigir perguntas para uma escola, autoridade certificadora ou empregador.</w:t>
      </w:r>
    </w:p>
    <w:p>
      <w:pPr>
        <w:pStyle w:val="FirstParagraph"/>
      </w:pPr>
      <w:r>
        <w:t xml:space="preserve">Não use IA para:</w:t>
      </w:r>
    </w:p>
    <w:p>
      <w:pPr>
        <w:numPr>
          <w:ilvl w:val="0"/>
          <w:numId w:val="1012"/>
        </w:numPr>
        <w:pStyle w:val="Compact"/>
      </w:pPr>
      <w:r>
        <w:t xml:space="preserve">escolher ou calcular doses químicas ou instruções de mistura;</w:t>
      </w:r>
    </w:p>
    <w:p>
      <w:pPr>
        <w:numPr>
          <w:ilvl w:val="0"/>
          <w:numId w:val="1012"/>
        </w:numPr>
        <w:pStyle w:val="Compact"/>
      </w:pPr>
      <w:r>
        <w:t xml:space="preserve">interpretar amostras de conformidade ou decidir se água ou efluente está seguro;</w:t>
      </w:r>
    </w:p>
    <w:p>
      <w:pPr>
        <w:numPr>
          <w:ilvl w:val="0"/>
          <w:numId w:val="1012"/>
        </w:numPr>
        <w:pStyle w:val="Compact"/>
      </w:pPr>
      <w:r>
        <w:t xml:space="preserve">alterar controles de processo, setpoints, alarmes ou configurações SCADA;</w:t>
      </w:r>
    </w:p>
    <w:p>
      <w:pPr>
        <w:numPr>
          <w:ilvl w:val="0"/>
          <w:numId w:val="1012"/>
        </w:numPr>
        <w:pStyle w:val="Compact"/>
      </w:pPr>
      <w:r>
        <w:t xml:space="preserve">diagnosticar um risco da instalação com informações incompletas;</w:t>
      </w:r>
    </w:p>
    <w:p>
      <w:pPr>
        <w:numPr>
          <w:ilvl w:val="0"/>
          <w:numId w:val="1012"/>
        </w:numPr>
        <w:pStyle w:val="Compact"/>
      </w:pPr>
      <w:r>
        <w:t xml:space="preserve">gerar ou aprovar permissões de espaços confinados, etapas de bloqueio/etiquetagem, desvios ou procedimentos de emergência;</w:t>
      </w:r>
    </w:p>
    <w:p>
      <w:pPr>
        <w:numPr>
          <w:ilvl w:val="0"/>
          <w:numId w:val="1012"/>
        </w:numPr>
        <w:pStyle w:val="Compact"/>
      </w:pPr>
      <w:r>
        <w:t xml:space="preserve">selecionar EPI, configurações de monitores atmosféricos, métodos de resgate ou etapas de testes elétricos;</w:t>
      </w:r>
    </w:p>
    <w:p>
      <w:pPr>
        <w:numPr>
          <w:ilvl w:val="0"/>
          <w:numId w:val="1012"/>
        </w:numPr>
        <w:pStyle w:val="Compact"/>
      </w:pPr>
      <w:r>
        <w:t xml:space="preserve">substituir ou contrariar alarme, procedimento aprovado, método laboratorial, licença, regulador, supervisor ou operador qualificado; ou</w:t>
      </w:r>
    </w:p>
    <w:p>
      <w:pPr>
        <w:numPr>
          <w:ilvl w:val="0"/>
          <w:numId w:val="1012"/>
        </w:numPr>
        <w:pStyle w:val="Compact"/>
      </w:pPr>
      <w:r>
        <w:t xml:space="preserve">tomar decisões de saúde pública, reporte ambiental, operador responsável ou conformidade legal.</w:t>
      </w:r>
    </w:p>
    <w:p>
      <w:pPr>
        <w:pStyle w:val="FirstParagraph"/>
      </w:pPr>
      <w:r>
        <w:t xml:space="preserve">Trate saídas de IA como não verificadas até compará-las com fontes autorizadas atuais e informações aprovadas pelo empregador. Nunca insira credenciais, diagramas da instalação, detalhes de acesso, parâmetros de processo, inventários químicos, informações de segurança, registros de clientes, resultados laboratoriais, detalhes de incidentes ou dados protegidos de saúde pública/meio ambiente em um serviço de IA, salvo se o empregador tiver aprovado explicitamente esse uso.</w:t>
      </w:r>
    </w:p>
    <w:bookmarkEnd w:id="44"/>
    <w:bookmarkStart w:id="45" w:name="evite-golpes-e-treinamentos-fracos"/>
    <w:p>
      <w:pPr>
        <w:pStyle w:val="Heading2"/>
      </w:pPr>
      <w:r>
        <w:t xml:space="preserve">Evite golpes e treinamentos fracos</w:t>
      </w:r>
    </w:p>
    <w:p>
      <w:pPr>
        <w:pStyle w:val="FirstParagraph"/>
      </w:pPr>
      <w:r>
        <w:t xml:space="preserve">Tenha cautela quando um fornecedor prometer certificação garantida, status de operador garantido, emprego garantido, salários garantidos, reciprocidade instantânea ou uma credencial que supostamente funciona em qualquer lugar.</w:t>
      </w:r>
    </w:p>
    <w:p>
      <w:pPr>
        <w:pStyle w:val="BodyText"/>
      </w:pPr>
      <w:r>
        <w:t xml:space="preserve">Antes de pagar:</w:t>
      </w:r>
    </w:p>
    <w:p>
      <w:pPr>
        <w:numPr>
          <w:ilvl w:val="0"/>
          <w:numId w:val="1013"/>
        </w:numPr>
        <w:pStyle w:val="Compact"/>
      </w:pPr>
      <w:r>
        <w:t xml:space="preserve">verifique o fornecedor e o programa diretamente com a autoridade certificadora ou educacional competente;</w:t>
      </w:r>
    </w:p>
    <w:p>
      <w:pPr>
        <w:numPr>
          <w:ilvl w:val="0"/>
          <w:numId w:val="1013"/>
        </w:numPr>
        <w:pStyle w:val="Compact"/>
      </w:pPr>
      <w:r>
        <w:t xml:space="preserve">confirme se o programa conta para o nível de operador e a classificação da instalação exatos que você precisa;</w:t>
      </w:r>
    </w:p>
    <w:p>
      <w:pPr>
        <w:numPr>
          <w:ilvl w:val="0"/>
          <w:numId w:val="1013"/>
        </w:numPr>
        <w:pStyle w:val="Compact"/>
      </w:pPr>
      <w:r>
        <w:t xml:space="preserve">peça custo total, política de reembolso, taxas de exame, novas tentativas, livros, laboratório, viagens, renovação e educação continuada;</w:t>
      </w:r>
    </w:p>
    <w:p>
      <w:pPr>
        <w:numPr>
          <w:ilvl w:val="0"/>
          <w:numId w:val="1013"/>
        </w:numPr>
        <w:pStyle w:val="Compact"/>
      </w:pPr>
      <w:r>
        <w:t xml:space="preserve">verifique independentemente turmas atuais, alegações de colocação, empregadores parceiros e registro de aprendizagem;</w:t>
      </w:r>
    </w:p>
    <w:p>
      <w:pPr>
        <w:numPr>
          <w:ilvl w:val="0"/>
          <w:numId w:val="1013"/>
        </w:numPr>
        <w:pStyle w:val="Compact"/>
      </w:pPr>
      <w:r>
        <w:t xml:space="preserve">não envie dinheiro, documentos de identidade nem dados bancários por meio de recrutador ou link de treinamento não verificado; e</w:t>
      </w:r>
    </w:p>
    <w:p>
      <w:pPr>
        <w:numPr>
          <w:ilvl w:val="0"/>
          <w:numId w:val="1013"/>
        </w:numPr>
        <w:pStyle w:val="Compact"/>
      </w:pPr>
      <w:r>
        <w:t xml:space="preserve">guarde cópias de promessas por escrito e compare-as com regras oficiais.</w:t>
      </w:r>
    </w:p>
    <w:p>
      <w:pPr>
        <w:pStyle w:val="FirstParagraph"/>
      </w:pPr>
      <w:r>
        <w:t xml:space="preserve">Um curso privado curto pode ser útil, mas não é automaticamente reconhecido para requisitos estaduais, provinciais, territoriais, colombianos ou de outras autoridades nacionais de operadores.</w:t>
      </w:r>
    </w:p>
    <w:bookmarkEnd w:id="45"/>
    <w:bookmarkStart w:id="46" w:name="antes-de-gastar-dinheiro"/>
    <w:p>
      <w:pPr>
        <w:pStyle w:val="Heading2"/>
      </w:pPr>
      <w:r>
        <w:t xml:space="preserve">Antes de gastar dinheiro</w:t>
      </w:r>
    </w:p>
    <w:p>
      <w:pPr>
        <w:pStyle w:val="FirstParagraph"/>
      </w:pPr>
      <w:r>
        <w:t xml:space="preserve">Siga esta ordem:</w:t>
      </w:r>
    </w:p>
    <w:p>
      <w:pPr>
        <w:numPr>
          <w:ilvl w:val="0"/>
          <w:numId w:val="1014"/>
        </w:numPr>
        <w:pStyle w:val="Compact"/>
      </w:pPr>
      <w:r>
        <w:rPr>
          <w:bCs/>
          <w:b/>
        </w:rPr>
        <w:t xml:space="preserve">Verifique o requisito da vaga.</w:t>
      </w:r>
      <w:r>
        <w:t xml:space="preserve"> </w:t>
      </w:r>
      <w:r>
        <w:t xml:space="preserve">Identifique localização, tipo de instalação, classificação da instalação e nível do operador.</w:t>
      </w:r>
    </w:p>
    <w:p>
      <w:pPr>
        <w:numPr>
          <w:ilvl w:val="0"/>
          <w:numId w:val="1014"/>
        </w:numPr>
        <w:pStyle w:val="Compact"/>
      </w:pPr>
      <w:r>
        <w:rPr>
          <w:bCs/>
          <w:b/>
        </w:rPr>
        <w:t xml:space="preserve">Verifique a autoridade.</w:t>
      </w:r>
      <w:r>
        <w:t xml:space="preserve"> </w:t>
      </w:r>
      <w:r>
        <w:t xml:space="preserve">Confira regras atuais de certificação, escolaridade, experiência, exame, renovação e reciprocidade.</w:t>
      </w:r>
    </w:p>
    <w:p>
      <w:pPr>
        <w:numPr>
          <w:ilvl w:val="0"/>
          <w:numId w:val="1014"/>
        </w:numPr>
        <w:pStyle w:val="Compact"/>
      </w:pPr>
      <w:r>
        <w:rPr>
          <w:bCs/>
          <w:b/>
        </w:rPr>
        <w:t xml:space="preserve">Verifique o apoio do empregador.</w:t>
      </w:r>
      <w:r>
        <w:t xml:space="preserve"> </w:t>
      </w:r>
      <w:r>
        <w:t xml:space="preserve">Pergunte sobre treinamento pago, reembolso de exames, aprendizagem, auxílio de mensalidade e progressão supervisionada.</w:t>
      </w:r>
    </w:p>
    <w:p>
      <w:pPr>
        <w:numPr>
          <w:ilvl w:val="0"/>
          <w:numId w:val="1014"/>
        </w:numPr>
        <w:pStyle w:val="Compact"/>
      </w:pPr>
      <w:r>
        <w:rPr>
          <w:bCs/>
          <w:b/>
        </w:rPr>
        <w:t xml:space="preserve">Verifique opções públicas.</w:t>
      </w:r>
      <w:r>
        <w:t xml:space="preserve"> </w:t>
      </w:r>
      <w:r>
        <w:t xml:space="preserve">Compare community colleges/escolas técnicas, SENA ou a instituição nacional correspondente, programas de força de trabalho e ajuda elegível.</w:t>
      </w:r>
    </w:p>
    <w:p>
      <w:pPr>
        <w:numPr>
          <w:ilvl w:val="0"/>
          <w:numId w:val="1014"/>
        </w:numPr>
        <w:pStyle w:val="Compact"/>
      </w:pPr>
      <w:r>
        <w:rPr>
          <w:bCs/>
          <w:b/>
        </w:rPr>
        <w:t xml:space="preserve">Confirme reconhecimento.</w:t>
      </w:r>
      <w:r>
        <w:t xml:space="preserve"> </w:t>
      </w:r>
      <w:r>
        <w:t xml:space="preserve">Obtenha confirmação por escrito de que o programa exato apoia a credencial necessária.</w:t>
      </w:r>
    </w:p>
    <w:p>
      <w:pPr>
        <w:numPr>
          <w:ilvl w:val="0"/>
          <w:numId w:val="1014"/>
        </w:numPr>
        <w:pStyle w:val="Compact"/>
      </w:pPr>
      <w:r>
        <w:rPr>
          <w:bCs/>
          <w:b/>
        </w:rPr>
        <w:t xml:space="preserve">Calcule o custo total.</w:t>
      </w:r>
      <w:r>
        <w:t xml:space="preserve"> </w:t>
      </w:r>
      <w:r>
        <w:t xml:space="preserve">Inclua mensalidade, taxas, exames, novas tentativas, EPI, livros, viagens, renovação e tempo de trabalho perdido.</w:t>
      </w:r>
    </w:p>
    <w:p>
      <w:pPr>
        <w:numPr>
          <w:ilvl w:val="0"/>
          <w:numId w:val="1014"/>
        </w:numPr>
        <w:pStyle w:val="Compact"/>
      </w:pPr>
      <w:r>
        <w:rPr>
          <w:bCs/>
          <w:b/>
        </w:rPr>
        <w:t xml:space="preserve">Peça empréstimo por último.</w:t>
      </w:r>
      <w:r>
        <w:t xml:space="preserve"> </w:t>
      </w:r>
      <w:r>
        <w:t xml:space="preserve">Nunca se endivide com base em garantia de licença, emprego ou salário.</w:t>
      </w:r>
    </w:p>
    <w:bookmarkEnd w:id="46"/>
    <w:bookmarkStart w:id="47" w:name="progressão-profissional"/>
    <w:p>
      <w:pPr>
        <w:pStyle w:val="Heading2"/>
      </w:pPr>
      <w:r>
        <w:t xml:space="preserve">Progressão profissional</w:t>
      </w:r>
    </w:p>
    <w:p>
      <w:pPr>
        <w:pStyle w:val="FirstParagraph"/>
      </w:pPr>
      <w:r>
        <w:t xml:space="preserve">Com experiência, certificação exigida, bom desempenho de segurança e confiança do empregador, um trabalhador pode avançar para níveis superiores de operador, funções de operador líder ou sênior, especialidades em água ou esgoto, laboratório ou manutenção, coleta/distribuição, treinamento, supervisão, operações de serviços públicos, apoio ambiental ou gestão.</w:t>
      </w:r>
    </w:p>
    <w:p>
      <w:pPr>
        <w:pStyle w:val="BodyText"/>
      </w:pPr>
      <w:r>
        <w:t xml:space="preserve">A progressão depende de jurisdição, classificação da estação, certificação, experiência, exame, educação continuada, estrutura do empregador e vagas reais. Um curso ou certificado não garante promoção nem autoridade como operador responsável.</w:t>
      </w:r>
    </w:p>
    <w:bookmarkEnd w:id="47"/>
    <w:bookmarkStart w:id="73" w:name="fontes-e-links-de-verificação"/>
    <w:p>
      <w:pPr>
        <w:pStyle w:val="Heading2"/>
      </w:pPr>
      <w:r>
        <w:t xml:space="preserve">Fontes e links de verificação</w:t>
      </w:r>
    </w:p>
    <w:bookmarkStart w:id="58" w:name="estados-unidos-2"/>
    <w:p>
      <w:pPr>
        <w:pStyle w:val="Heading3"/>
      </w:pPr>
      <w:r>
        <w:t xml:space="preserve">Estados Unidos</w:t>
      </w:r>
    </w:p>
    <w:p>
      <w:pPr>
        <w:numPr>
          <w:ilvl w:val="0"/>
          <w:numId w:val="1015"/>
        </w:numPr>
        <w:pStyle w:val="Compact"/>
      </w:pPr>
      <w:r>
        <w:t xml:space="preserve">U.S. Bureau of Labor Statistics, Occupational Outlook Handbook:</w:t>
      </w:r>
      <w:r>
        <w:t xml:space="preserve"> </w:t>
      </w:r>
      <w:hyperlink r:id="rId48">
        <w:r>
          <w:rPr>
            <w:rStyle w:val="Hyperlink"/>
          </w:rPr>
          <w:t xml:space="preserve">https://www.bls.gov/ooh/production/water-and-wastewater-treatment-plant-and-system-operators.htm</w:t>
        </w:r>
      </w:hyperlink>
    </w:p>
    <w:p>
      <w:pPr>
        <w:numPr>
          <w:ilvl w:val="0"/>
          <w:numId w:val="1015"/>
        </w:numPr>
        <w:pStyle w:val="Compact"/>
      </w:pPr>
      <w:r>
        <w:t xml:space="preserve">O*NET OnLine, 51-8031.00:</w:t>
      </w:r>
      <w:r>
        <w:t xml:space="preserve"> </w:t>
      </w:r>
      <w:hyperlink r:id="rId49">
        <w:r>
          <w:rPr>
            <w:rStyle w:val="Hyperlink"/>
          </w:rPr>
          <w:t xml:space="preserve">https://www.onetonline.org/link/summary/51-8031.00</w:t>
        </w:r>
      </w:hyperlink>
    </w:p>
    <w:p>
      <w:pPr>
        <w:numPr>
          <w:ilvl w:val="0"/>
          <w:numId w:val="1015"/>
        </w:numPr>
        <w:pStyle w:val="Compact"/>
      </w:pPr>
      <w:r>
        <w:t xml:space="preserve">U.S. EPA, Summary of State Operator Certification Programs:</w:t>
      </w:r>
      <w:r>
        <w:t xml:space="preserve"> </w:t>
      </w:r>
      <w:hyperlink r:id="rId50">
        <w:r>
          <w:rPr>
            <w:rStyle w:val="Hyperlink"/>
          </w:rPr>
          <w:t xml:space="preserve">https://www.epa.gov/system/files/documents/2025-01/summary_of_state_operator_certification_programs.pdf</w:t>
        </w:r>
      </w:hyperlink>
    </w:p>
    <w:p>
      <w:pPr>
        <w:numPr>
          <w:ilvl w:val="0"/>
          <w:numId w:val="1015"/>
        </w:numPr>
        <w:pStyle w:val="Compact"/>
      </w:pPr>
      <w:r>
        <w:t xml:space="preserve">OSHA, Hydrogen Sulfide in Workplaces:</w:t>
      </w:r>
      <w:r>
        <w:t xml:space="preserve"> </w:t>
      </w:r>
      <w:hyperlink r:id="rId51">
        <w:r>
          <w:rPr>
            <w:rStyle w:val="Hyperlink"/>
          </w:rPr>
          <w:t xml:space="preserve">https://www.osha.gov/hydrogen-sulfide/hydrogen-sulfide-workplaces</w:t>
        </w:r>
      </w:hyperlink>
    </w:p>
    <w:p>
      <w:pPr>
        <w:numPr>
          <w:ilvl w:val="0"/>
          <w:numId w:val="1015"/>
        </w:numPr>
        <w:pStyle w:val="Compact"/>
      </w:pPr>
      <w:r>
        <w:t xml:space="preserve">OSHA, Permit-Required Confined Spaces:</w:t>
      </w:r>
      <w:r>
        <w:t xml:space="preserve"> </w:t>
      </w:r>
      <w:hyperlink r:id="rId52">
        <w:r>
          <w:rPr>
            <w:rStyle w:val="Hyperlink"/>
          </w:rPr>
          <w:t xml:space="preserve">https://www.osha.gov/laws-regs/regulations/standardnumber/1910/1910.146</w:t>
        </w:r>
      </w:hyperlink>
    </w:p>
    <w:p>
      <w:pPr>
        <w:numPr>
          <w:ilvl w:val="0"/>
          <w:numId w:val="1015"/>
        </w:numPr>
        <w:pStyle w:val="Compact"/>
      </w:pPr>
      <w:r>
        <w:t xml:space="preserve">OSHA, Hazard Communication:</w:t>
      </w:r>
      <w:r>
        <w:t xml:space="preserve"> </w:t>
      </w:r>
      <w:hyperlink r:id="rId53">
        <w:r>
          <w:rPr>
            <w:rStyle w:val="Hyperlink"/>
          </w:rPr>
          <w:t xml:space="preserve">https://www.osha.gov/laws-regs/regulations/standardnumber/1910/1910.1200</w:t>
        </w:r>
      </w:hyperlink>
    </w:p>
    <w:p>
      <w:pPr>
        <w:numPr>
          <w:ilvl w:val="0"/>
          <w:numId w:val="1015"/>
        </w:numPr>
        <w:pStyle w:val="Compact"/>
      </w:pPr>
      <w:r>
        <w:t xml:space="preserve">OSHA, Bloodborne Pathogens:</w:t>
      </w:r>
      <w:r>
        <w:t xml:space="preserve"> </w:t>
      </w:r>
      <w:hyperlink r:id="rId54">
        <w:r>
          <w:rPr>
            <w:rStyle w:val="Hyperlink"/>
          </w:rPr>
          <w:t xml:space="preserve">https://www.osha.gov/laws-regs/regulations/standardnumber/1910/1910.1030</w:t>
        </w:r>
      </w:hyperlink>
    </w:p>
    <w:p>
      <w:pPr>
        <w:numPr>
          <w:ilvl w:val="0"/>
          <w:numId w:val="1015"/>
        </w:numPr>
        <w:pStyle w:val="Compact"/>
      </w:pPr>
      <w:r>
        <w:t xml:space="preserve">OSHA, Control of Hazardous Energy (Lockout/Tagout):</w:t>
      </w:r>
      <w:r>
        <w:t xml:space="preserve"> </w:t>
      </w:r>
      <w:hyperlink r:id="rId55">
        <w:r>
          <w:rPr>
            <w:rStyle w:val="Hyperlink"/>
          </w:rPr>
          <w:t xml:space="preserve">https://www.osha.gov/laws-regs/regulations/standardnumber/1910/1910.147</w:t>
        </w:r>
      </w:hyperlink>
    </w:p>
    <w:p>
      <w:pPr>
        <w:numPr>
          <w:ilvl w:val="0"/>
          <w:numId w:val="1015"/>
        </w:numPr>
        <w:pStyle w:val="Compact"/>
      </w:pPr>
      <w:r>
        <w:t xml:space="preserve">Apprenticeship.gov:</w:t>
      </w:r>
      <w:r>
        <w:t xml:space="preserve"> </w:t>
      </w:r>
      <w:hyperlink r:id="rId56">
        <w:r>
          <w:rPr>
            <w:rStyle w:val="Hyperlink"/>
          </w:rPr>
          <w:t xml:space="preserve">https://www.apprenticeship.gov/</w:t>
        </w:r>
      </w:hyperlink>
    </w:p>
    <w:p>
      <w:pPr>
        <w:numPr>
          <w:ilvl w:val="0"/>
          <w:numId w:val="1015"/>
        </w:numPr>
        <w:pStyle w:val="Compact"/>
      </w:pPr>
      <w:r>
        <w:t xml:space="preserve">Federal Student Aid, FAFSA student steps:</w:t>
      </w:r>
      <w:r>
        <w:t xml:space="preserve"> </w:t>
      </w:r>
      <w:hyperlink r:id="rId57">
        <w:r>
          <w:rPr>
            <w:rStyle w:val="Hyperlink"/>
          </w:rPr>
          <w:t xml:space="preserve">https://studentaid.gov/articles/fafsa-student-steps/</w:t>
        </w:r>
      </w:hyperlink>
    </w:p>
    <w:bookmarkEnd w:id="58"/>
    <w:bookmarkStart w:id="63" w:name="canadá-2"/>
    <w:p>
      <w:pPr>
        <w:pStyle w:val="Heading3"/>
      </w:pPr>
      <w:r>
        <w:t xml:space="preserve">Canadá</w:t>
      </w:r>
    </w:p>
    <w:p>
      <w:pPr>
        <w:numPr>
          <w:ilvl w:val="0"/>
          <w:numId w:val="1016"/>
        </w:numPr>
        <w:pStyle w:val="Compact"/>
      </w:pPr>
      <w:r>
        <w:t xml:space="preserve">Government of Canada Job Bank, wages:</w:t>
      </w:r>
      <w:r>
        <w:t xml:space="preserve"> </w:t>
      </w:r>
      <w:hyperlink r:id="rId59">
        <w:r>
          <w:rPr>
            <w:rStyle w:val="Hyperlink"/>
          </w:rPr>
          <w:t xml:space="preserve">https://www.jobbank.gc.ca/marketreport/wages-occupation/20827/ca</w:t>
        </w:r>
      </w:hyperlink>
    </w:p>
    <w:p>
      <w:pPr>
        <w:numPr>
          <w:ilvl w:val="0"/>
          <w:numId w:val="1016"/>
        </w:numPr>
        <w:pStyle w:val="Compact"/>
      </w:pPr>
      <w:r>
        <w:t xml:space="preserve">Government of Canada Job Bank, requirements:</w:t>
      </w:r>
      <w:r>
        <w:t xml:space="preserve"> </w:t>
      </w:r>
      <w:hyperlink r:id="rId60">
        <w:r>
          <w:rPr>
            <w:rStyle w:val="Hyperlink"/>
          </w:rPr>
          <w:t xml:space="preserve">https://www.jobbank.gc.ca/marketreport/requirements/20827/ca</w:t>
        </w:r>
      </w:hyperlink>
    </w:p>
    <w:p>
      <w:pPr>
        <w:numPr>
          <w:ilvl w:val="0"/>
          <w:numId w:val="1016"/>
        </w:numPr>
        <w:pStyle w:val="Compact"/>
      </w:pPr>
      <w:r>
        <w:t xml:space="preserve">Health Canada, drinking water:</w:t>
      </w:r>
      <w:r>
        <w:t xml:space="preserve"> </w:t>
      </w:r>
      <w:hyperlink r:id="rId61">
        <w:r>
          <w:rPr>
            <w:rStyle w:val="Hyperlink"/>
          </w:rPr>
          <w:t xml:space="preserve">https://www.canada.ca/en/health-canada/services/environment/drinking-water.html</w:t>
        </w:r>
      </w:hyperlink>
    </w:p>
    <w:p>
      <w:pPr>
        <w:numPr>
          <w:ilvl w:val="0"/>
          <w:numId w:val="1016"/>
        </w:numPr>
        <w:pStyle w:val="Compact"/>
      </w:pPr>
      <w:r>
        <w:t xml:space="preserve">Environment and Climate Change Canada, wastewater:</w:t>
      </w:r>
      <w:r>
        <w:t xml:space="preserve"> </w:t>
      </w:r>
      <w:hyperlink r:id="rId62">
        <w:r>
          <w:rPr>
            <w:rStyle w:val="Hyperlink"/>
          </w:rPr>
          <w:t xml:space="preserve">https://www.canada.ca/en/environment-climate-change/services/wastewater.html</w:t>
        </w:r>
      </w:hyperlink>
    </w:p>
    <w:bookmarkEnd w:id="63"/>
    <w:bookmarkStart w:id="69" w:name="colômbia-1"/>
    <w:p>
      <w:pPr>
        <w:pStyle w:val="Heading3"/>
      </w:pPr>
      <w:r>
        <w:t xml:space="preserve">Colômbia</w:t>
      </w:r>
    </w:p>
    <w:p>
      <w:pPr>
        <w:numPr>
          <w:ilvl w:val="0"/>
          <w:numId w:val="1017"/>
        </w:numPr>
        <w:pStyle w:val="Compact"/>
      </w:pPr>
      <w:r>
        <w:t xml:space="preserve">SENA/Betowa, Operación de sistemas de potabilización de agua:</w:t>
      </w:r>
      <w:r>
        <w:t xml:space="preserve"> </w:t>
      </w:r>
      <w:hyperlink r:id="rId64">
        <w:r>
          <w:rPr>
            <w:rStyle w:val="Hyperlink"/>
          </w:rPr>
          <w:t xml:space="preserve">https://betowa.sena.edu.co/oferta/operacion-de-sistemas-de-potabilizacion-de-agua?level=2&amp;modality=P&amp;programId=106</w:t>
        </w:r>
      </w:hyperlink>
    </w:p>
    <w:p>
      <w:pPr>
        <w:numPr>
          <w:ilvl w:val="0"/>
          <w:numId w:val="1017"/>
        </w:numPr>
        <w:pStyle w:val="Compact"/>
      </w:pPr>
      <w:r>
        <w:t xml:space="preserve">SENA/Betowa, Saneamiento y salud ambiental:</w:t>
      </w:r>
      <w:r>
        <w:t xml:space="preserve"> </w:t>
      </w:r>
      <w:hyperlink r:id="rId65">
        <w:r>
          <w:rPr>
            <w:rStyle w:val="Hyperlink"/>
          </w:rPr>
          <w:t xml:space="preserve">https://betowa.sena.edu.co/oferta/saneamiento-y-salud-ambiental?modality=P&amp;programId=167494</w:t>
        </w:r>
      </w:hyperlink>
    </w:p>
    <w:p>
      <w:pPr>
        <w:numPr>
          <w:ilvl w:val="0"/>
          <w:numId w:val="1017"/>
        </w:numPr>
        <w:pStyle w:val="Compact"/>
      </w:pPr>
      <w:r>
        <w:t xml:space="preserve">SENA/Betowa, Análisis de riesgos en sistemas de agua y saneamiento:</w:t>
      </w:r>
      <w:r>
        <w:t xml:space="preserve"> </w:t>
      </w:r>
      <w:hyperlink r:id="rId66">
        <w:r>
          <w:rPr>
            <w:rStyle w:val="Hyperlink"/>
          </w:rPr>
          <w:t xml:space="preserve">https://betowa.sena.edu.co/oferta/analisis-de-riesgos-en-sistemas-de-agua-y-saneamiento?location=57041298&amp;modality=V&amp;programId=173414</w:t>
        </w:r>
      </w:hyperlink>
    </w:p>
    <w:p>
      <w:pPr>
        <w:numPr>
          <w:ilvl w:val="0"/>
          <w:numId w:val="1017"/>
        </w:numPr>
        <w:pStyle w:val="Compact"/>
      </w:pPr>
      <w:r>
        <w:t xml:space="preserve">Ministry of Housing, RAS Title C:</w:t>
      </w:r>
      <w:r>
        <w:t xml:space="preserve"> </w:t>
      </w:r>
      <w:hyperlink r:id="rId67">
        <w:r>
          <w:rPr>
            <w:rStyle w:val="Hyperlink"/>
          </w:rPr>
          <w:t xml:space="preserve">https://ventanilla.minvivienda.gov.co/sites/default/files/documentos/titulo-c-dic-4-2013.pdf</w:t>
        </w:r>
      </w:hyperlink>
    </w:p>
    <w:p>
      <w:pPr>
        <w:numPr>
          <w:ilvl w:val="0"/>
          <w:numId w:val="1017"/>
        </w:numPr>
        <w:pStyle w:val="Compact"/>
      </w:pPr>
      <w:r>
        <w:t xml:space="preserve">Resolution 2115 of 2007:</w:t>
      </w:r>
      <w:r>
        <w:t xml:space="preserve"> </w:t>
      </w:r>
      <w:hyperlink r:id="rId68">
        <w:r>
          <w:rPr>
            <w:rStyle w:val="Hyperlink"/>
          </w:rPr>
          <w:t xml:space="preserve">https://ventanilla.minvivienda.gov.co/sites/default/files/normativa/2115%20-%202007.pdf</w:t>
        </w:r>
      </w:hyperlink>
    </w:p>
    <w:bookmarkEnd w:id="69"/>
    <w:bookmarkStart w:id="72" w:name="américa-latina-e-caribe-1"/>
    <w:p>
      <w:pPr>
        <w:pStyle w:val="Heading3"/>
      </w:pPr>
      <w:r>
        <w:t xml:space="preserve">América Latina e Caribe</w:t>
      </w:r>
    </w:p>
    <w:p>
      <w:pPr>
        <w:numPr>
          <w:ilvl w:val="0"/>
          <w:numId w:val="1018"/>
        </w:numPr>
        <w:pStyle w:val="Compact"/>
      </w:pPr>
      <w:r>
        <w:t xml:space="preserve">OIT/Cinterfor institutional network:</w:t>
      </w:r>
      <w:r>
        <w:t xml:space="preserve"> </w:t>
      </w:r>
      <w:hyperlink r:id="rId70">
        <w:r>
          <w:rPr>
            <w:rStyle w:val="Hyperlink"/>
          </w:rPr>
          <w:t xml:space="preserve">https://www.oitcinterfor.org/red-institucional</w:t>
        </w:r>
      </w:hyperlink>
    </w:p>
    <w:p>
      <w:pPr>
        <w:numPr>
          <w:ilvl w:val="0"/>
          <w:numId w:val="1018"/>
        </w:numPr>
        <w:pStyle w:val="Compact"/>
      </w:pPr>
      <w:r>
        <w:t xml:space="preserve">OIT/Cinterfor REDIFP resources:</w:t>
      </w:r>
      <w:r>
        <w:t xml:space="preserve"> </w:t>
      </w:r>
      <w:hyperlink r:id="rId71">
        <w:r>
          <w:rPr>
            <w:rStyle w:val="Hyperlink"/>
          </w:rPr>
          <w:t xml:space="preserve">https://www.oitcinterfor.org/recursos/redIFP</w:t>
        </w:r>
      </w:hyperlink>
    </w:p>
    <w:bookmarkEnd w:id="72"/>
    <w:bookmarkEnd w:id="73"/>
    <w:bookmarkStart w:id="74" w:name="limitações-e-não-garantias"/>
    <w:p>
      <w:pPr>
        <w:pStyle w:val="Heading2"/>
      </w:pPr>
      <w:r>
        <w:t xml:space="preserve">Limitações e não garantias</w:t>
      </w:r>
    </w:p>
    <w:p>
      <w:pPr>
        <w:pStyle w:val="FirstParagraph"/>
      </w:pPr>
      <w:r>
        <w:t xml:space="preserve">Este guia não garante emprego, salários, vagas, admissão, financiamento, aprendizagem, certificação, licenciamento, reciprocidade, autorização, promoção ou rendimentos.</w:t>
      </w:r>
    </w:p>
    <w:p>
      <w:pPr>
        <w:pStyle w:val="BodyText"/>
      </w:pPr>
      <w:r>
        <w:t xml:space="preserve">Os requisitos podem mudar. Verifique regras atuais junto às autoridades competentes de certificação, água potável, esgoto, meio ambiente, trabalho/segurança, educação, acreditação e empregadores antes de gastar dinheiro ou depender de uma credencial.</w:t>
      </w:r>
    </w:p>
    <w:p>
      <w:pPr>
        <w:pStyle w:val="BodyText"/>
      </w:pPr>
      <w:r>
        <w:t xml:space="preserve">Este guia não afirma revisão humana independente, certificação profissional de tradução, certificação de acessibilidade, revisão jurídica, revisão de conformidade ambiental, aprovação laboratorial, aprovação de engenharia, autorização elétrica, revisão de higiene industrial, revisão médica, qualificação para espaço confinado ou resgate, determinação de licença de operador, acreditação nem aconselhamento financeiro.</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betowa.sena.edu.co/oferta/analisis-de-riesgos-en-sistemas-de-agua-y-saneamiento?location=57041298&amp;modality=V&amp;programId=173414" TargetMode="External" /><Relationship Type="http://schemas.openxmlformats.org/officeDocument/2006/relationships/hyperlink" Id="rId64" Target="https://betowa.sena.edu.co/oferta/operacion-de-sistemas-de-potabilizacion-de-agua?level=2&amp;modality=P&amp;programId=106" TargetMode="External" /><Relationship Type="http://schemas.openxmlformats.org/officeDocument/2006/relationships/hyperlink" Id="rId65" Target="https://betowa.sena.edu.co/oferta/saneamiento-y-salud-ambiental?modality=P&amp;programId=167494" TargetMode="External" /><Relationship Type="http://schemas.openxmlformats.org/officeDocument/2006/relationships/hyperlink" Id="rId57" Target="https://studentaid.gov/articles/fafsa-student-steps/" TargetMode="External" /><Relationship Type="http://schemas.openxmlformats.org/officeDocument/2006/relationships/hyperlink" Id="rId67" Target="https://ventanilla.minvivienda.gov.co/sites/default/files/documentos/titulo-c-dic-4-2013.pdf" TargetMode="External" /><Relationship Type="http://schemas.openxmlformats.org/officeDocument/2006/relationships/hyperlink" Id="rId68" Target="https://ventanilla.minvivienda.gov.co/sites/default/files/normativa/2115%20-%202007.pdf" TargetMode="External" /><Relationship Type="http://schemas.openxmlformats.org/officeDocument/2006/relationships/hyperlink" Id="rId56" Target="https://www.apprenticeship.gov/" TargetMode="External" /><Relationship Type="http://schemas.openxmlformats.org/officeDocument/2006/relationships/hyperlink" Id="rId48" Target="https://www.bls.gov/ooh/production/water-and-wastewater-treatment-plant-and-system-operators.htm" TargetMode="External" /><Relationship Type="http://schemas.openxmlformats.org/officeDocument/2006/relationships/hyperlink" Id="rId62" Target="https://www.canada.ca/en/environment-climate-change/services/wastewater.html" TargetMode="External" /><Relationship Type="http://schemas.openxmlformats.org/officeDocument/2006/relationships/hyperlink" Id="rId61" Target="https://www.canada.ca/en/health-canada/services/environment/drinking-water.html" TargetMode="External" /><Relationship Type="http://schemas.openxmlformats.org/officeDocument/2006/relationships/hyperlink" Id="rId50" Target="https://www.epa.gov/system/files/documents/2025-01/summary_of_state_operator_certification_programs.pdf" TargetMode="External" /><Relationship Type="http://schemas.openxmlformats.org/officeDocument/2006/relationships/hyperlink" Id="rId60" Target="https://www.jobbank.gc.ca/marketreport/requirements/20827/ca" TargetMode="External" /><Relationship Type="http://schemas.openxmlformats.org/officeDocument/2006/relationships/hyperlink" Id="rId59" Target="https://www.jobbank.gc.ca/marketreport/wages-occupation/20827/ca" TargetMode="External" /><Relationship Type="http://schemas.openxmlformats.org/officeDocument/2006/relationships/hyperlink" Id="rId71" Target="https://www.oitcinterfor.org/recursos/redIFP" TargetMode="External" /><Relationship Type="http://schemas.openxmlformats.org/officeDocument/2006/relationships/hyperlink" Id="rId70" Target="https://www.oitcinterfor.org/red-institucional" TargetMode="External" /><Relationship Type="http://schemas.openxmlformats.org/officeDocument/2006/relationships/hyperlink" Id="rId49" Target="https://www.onetonline.org/link/summary/51-8031.00" TargetMode="External" /><Relationship Type="http://schemas.openxmlformats.org/officeDocument/2006/relationships/hyperlink" Id="rId51" Target="https://www.osha.gov/hydrogen-sulfide/hydrogen-sulfide-workplaces" TargetMode="External" /><Relationship Type="http://schemas.openxmlformats.org/officeDocument/2006/relationships/hyperlink" Id="rId54" Target="https://www.osha.gov/laws-regs/regulations/standardnumber/1910/1910.1030" TargetMode="External" /><Relationship Type="http://schemas.openxmlformats.org/officeDocument/2006/relationships/hyperlink" Id="rId53" Target="https://www.osha.gov/laws-regs/regulations/standardnumber/1910/1910.1200" TargetMode="External" /><Relationship Type="http://schemas.openxmlformats.org/officeDocument/2006/relationships/hyperlink" Id="rId52" Target="https://www.osha.gov/laws-regs/regulations/standardnumber/1910/1910.146" TargetMode="External" /><Relationship Type="http://schemas.openxmlformats.org/officeDocument/2006/relationships/hyperlink" Id="rId55"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6" Target="https://betowa.sena.edu.co/oferta/analisis-de-riesgos-en-sistemas-de-agua-y-saneamiento?location=57041298&amp;modality=V&amp;programId=173414" TargetMode="External" /><Relationship Type="http://schemas.openxmlformats.org/officeDocument/2006/relationships/hyperlink" Id="rId64" Target="https://betowa.sena.edu.co/oferta/operacion-de-sistemas-de-potabilizacion-de-agua?level=2&amp;modality=P&amp;programId=106" TargetMode="External" /><Relationship Type="http://schemas.openxmlformats.org/officeDocument/2006/relationships/hyperlink" Id="rId65" Target="https://betowa.sena.edu.co/oferta/saneamiento-y-salud-ambiental?modality=P&amp;programId=167494" TargetMode="External" /><Relationship Type="http://schemas.openxmlformats.org/officeDocument/2006/relationships/hyperlink" Id="rId57" Target="https://studentaid.gov/articles/fafsa-student-steps/" TargetMode="External" /><Relationship Type="http://schemas.openxmlformats.org/officeDocument/2006/relationships/hyperlink" Id="rId67" Target="https://ventanilla.minvivienda.gov.co/sites/default/files/documentos/titulo-c-dic-4-2013.pdf" TargetMode="External" /><Relationship Type="http://schemas.openxmlformats.org/officeDocument/2006/relationships/hyperlink" Id="rId68" Target="https://ventanilla.minvivienda.gov.co/sites/default/files/normativa/2115%20-%202007.pdf" TargetMode="External" /><Relationship Type="http://schemas.openxmlformats.org/officeDocument/2006/relationships/hyperlink" Id="rId56" Target="https://www.apprenticeship.gov/" TargetMode="External" /><Relationship Type="http://schemas.openxmlformats.org/officeDocument/2006/relationships/hyperlink" Id="rId48" Target="https://www.bls.gov/ooh/production/water-and-wastewater-treatment-plant-and-system-operators.htm" TargetMode="External" /><Relationship Type="http://schemas.openxmlformats.org/officeDocument/2006/relationships/hyperlink" Id="rId62" Target="https://www.canada.ca/en/environment-climate-change/services/wastewater.html" TargetMode="External" /><Relationship Type="http://schemas.openxmlformats.org/officeDocument/2006/relationships/hyperlink" Id="rId61" Target="https://www.canada.ca/en/health-canada/services/environment/drinking-water.html" TargetMode="External" /><Relationship Type="http://schemas.openxmlformats.org/officeDocument/2006/relationships/hyperlink" Id="rId50" Target="https://www.epa.gov/system/files/documents/2025-01/summary_of_state_operator_certification_programs.pdf" TargetMode="External" /><Relationship Type="http://schemas.openxmlformats.org/officeDocument/2006/relationships/hyperlink" Id="rId60" Target="https://www.jobbank.gc.ca/marketreport/requirements/20827/ca" TargetMode="External" /><Relationship Type="http://schemas.openxmlformats.org/officeDocument/2006/relationships/hyperlink" Id="rId59" Target="https://www.jobbank.gc.ca/marketreport/wages-occupation/20827/ca" TargetMode="External" /><Relationship Type="http://schemas.openxmlformats.org/officeDocument/2006/relationships/hyperlink" Id="rId71" Target="https://www.oitcinterfor.org/recursos/redIFP" TargetMode="External" /><Relationship Type="http://schemas.openxmlformats.org/officeDocument/2006/relationships/hyperlink" Id="rId70" Target="https://www.oitcinterfor.org/red-institucional" TargetMode="External" /><Relationship Type="http://schemas.openxmlformats.org/officeDocument/2006/relationships/hyperlink" Id="rId49" Target="https://www.onetonline.org/link/summary/51-8031.00" TargetMode="External" /><Relationship Type="http://schemas.openxmlformats.org/officeDocument/2006/relationships/hyperlink" Id="rId51" Target="https://www.osha.gov/hydrogen-sulfide/hydrogen-sulfide-workplaces" TargetMode="External" /><Relationship Type="http://schemas.openxmlformats.org/officeDocument/2006/relationships/hyperlink" Id="rId54" Target="https://www.osha.gov/laws-regs/regulations/standardnumber/1910/1910.1030" TargetMode="External" /><Relationship Type="http://schemas.openxmlformats.org/officeDocument/2006/relationships/hyperlink" Id="rId53" Target="https://www.osha.gov/laws-regs/regulations/standardnumber/1910/1910.1200" TargetMode="External" /><Relationship Type="http://schemas.openxmlformats.org/officeDocument/2006/relationships/hyperlink" Id="rId52" Target="https://www.osha.gov/laws-regs/regulations/standardnumber/1910/1910.146" TargetMode="External" /><Relationship Type="http://schemas.openxmlformats.org/officeDocument/2006/relationships/hyperlink" Id="rId55"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2026-08-18T12:02:25Z</dcterms:created>
  <dcterms:modified xsi:type="dcterms:W3CDTF">2026-08-18T12:02:25Z</dcterms:modified>
</cp:coreProperties>
</file>

<file path=docProps/custom.xml><?xml version="1.0" encoding="utf-8"?>
<Properties xmlns="http://schemas.openxmlformats.org/officeDocument/2006/custom-properties" xmlns:vt="http://schemas.openxmlformats.org/officeDocument/2006/docPropsVTypes"/>
</file>