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guia-46--técnico-de-campo-ambiental"/>
    <w:p>
      <w:pPr>
        <w:pStyle w:val="Heading1"/>
      </w:pPr>
      <w:r>
        <w:t xml:space="preserve">Guia 46 — Técnico de Campo Ambiental</w:t>
      </w:r>
    </w:p>
    <w:p>
      <w:pPr>
        <w:pStyle w:val="FirstParagraph"/>
      </w:pPr>
      <w:r>
        <w:rPr>
          <w:bCs/>
          <w:b/>
        </w:rPr>
        <w:t xml:space="preserve">Mestre de trabalho controlado em português brasileiro — versão 2.0</w:t>
      </w:r>
      <w:r>
        <w:br/>
      </w:r>
      <w:r>
        <w:rPr>
          <w:bCs/>
          <w:b/>
        </w:rPr>
        <w:t xml:space="preserve">Data da revisão:</w:t>
      </w:r>
      <w:r>
        <w:t xml:space="preserve"> </w:t>
      </w:r>
      <w:r>
        <w:t xml:space="preserve">18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Técnicos de campo ambiental ajudam a coletar, documentar, monitorar e organizar informações ambientais usadas por cientistas, engenheiros, laboratórios, órgãos públicos, consultorias, concessionárias de serviços públicos, equipes de construção, programas de remediação e outras organizações. Dependendo do cargo, o trabalho pode envolver ar, solo, água subterrânea, água superficial, águas residuais, resíduos, instalações industriais, questões de saúde pública, equipamentos de monitoramento, observações de campo ou registros ambientais.</w:t>
      </w:r>
    </w:p>
    <w:p>
      <w:pPr>
        <w:pStyle w:val="BodyText"/>
      </w:pPr>
      <w:r>
        <w:t xml:space="preserve">Nos Estados Unidos, a âncora ocupacional mais sólida para este guia é</w:t>
      </w:r>
      <w:r>
        <w:t xml:space="preserve"> </w:t>
      </w:r>
      <w:r>
        <w:rPr>
          <w:bCs/>
          <w:b/>
        </w:rPr>
        <w:t xml:space="preserve">Environmental Science and Protection Technicians, Including Health — SOC 19-4042 / O*NET 19-4042.00</w:t>
      </w:r>
      <w:r>
        <w:t xml:space="preserve">. O BLS descreve técnicos que monitoram o ambiente, investigam fontes de poluição ou contaminação, coletam e rastreiam amostras, trabalham com instrumentos e informações laboratoriais e frequentemente atuam sob supervisão de cientistas ambientais. O O*NET descreve explicitamente testes de campo e laboratório realizados sob a direção de um cientista ambiental, engenheiro ou outro especialista.</w:t>
      </w:r>
    </w:p>
    <w:p>
      <w:pPr>
        <w:pStyle w:val="BodyText"/>
      </w:pPr>
      <w:r>
        <w:t xml:space="preserve">Empregadores podem usar títulos como técnico ambiental, técnico de campo, técnico de campo ambiental, técnico de ciências ambientais, técnico de amostragem, técnico de qualidade da água, técnico de monitoramento ambiental, técnico de remediação ou técnico de engenharia ambiental. Títulos semelhantes podem envolver matrizes, locais, perigos, credenciais, autoridade de reporte, viagens, direção, demandas físicas e responsabilidades legais muito diferentes.</w:t>
      </w:r>
    </w:p>
    <w:p>
      <w:pPr>
        <w:pStyle w:val="BodyText"/>
      </w:pPr>
      <w:r>
        <w:t xml:space="preserve">O título do cargo, por si só, não autoriza uma pessoa a entrar em local perigoso ou espaço confinado, selecionar método de amostragem, escolher conservantes químicos, emitir determinações regulatórias, certificar conformidade, assinar resultados laboratoriais, operar equipamentos especializados, selecionar respirador, perturbar material contaminado, realizar resposta a emergências ou declarar um local seguro. Essas tarefas dependem do projeto, jurisdição, empregador, plano ou procedimento aprovado, avaliação de perigos, treinamento, supervisão e autorização.</w:t>
      </w:r>
    </w:p>
    <w:p>
      <w:pPr>
        <w:pStyle w:val="BodyText"/>
      </w:pPr>
      <w:r>
        <w:t xml:space="preserve">Este guia apoia a exploração profissional. Não é método de amostragem, plano de saúde e segurança do local, plano de garantia de qualidade, procedimento de cadeia de custódia, método laboratorial, interpretação de licença ambiental, curso HAZWOPER, programa de proteção respiratória, programa de espaço confinado, plano de resposta a emergências nem autorização para realizar trabalho regulado.</w:t>
      </w:r>
    </w:p>
    <w:bookmarkEnd w:id="20"/>
    <w:bookmarkStart w:id="21" w:name="o-que-os-técnicos-realmente-fazem"/>
    <w:p>
      <w:pPr>
        <w:pStyle w:val="Heading2"/>
      </w:pPr>
      <w:r>
        <w:t xml:space="preserve">O que os técnicos realmente fazem</w:t>
      </w:r>
    </w:p>
    <w:p>
      <w:pPr>
        <w:pStyle w:val="FirstParagraph"/>
      </w:pPr>
      <w:r>
        <w:t xml:space="preserve">Dependendo do empregador, projeto, treinamento e autorização, o trabalho pode incluir:</w:t>
      </w:r>
    </w:p>
    <w:p>
      <w:pPr>
        <w:numPr>
          <w:ilvl w:val="0"/>
          <w:numId w:val="1001"/>
        </w:numPr>
        <w:pStyle w:val="Compact"/>
      </w:pPr>
      <w:r>
        <w:t xml:space="preserve">revisar instruções do projeto, ordens de serviço, plantas do local, informações de segurança, planos de amostragem, procedimentos operacionais padrão, licenças e requisitos de qualidade;</w:t>
      </w:r>
    </w:p>
    <w:p>
      <w:pPr>
        <w:numPr>
          <w:ilvl w:val="0"/>
          <w:numId w:val="1001"/>
        </w:numPr>
        <w:pStyle w:val="Compact"/>
      </w:pPr>
      <w:r>
        <w:t xml:space="preserve">inspecionar ou observar condições ambientais e registrar somente o que foi realmente visto, medido ou relatado;</w:t>
      </w:r>
    </w:p>
    <w:p>
      <w:pPr>
        <w:numPr>
          <w:ilvl w:val="0"/>
          <w:numId w:val="1001"/>
        </w:numPr>
        <w:pStyle w:val="Compact"/>
      </w:pPr>
      <w:r>
        <w:t xml:space="preserve">coletar ou apoiar a coleta aprovada de amostras de ar, solo, água, águas residuais, sedimentos, resíduos ou outras matrizes conforme procedimentos específicos do projeto;</w:t>
      </w:r>
    </w:p>
    <w:p>
      <w:pPr>
        <w:numPr>
          <w:ilvl w:val="0"/>
          <w:numId w:val="1001"/>
        </w:numPr>
        <w:pStyle w:val="Compact"/>
      </w:pPr>
      <w:r>
        <w:t xml:space="preserve">rotular, conservar, embalar, documentar e transferir amostras conforme o método aprovado e o processo de cadeia de custódia;</w:t>
      </w:r>
    </w:p>
    <w:p>
      <w:pPr>
        <w:numPr>
          <w:ilvl w:val="0"/>
          <w:numId w:val="1001"/>
        </w:numPr>
        <w:pStyle w:val="Compact"/>
      </w:pPr>
      <w:r>
        <w:t xml:space="preserve">instalar, verificar, limpar ou manter instrumentos de campo dentro dos procedimentos e competências designados;</w:t>
      </w:r>
    </w:p>
    <w:p>
      <w:pPr>
        <w:numPr>
          <w:ilvl w:val="0"/>
          <w:numId w:val="1001"/>
        </w:numPr>
        <w:pStyle w:val="Compact"/>
      </w:pPr>
      <w:r>
        <w:t xml:space="preserve">registrar identificação do instrumento, dados exigidos de calibração ou verificação, condições de campo, IDs de amostra, horários, locais, observações e desvios;</w:t>
      </w:r>
    </w:p>
    <w:p>
      <w:pPr>
        <w:numPr>
          <w:ilvl w:val="0"/>
          <w:numId w:val="1001"/>
        </w:numPr>
        <w:pStyle w:val="Compact"/>
      </w:pPr>
      <w:r>
        <w:t xml:space="preserve">fotografar ou mapear locais aprovados protegendo informações sensíveis e seguindo as regras do cliente e do local;</w:t>
      </w:r>
    </w:p>
    <w:p>
      <w:pPr>
        <w:numPr>
          <w:ilvl w:val="0"/>
          <w:numId w:val="1001"/>
        </w:numPr>
        <w:pStyle w:val="Compact"/>
      </w:pPr>
      <w:r>
        <w:t xml:space="preserve">preparar notas de campo, registros, tabelas, mapas, resumos ou pacotes de dados para revisão;</w:t>
      </w:r>
    </w:p>
    <w:p>
      <w:pPr>
        <w:numPr>
          <w:ilvl w:val="0"/>
          <w:numId w:val="1001"/>
        </w:numPr>
        <w:pStyle w:val="Compact"/>
      </w:pPr>
      <w:r>
        <w:t xml:space="preserve">transportar equipamentos ou amostras conforme requisitos aplicáveis de embalagem, custódia, temperatura, envio e segurança;</w:t>
      </w:r>
    </w:p>
    <w:p>
      <w:pPr>
        <w:numPr>
          <w:ilvl w:val="0"/>
          <w:numId w:val="1001"/>
        </w:numPr>
        <w:pStyle w:val="Compact"/>
      </w:pPr>
      <w:r>
        <w:t xml:space="preserve">comunicar condições inesperadas, equipamentos danificados, leituras anômalas, problemas de amostra, derramamentos, condições inseguras, problemas de acesso ou desvios;</w:t>
      </w:r>
    </w:p>
    <w:p>
      <w:pPr>
        <w:numPr>
          <w:ilvl w:val="0"/>
          <w:numId w:val="1001"/>
        </w:numPr>
        <w:pStyle w:val="Compact"/>
      </w:pPr>
      <w:r>
        <w:t xml:space="preserve">coordenar com cientistas, engenheiros, pessoal de laboratório, gerentes de projeto, profissionais de saúde e segurança, representantes do local, reguladores, contratados e outros técnicos; e</w:t>
      </w:r>
    </w:p>
    <w:p>
      <w:pPr>
        <w:numPr>
          <w:ilvl w:val="0"/>
          <w:numId w:val="1001"/>
        </w:numPr>
        <w:pStyle w:val="Compact"/>
      </w:pPr>
      <w:r>
        <w:t xml:space="preserve">interromper e escalar quando a tarefa, condição do local, identidade da amostra, perigo, procedimento, dado ou autorização forem incertos.</w:t>
      </w:r>
    </w:p>
    <w:p>
      <w:pPr>
        <w:pStyle w:val="FirstParagraph"/>
      </w:pPr>
      <w:r>
        <w:t xml:space="preserve">BLS e O*NET descrevem tarefas ocupacionais amplas. Eles não estabelecem que todo trabalhador iniciante possa executar todas as tarefas. Um técnico novo pode começar com observações supervisionadas, preparação de equipamentos, documentação, apoio de baixo risco à amostragem, logística e funções de assistente de campo antes de avançar pelo processo de qualificação do empregador e do projeto.</w:t>
      </w:r>
    </w:p>
    <w:bookmarkEnd w:id="21"/>
    <w:bookmarkStart w:id="22" w:name="ambiente-de-trabalho-e-horários"/>
    <w:p>
      <w:pPr>
        <w:pStyle w:val="Heading2"/>
      </w:pPr>
      <w:r>
        <w:t xml:space="preserve">Ambiente de trabalho e horários</w:t>
      </w:r>
    </w:p>
    <w:p>
      <w:pPr>
        <w:pStyle w:val="FirstParagraph"/>
      </w:pPr>
      <w:r>
        <w:t xml:space="preserve">Técnicos ambientais podem trabalhar em escritórios, laboratórios, instalações industriais, áreas de construção, concessionárias, espaços públicos, terrenos não urbanizados, margens de estradas, corpos d'água, locais de remediação e regiões remotas. O BLS observa que o trabalho de campo pode ocorrer ao ar livre e em condições climáticas adversas. Técnicos podem passar bastante tempo em pé ou caminhando e podem carregar equipamentos.</w:t>
      </w:r>
    </w:p>
    <w:p>
      <w:pPr>
        <w:pStyle w:val="BodyText"/>
      </w:pPr>
      <w:r>
        <w:t xml:space="preserve">Os horários dependem da designação. Alguns empregos têm horário diurno regular; outros exigem início muito cedo, longos dias de viagem, pernoites, adaptação aos horários do cliente, trabalho sazonal, janelas de amostragem, horários não convencionais ou resposta urgente. Um cargo com amostragem rotineira de água subterrânea pode ser muito diferente de investigação em local perigoso, monitoramento de construção, apoio de higiene ocupacional, levantamentos ecológicos ou trabalho centrado em laboratório.</w:t>
      </w:r>
    </w:p>
    <w:p>
      <w:pPr>
        <w:pStyle w:val="BodyText"/>
      </w:pPr>
      <w:r>
        <w:t xml:space="preserve">Antes de aceitar um cargo, pergunte onde ocorre o trabalho de campo, quanto de viagem e direção é esperado, se trabalho solitário é permitido, como atrasos climáticos são tratados, que equipamentos precisam ser carregados, quais perigos são comuns, qual treinamento o empregador fornece e quais tarefas são proibidas até a qualificação.</w:t>
      </w:r>
    </w:p>
    <w:bookmarkEnd w:id="22"/>
    <w:bookmarkStart w:id="23" w:name="demandas-físicas"/>
    <w:p>
      <w:pPr>
        <w:pStyle w:val="Heading2"/>
      </w:pPr>
      <w:r>
        <w:t xml:space="preserve">Demandas físicas</w:t>
      </w:r>
    </w:p>
    <w:p>
      <w:pPr>
        <w:pStyle w:val="FirstParagraph"/>
      </w:pPr>
      <w:r>
        <w:t xml:space="preserve">O trabalho de campo pode exigir ficar em pé, caminhar em terreno irregular, curvar-se, ajoelhar-se, alcançar objetos, carregar caixas térmicas ou instrumentos, carregar veículos, usar escadas, trabalhar perto da água e executar tarefas repetitivas de documentação ou manuseio de amostras. As condições podem incluir calor, frio, chuva, sol, lama, insetos, vegetação, ruído, trânsito, poeira, odores e acesso limitado.</w:t>
      </w:r>
    </w:p>
    <w:p>
      <w:pPr>
        <w:pStyle w:val="BodyText"/>
      </w:pPr>
      <w:r>
        <w:t xml:space="preserve">As exigências físicas variam conforme o trabalho real. Quando os perigos e as funções essenciais justificarem, empregadores podem estabelecer requisitos legais relacionados a direção, levantamento de peso, EPI, respirador, vigilância médica, vacinação, aptidão para o trabalho ou resposta a emergências.</w:t>
      </w:r>
    </w:p>
    <w:p>
      <w:pPr>
        <w:pStyle w:val="BodyText"/>
      </w:pPr>
      <w:r>
        <w:t xml:space="preserve">Não trate demandas físicas como prova de resistência. Pergunte como o empregador controla levantamento de peso, calor e frio, escorregões e quedas, trânsito, fadiga, trabalho remoto, exposição, comunicações, trabalho próximo à água ou aberturas e resposta a emergências, e como acomodações legais são tratadas no cargo real.</w:t>
      </w:r>
    </w:p>
    <w:bookmarkEnd w:id="23"/>
    <w:bookmarkStart w:id="24" w:name="segurança-vem-antes-da-produção"/>
    <w:p>
      <w:pPr>
        <w:pStyle w:val="Heading2"/>
      </w:pPr>
      <w:r>
        <w:t xml:space="preserve">Segurança vem antes da produção</w:t>
      </w:r>
    </w:p>
    <w:p>
      <w:pPr>
        <w:pStyle w:val="FirstParagraph"/>
      </w:pPr>
      <w:r>
        <w:t xml:space="preserve">O trabalho ambiental de campo pode expor pessoas a veículos em movimento, trânsito, escorregões e quedas, clima severo, calor ou frio, fauna e insetos, solo ou água contaminados, produtos químicos, objetos perfurocortantes, material biológico, equipamentos industriais, ruído, superfícies instáveis, escavações abertas, corpos d'água, atmosferas desconhecidas, resíduos perigosos e outros perigos específicos do local.</w:t>
      </w:r>
    </w:p>
    <w:p>
      <w:pPr>
        <w:pStyle w:val="BodyText"/>
      </w:pPr>
      <w:r>
        <w:t xml:space="preserve">Não improvise manuseio de materiais perigosos, resposta a derramamentos, amostragem intrusiva, química de descontaminação, seleção de respirador, entrada ou resgate em espaço confinado, entrada em escavação, trabalho energizado, controle de trânsito, trabalho em altura, resposta a emergências nem descarte. Use somente procedimentos aprovados pelo empregador, avaliação de perigos, funções treinadas, EPI exigido, comunicações, permissões e supervisão.</w:t>
      </w:r>
    </w:p>
    <w:p>
      <w:pPr>
        <w:pStyle w:val="BodyText"/>
      </w:pPr>
      <w:r>
        <w:t xml:space="preserve">Interrompa o trabalho e escale quando:</w:t>
      </w:r>
    </w:p>
    <w:p>
      <w:pPr>
        <w:numPr>
          <w:ilvl w:val="0"/>
          <w:numId w:val="1002"/>
        </w:numPr>
        <w:pStyle w:val="Compact"/>
      </w:pPr>
      <w:r>
        <w:t xml:space="preserve">uma tarefa estiver fora do seu treinamento, função designada, procedimento escrito ou autorização do empregador;</w:t>
      </w:r>
    </w:p>
    <w:p>
      <w:pPr>
        <w:numPr>
          <w:ilvl w:val="0"/>
          <w:numId w:val="1002"/>
        </w:numPr>
        <w:pStyle w:val="Compact"/>
      </w:pPr>
      <w:r>
        <w:t xml:space="preserve">plano de amostragem, método, local, matriz, recipiente, conservação, tempo de retenção ou identidade da amostra não estiverem claros;</w:t>
      </w:r>
    </w:p>
    <w:p>
      <w:pPr>
        <w:numPr>
          <w:ilvl w:val="0"/>
          <w:numId w:val="1002"/>
        </w:numPr>
        <w:pStyle w:val="Compact"/>
      </w:pPr>
      <w:r>
        <w:t xml:space="preserve">houver substância desconhecida, recipiente sem rótulo, vapor visível, odor forte ou inesperado, poeira incomum, película, mancha, líquido, gás, resíduo ou rejeito;</w:t>
      </w:r>
    </w:p>
    <w:p>
      <w:pPr>
        <w:numPr>
          <w:ilvl w:val="0"/>
          <w:numId w:val="1002"/>
        </w:numPr>
        <w:pStyle w:val="Compact"/>
      </w:pPr>
      <w:r>
        <w:t xml:space="preserve">você apresentar sintomas ou um monitor/alarme indicar condição potencialmente insegura;</w:t>
      </w:r>
    </w:p>
    <w:p>
      <w:pPr>
        <w:numPr>
          <w:ilvl w:val="0"/>
          <w:numId w:val="1002"/>
        </w:numPr>
        <w:pStyle w:val="Compact"/>
      </w:pPr>
      <w:r>
        <w:t xml:space="preserve">o EPI exigido estiver ausente, danificado, aparentemente incompatível ou não tiver sido claramente selecionado pela avaliação de perigos do empregador;</w:t>
      </w:r>
    </w:p>
    <w:p>
      <w:pPr>
        <w:numPr>
          <w:ilvl w:val="0"/>
          <w:numId w:val="1002"/>
        </w:numPr>
        <w:pStyle w:val="Compact"/>
      </w:pPr>
      <w:r>
        <w:t xml:space="preserve">um respirador parecer necessário, mas você não estiver coberto pelo programa de proteção respiratória exigido ou a atmosfera for incerta;</w:t>
      </w:r>
    </w:p>
    <w:p>
      <w:pPr>
        <w:numPr>
          <w:ilvl w:val="0"/>
          <w:numId w:val="1002"/>
        </w:numPr>
        <w:pStyle w:val="Compact"/>
      </w:pPr>
      <w:r>
        <w:t xml:space="preserve">poço, bueiro, galeria, tanque, esgoto, vaso, vala, escavação, espaço de acesso reduzido ou outro local puder criar risco de espaço confinado, soterramento, colapso ou atmosfera perigosa;</w:t>
      </w:r>
    </w:p>
    <w:p>
      <w:pPr>
        <w:numPr>
          <w:ilvl w:val="0"/>
          <w:numId w:val="1002"/>
        </w:numPr>
        <w:pStyle w:val="Compact"/>
      </w:pPr>
      <w:r>
        <w:t xml:space="preserve">trânsito, equipamentos móveis, terreno instável, água aberta, risco de queda, clima severo, raios, calor, frio, fauna, segurança física ou condições de acesso não estiverem controlados;</w:t>
      </w:r>
    </w:p>
    <w:p>
      <w:pPr>
        <w:numPr>
          <w:ilvl w:val="0"/>
          <w:numId w:val="1002"/>
        </w:numPr>
        <w:pStyle w:val="Compact"/>
      </w:pPr>
      <w:r>
        <w:t xml:space="preserve">identidade, estado, calibração/verificação, condição de contaminação ou estado operacional seguro de um equipamento forem incertos;</w:t>
      </w:r>
    </w:p>
    <w:p>
      <w:pPr>
        <w:numPr>
          <w:ilvl w:val="0"/>
          <w:numId w:val="1002"/>
        </w:numPr>
        <w:pStyle w:val="Compact"/>
      </w:pPr>
      <w:r>
        <w:t xml:space="preserve">rótulo de amostra, lacre, caixa térmica, formulário de custódia, horário, local, medição, fotografia ou registro de campo não corresponderem ao registro do projeto;</w:t>
      </w:r>
    </w:p>
    <w:p>
      <w:pPr>
        <w:numPr>
          <w:ilvl w:val="0"/>
          <w:numId w:val="1002"/>
        </w:numPr>
        <w:pStyle w:val="Compact"/>
      </w:pPr>
      <w:r>
        <w:t xml:space="preserve">resultado ou observação inesperados gerarem pressão para alterar, omitir, preencher retroativamente ou normalizar dados de campo;</w:t>
      </w:r>
    </w:p>
    <w:p>
      <w:pPr>
        <w:numPr>
          <w:ilvl w:val="0"/>
          <w:numId w:val="1002"/>
        </w:numPr>
        <w:pStyle w:val="Compact"/>
      </w:pPr>
      <w:r>
        <w:t xml:space="preserve">faltarem comunicações, supervisão, arranjos de emergência, procedimentos de check-in ou cobertura por segunda pessoa quando exigida; ou</w:t>
      </w:r>
    </w:p>
    <w:p>
      <w:pPr>
        <w:numPr>
          <w:ilvl w:val="0"/>
          <w:numId w:val="1002"/>
        </w:numPr>
        <w:pStyle w:val="Compact"/>
      </w:pPr>
      <w:r>
        <w:t xml:space="preserve">pressão de cronograma, produção, cliente ou custo entrar em conflito com controles de segurança, ambientais, de qualidade de dados ou legais.</w:t>
      </w:r>
    </w:p>
    <w:bookmarkEnd w:id="24"/>
    <w:bookmarkStart w:id="25" w:name="X736dd87d5a1d9fac479dfc2e10ccc4a99245921"/>
    <w:p>
      <w:pPr>
        <w:pStyle w:val="Heading2"/>
      </w:pPr>
      <w:r>
        <w:t xml:space="preserve">Limites de resíduos perigosos e contaminação desconhecida</w:t>
      </w:r>
    </w:p>
    <w:p>
      <w:pPr>
        <w:pStyle w:val="FirstParagraph"/>
      </w:pPr>
      <w:r>
        <w:t xml:space="preserve">Alguns empregos de técnico ambiental envolvem locais de resíduos perigosos ou materiais contaminados; muitos não. Nos Estados Unidos, OSHA</w:t>
      </w:r>
      <w:r>
        <w:t xml:space="preserve"> </w:t>
      </w:r>
      <w:r>
        <w:rPr>
          <w:bCs/>
          <w:b/>
        </w:rPr>
        <w:t xml:space="preserve">29 CFR 1910.120</w:t>
      </w:r>
      <w:r>
        <w:t xml:space="preserve"> </w:t>
      </w:r>
      <w:r>
        <w:t xml:space="preserve">aplica-se somente a operações dentro de seu escopo definido de resíduos perigosos e resposta a emergências. O BLS afirma que técnicos cujo trabalho envolve resíduos perigosos normalmente precisam de treinamento que atenda aos padrões da OSHA, mas isso não significa que todo técnico de campo ambiental precise de HAZWOPER.</w:t>
      </w:r>
    </w:p>
    <w:p>
      <w:pPr>
        <w:pStyle w:val="BodyText"/>
      </w:pPr>
      <w:r>
        <w:t xml:space="preserve">Não entre nem trabalhe em local perigoso apenas porque um curso, certificado on-line ou título de emprego fez você se sentir preparado. O empregador deve determinar se a operação está abrangida, quais perigos existem, quais treinamentos e disposições médicas se aplicam, quais zonas e controles de trabalho são necessários e quais tarefas você está autorizado a realizar.</w:t>
      </w:r>
    </w:p>
    <w:p>
      <w:pPr>
        <w:pStyle w:val="BodyText"/>
      </w:pPr>
      <w:r>
        <w:t xml:space="preserve">Contaminação desconhecida deve ser tratada como desconhecida — não inferida por cor, odor, histórico do local, resposta de IA ou instrumento portátil usado fora de sua aplicação aprovada. Se o material, atmosfera, status do local ou controle de exposição forem incertos, interrompa o trabalho e contate o pessoal responsável pelo projeto e segurança.</w:t>
      </w:r>
    </w:p>
    <w:bookmarkEnd w:id="25"/>
    <w:bookmarkStart w:id="26" w:name="epi-respiradores-e-perigos-químicos"/>
    <w:p>
      <w:pPr>
        <w:pStyle w:val="Heading2"/>
      </w:pPr>
      <w:r>
        <w:t xml:space="preserve">EPI, respiradores e perigos químicos</w:t>
      </w:r>
    </w:p>
    <w:p>
      <w:pPr>
        <w:pStyle w:val="FirstParagraph"/>
      </w:pPr>
      <w:r>
        <w:t xml:space="preserve">OSHA</w:t>
      </w:r>
      <w:r>
        <w:t xml:space="preserve"> </w:t>
      </w:r>
      <w:r>
        <w:rPr>
          <w:bCs/>
          <w:b/>
        </w:rPr>
        <w:t xml:space="preserve">29 CFR 1910.132</w:t>
      </w:r>
      <w:r>
        <w:t xml:space="preserve"> </w:t>
      </w:r>
      <w:r>
        <w:t xml:space="preserve">exige que empregadores abrangidos avaliem os perigos do local de trabalho e selecionem EPI apropriado para esses perigos. Portanto, não existe uma lista universal de EPI para campo ambiental que seja correta para todos os locais.</w:t>
      </w:r>
    </w:p>
    <w:p>
      <w:pPr>
        <w:pStyle w:val="BodyText"/>
      </w:pPr>
      <w:r>
        <w:t xml:space="preserve">OSHA</w:t>
      </w:r>
      <w:r>
        <w:t xml:space="preserve"> </w:t>
      </w:r>
      <w:r>
        <w:rPr>
          <w:bCs/>
          <w:b/>
        </w:rPr>
        <w:t xml:space="preserve">29 CFR 1910.134</w:t>
      </w:r>
      <w:r>
        <w:t xml:space="preserve"> </w:t>
      </w:r>
      <w:r>
        <w:t xml:space="preserve">coloca o uso obrigatório de respiradores dentro de um programa escrito e específico do local de trabalho, incluindo avaliação de perigos, seleção de respirador, avaliação médica, teste de vedação quando aplicável, uso, manutenção, treinamento e avaliação do programa. Não selecione por conta própria respirador, cartucho, filtro, fator de proteção ou cronograma de troca com base em publicação na internet, guia profissional ou resposta de IA.</w:t>
      </w:r>
    </w:p>
    <w:p>
      <w:pPr>
        <w:pStyle w:val="BodyText"/>
      </w:pPr>
      <w:r>
        <w:t xml:space="preserve">OSHA</w:t>
      </w:r>
      <w:r>
        <w:t xml:space="preserve"> </w:t>
      </w:r>
      <w:r>
        <w:rPr>
          <w:bCs/>
          <w:b/>
        </w:rPr>
        <w:t xml:space="preserve">29 CFR 1910.1200</w:t>
      </w:r>
      <w:r>
        <w:t xml:space="preserve"> </w:t>
      </w:r>
      <w:r>
        <w:t xml:space="preserve">exige que empregadores abrangidos comuniquem perigos químicos por rótulos, fichas de dados de segurança, advertências e treinamento. Projetos ambientais podem usar conservantes de amostra, produtos de descontaminação, combustíveis, gases de calibração ou produtos químicos de laboratório, ou encontrar químicos de processo e substâncias desconhecidas.</w:t>
      </w:r>
    </w:p>
    <w:p>
      <w:pPr>
        <w:pStyle w:val="BodyText"/>
      </w:pPr>
      <w:r>
        <w:t xml:space="preserve">Não misture, neutralize, transfira, abra, descarte ou manipule de outra forma um produto químico ou material contaminado, a menos que a tarefa esteja coberta pelo seu treinamento, procedimento aprovado do projeto, sistema de comunicação de perigos e autorização do empregador. Informe imediatamente recipientes danificados, rótulos ausentes, materiais incompatíveis, derramamentos ou sintomas pelo processo do local.</w:t>
      </w:r>
    </w:p>
    <w:bookmarkEnd w:id="26"/>
    <w:bookmarkStart w:id="27" w:name="X4fad04ab467c5ef0b5563d5320ab77f06662cd4"/>
    <w:p>
      <w:pPr>
        <w:pStyle w:val="Heading2"/>
      </w:pPr>
      <w:r>
        <w:t xml:space="preserve">Espaços confinados e outros limites de alto risco</w:t>
      </w:r>
    </w:p>
    <w:p>
      <w:pPr>
        <w:pStyle w:val="FirstParagraph"/>
      </w:pPr>
      <w:r>
        <w:t xml:space="preserve">Pontos de amostragem ambiental podem ficar próximos a bueiros, galerias, tanques, poços, fossas, espaços reduzidos, escavações, valas, equipamentos industriais, telhados, corpos d'água ou trânsito. O local da amostra não cria permissão para entrar ou alcançar uma área perigosa.</w:t>
      </w:r>
    </w:p>
    <w:p>
      <w:pPr>
        <w:pStyle w:val="BodyText"/>
      </w:pPr>
      <w:r>
        <w:t xml:space="preserve">OSHA</w:t>
      </w:r>
      <w:r>
        <w:t xml:space="preserve"> </w:t>
      </w:r>
      <w:r>
        <w:rPr>
          <w:bCs/>
          <w:b/>
        </w:rPr>
        <w:t xml:space="preserve">29 CFR 1910.146</w:t>
      </w:r>
      <w:r>
        <w:t xml:space="preserve"> </w:t>
      </w:r>
      <w:r>
        <w:t xml:space="preserve">exige que empregadores abrangidos na indústria geral avaliem o local de trabalho quanto a espaços confinados que exigem permissão e estabelece programas do empregador, funções definidas, avaliação de perigos, isolamento/controle, permissões, monitoramento, comunicações e disposições de resgate quando há entrada.</w:t>
      </w:r>
    </w:p>
    <w:p>
      <w:pPr>
        <w:pStyle w:val="BodyText"/>
      </w:pPr>
      <w:r>
        <w:t xml:space="preserve">Este guia não ensina classificação de espaços confinados, testes atmosféricos para autorização de entrada, ventilação, funções de vigia, supervisão de entrada ou resgate. Nunca entre em espaço incerto nem tente resgate improvisado.</w:t>
      </w:r>
    </w:p>
    <w:p>
      <w:pPr>
        <w:pStyle w:val="BodyText"/>
      </w:pPr>
      <w:r>
        <w:t xml:space="preserve">Da mesma forma, não entre em escavação, trabalhe em altura, controle trânsito, trabalhe sobre ou próximo à água, acesse equipamentos energizados, abra sistemas de processo, perturbe material suspeito de amianto, chumbo ou outro perigo, nem realize resposta a emergências, a menos que a designação real, regulamentação, programa do empregador, treinamento, equipamento e autorização permitam.</w:t>
      </w:r>
    </w:p>
    <w:bookmarkEnd w:id="27"/>
    <w:bookmarkStart w:id="28" w:name="amostragem-de-campo-e-cadeia-de-custódia"/>
    <w:p>
      <w:pPr>
        <w:pStyle w:val="Heading2"/>
      </w:pPr>
      <w:r>
        <w:t xml:space="preserve">Amostragem de campo e cadeia de custódia</w:t>
      </w:r>
    </w:p>
    <w:p>
      <w:pPr>
        <w:pStyle w:val="FirstParagraph"/>
      </w:pPr>
      <w:r>
        <w:t xml:space="preserve">A amostragem ambiental é trabalho controlado. O método correto depende do objetivo do projeto, matriz, analito, programa regulatório, plano de amostragem aprovado, procedimento operacional padrão, método analítico, instruções do laboratório, recipientes, conservação, tempo de retenção, requisitos de controle de qualidade, condições do local e legislação aplicável.</w:t>
      </w:r>
    </w:p>
    <w:p>
      <w:pPr>
        <w:pStyle w:val="BodyText"/>
      </w:pPr>
      <w:r>
        <w:t xml:space="preserve">Os recursos de qualidade da EPA sustentam o princípio de que informações ambientais devem ser coletadas sob controles de qualidade documentados. Materiais da EPA sobre coleta também demonstram o papel dos registros de campo, identificação única da amostra, data/hora e local de coleta, e registros de cadeia de custódia para proteger a integridade da amostra.</w:t>
      </w:r>
    </w:p>
    <w:p>
      <w:pPr>
        <w:pStyle w:val="BodyText"/>
      </w:pPr>
      <w:r>
        <w:t xml:space="preserve">Esses recursos não são uma receita universal. Um procedimento de determinado programa, matriz, contaminante ou cenário da EPA não deve ser copiado para outro projeto sem aprovação.</w:t>
      </w:r>
    </w:p>
    <w:p>
      <w:pPr>
        <w:pStyle w:val="BodyText"/>
      </w:pPr>
      <w:r>
        <w:t xml:space="preserve">Antes de amostrar, verifique pelo sistema aprovado do projeto:</w:t>
      </w:r>
    </w:p>
    <w:p>
      <w:pPr>
        <w:numPr>
          <w:ilvl w:val="0"/>
          <w:numId w:val="1003"/>
        </w:numPr>
        <w:pStyle w:val="Compact"/>
      </w:pPr>
      <w:r>
        <w:t xml:space="preserve">local exato e ponto de amostra;</w:t>
      </w:r>
    </w:p>
    <w:p>
      <w:pPr>
        <w:numPr>
          <w:ilvl w:val="0"/>
          <w:numId w:val="1003"/>
        </w:numPr>
        <w:pStyle w:val="Compact"/>
      </w:pPr>
      <w:r>
        <w:t xml:space="preserve">matriz e análises solicitadas;</w:t>
      </w:r>
    </w:p>
    <w:p>
      <w:pPr>
        <w:numPr>
          <w:ilvl w:val="0"/>
          <w:numId w:val="1003"/>
        </w:numPr>
        <w:pStyle w:val="Compact"/>
      </w:pPr>
      <w:r>
        <w:t xml:space="preserve">método ou SOP aprovado;</w:t>
      </w:r>
    </w:p>
    <w:p>
      <w:pPr>
        <w:numPr>
          <w:ilvl w:val="0"/>
          <w:numId w:val="1003"/>
        </w:numPr>
        <w:pStyle w:val="Compact"/>
      </w:pPr>
      <w:r>
        <w:t xml:space="preserve">recipiente, volume, conservação, tempo de retenção e requisitos de manuseio;</w:t>
      </w:r>
    </w:p>
    <w:p>
      <w:pPr>
        <w:numPr>
          <w:ilvl w:val="0"/>
          <w:numId w:val="1003"/>
        </w:numPr>
        <w:pStyle w:val="Compact"/>
      </w:pPr>
      <w:r>
        <w:t xml:space="preserve">amostras de controle de qualidade e documentação exigidas;</w:t>
      </w:r>
    </w:p>
    <w:p>
      <w:pPr>
        <w:numPr>
          <w:ilvl w:val="0"/>
          <w:numId w:val="1003"/>
        </w:numPr>
        <w:pStyle w:val="Compact"/>
      </w:pPr>
      <w:r>
        <w:t xml:space="preserve">requisitos de instrumentos e calibração/verificação;</w:t>
      </w:r>
    </w:p>
    <w:p>
      <w:pPr>
        <w:numPr>
          <w:ilvl w:val="0"/>
          <w:numId w:val="1003"/>
        </w:numPr>
        <w:pStyle w:val="Compact"/>
      </w:pPr>
      <w:r>
        <w:t xml:space="preserve">IDs de amostra, rótulos, lacres, formulários de campo e processo de cadeia de custódia;</w:t>
      </w:r>
    </w:p>
    <w:p>
      <w:pPr>
        <w:numPr>
          <w:ilvl w:val="0"/>
          <w:numId w:val="1003"/>
        </w:numPr>
        <w:pStyle w:val="Compact"/>
      </w:pPr>
      <w:r>
        <w:t xml:space="preserve">requisitos de embalagem, resfriamento, envio e entrega; e</w:t>
      </w:r>
    </w:p>
    <w:p>
      <w:pPr>
        <w:numPr>
          <w:ilvl w:val="0"/>
          <w:numId w:val="1003"/>
        </w:numPr>
        <w:pStyle w:val="Compact"/>
      </w:pPr>
      <w:r>
        <w:t xml:space="preserve">pessoa autorizada a resolver desvios ou condições inesperadas.</w:t>
      </w:r>
    </w:p>
    <w:p>
      <w:pPr>
        <w:pStyle w:val="FirstParagraph"/>
      </w:pPr>
      <w:r>
        <w:t xml:space="preserve">Se qualquer elemento controlado estiver incerto, pare e pergunte. Não improvise porque o transportador do laboratório está chegando, um cliente está esperando ou o cronograma está apertado.</w:t>
      </w:r>
    </w:p>
    <w:bookmarkEnd w:id="28"/>
    <w:bookmarkStart w:id="29" w:name="X5b452918b8bab3a2ef2a905caf772644106b732"/>
    <w:p>
      <w:pPr>
        <w:pStyle w:val="Heading2"/>
      </w:pPr>
      <w:r>
        <w:t xml:space="preserve">Qualidade dos dados, calibração, registros e limites de conformidade</w:t>
      </w:r>
    </w:p>
    <w:p>
      <w:pPr>
        <w:pStyle w:val="FirstParagraph"/>
      </w:pPr>
      <w:r>
        <w:t xml:space="preserve">Dados ambientais de campo podem influenciar decisões de engenharia, remediação, saúde pública, licenças, fiscalização, litígios, decisões de clientes e conclusões científicas. Exatidão e rastreabilidade importam.</w:t>
      </w:r>
    </w:p>
    <w:p>
      <w:pPr>
        <w:pStyle w:val="BodyText"/>
      </w:pPr>
      <w:r>
        <w:t xml:space="preserve">Registre apenas o que você realmente observou, mediu, recebeu ou fez. Use unidades, identificadores, horários, formato de localização, ID do instrumento e formulário de campo exigidos. Siga o procedimento de correção do projeto em vez de apagar, sobrescrever, retrodatá-lo ou ocultar um erro.</w:t>
      </w:r>
    </w:p>
    <w:p>
      <w:pPr>
        <w:pStyle w:val="BodyText"/>
      </w:pPr>
      <w:r>
        <w:t xml:space="preserve">Se um instrumento exigir calibração ou verificação, siga o procedimento aprovado e registre o resultado exigido. Não invente calibração, reutilize valor antigo, ajuste leitura para combinar com expectativa nem declare instrumento aceitável fora da sua autoridade designada.</w:t>
      </w:r>
    </w:p>
    <w:p>
      <w:pPr>
        <w:pStyle w:val="BodyText"/>
      </w:pPr>
      <w:r>
        <w:t xml:space="preserve">Uma medição incomum não é automaticamente errada. Preserve a observação original, repita ou verifique somente quando o procedimento aprovado permitir, documente o ocorrido e escale anomalias. Nunca elimine silenciosamente um valor atípico nem substitua por número plausível.</w:t>
      </w:r>
    </w:p>
    <w:p>
      <w:pPr>
        <w:pStyle w:val="BodyText"/>
      </w:pPr>
      <w:r>
        <w:t xml:space="preserve">Um técnico pode coletar dados usados em trabalho de conformidade, mas coleta de dados não é o mesmo que autoridade legal para determinar conformidade. Não assine, certifique, libere ou caracterize resultado como conforme/não conforme, a menos que essa responsabilidade esteja explicitamente dentro da sua função autorizada.</w:t>
      </w:r>
    </w:p>
    <w:bookmarkEnd w:id="29"/>
    <w:bookmarkStart w:id="30" w:name="Xbec340027ea1ed841be70e6e1f3a2356b4b83a0"/>
    <w:p>
      <w:pPr>
        <w:pStyle w:val="Heading2"/>
      </w:pPr>
      <w:r>
        <w:t xml:space="preserve">Cibersegurança, privacidade e dados sensíveis de localização</w:t>
      </w:r>
    </w:p>
    <w:p>
      <w:pPr>
        <w:pStyle w:val="FirstParagraph"/>
      </w:pPr>
      <w:r>
        <w:t xml:space="preserve">Projetos ambientais podem envolver sistemas de clientes, instalações industriais, infraestrutura crítica, propriedade privada, locais de investigação, geolocalização, fotografias, credenciais de acesso, resultados laboratoriais, informações pessoais e achados ambientais não publicados.</w:t>
      </w:r>
    </w:p>
    <w:p>
      <w:pPr>
        <w:pStyle w:val="BodyText"/>
      </w:pPr>
      <w:r>
        <w:t xml:space="preserve">Use apenas dispositivos, aplicativos, contas, armazenamento, métodos de transferência de arquivos e serviços de nuvem aprovados pelo empregador. Proteja credenciais, códigos de acesso, instruções de entrada, diagramas de instalações, locais de amostragem, arranjos de segurança, dados de instalações reguladas, informações de incidentes, contatos de clientes, registros laboratoriais e fotografias conforme política e legislação.</w:t>
      </w:r>
    </w:p>
    <w:p>
      <w:pPr>
        <w:pStyle w:val="BodyText"/>
      </w:pPr>
      <w:r>
        <w:t xml:space="preserve">Não envie fotografias sensíveis do local, coordenadas, formulários de cadeia de custódia, arquivos do cliente, registros de campo, resultados laboratoriais, detalhes de acesso ou informações reguladas para um serviço público de IA, a menos que o empregador tenha aprovado explicitamente esse sistema e uso dos dados.</w:t>
      </w:r>
    </w:p>
    <w:p>
      <w:pPr>
        <w:pStyle w:val="BodyText"/>
      </w:pPr>
      <w:r>
        <w:t xml:space="preserve">Se um dispositivo for perdido, uma conta for comprometida, um arquivo for enviado à pessoa errada ou informações sensíveis forem expostas, informe prontamente pelo processo de incidentes do empregador em vez de tentar ocultar ou corrigir por conta própria.</w:t>
      </w:r>
    </w:p>
    <w:bookmarkEnd w:id="30"/>
    <w:bookmarkStart w:id="31" w:name="Xec39930e61c04b9d0dfa2da01ff9d27d1f62e1a"/>
    <w:p>
      <w:pPr>
        <w:pStyle w:val="Heading2"/>
      </w:pPr>
      <w:r>
        <w:t xml:space="preserve">Habilidades valorizadas pelos empregadores</w:t>
      </w:r>
    </w:p>
    <w:p>
      <w:pPr>
        <w:pStyle w:val="FirstParagraph"/>
      </w:pPr>
      <w:r>
        <w:t xml:space="preserve">Empregadores frequentemente valorizam:</w:t>
      </w:r>
    </w:p>
    <w:p>
      <w:pPr>
        <w:numPr>
          <w:ilvl w:val="0"/>
          <w:numId w:val="1004"/>
        </w:numPr>
        <w:pStyle w:val="Compact"/>
      </w:pPr>
      <w:r>
        <w:t xml:space="preserve">leitura cuidadosa de planos, SOPs, formulários de campo, rótulos, informações de segurança e instruções de trabalho;</w:t>
      </w:r>
    </w:p>
    <w:p>
      <w:pPr>
        <w:numPr>
          <w:ilvl w:val="0"/>
          <w:numId w:val="1004"/>
        </w:numPr>
        <w:pStyle w:val="Compact"/>
      </w:pPr>
      <w:r>
        <w:t xml:space="preserve">observação, medição, identificação de amostras e documentação precisas;</w:t>
      </w:r>
    </w:p>
    <w:p>
      <w:pPr>
        <w:numPr>
          <w:ilvl w:val="0"/>
          <w:numId w:val="1004"/>
        </w:numPr>
        <w:pStyle w:val="Compact"/>
      </w:pPr>
      <w:r>
        <w:t xml:space="preserve">fundamentos de química, biologia, ciência ambiental, matemática, estatística e informática adequados ao cargo;</w:t>
      </w:r>
    </w:p>
    <w:p>
      <w:pPr>
        <w:numPr>
          <w:ilvl w:val="0"/>
          <w:numId w:val="1004"/>
        </w:numPr>
        <w:pStyle w:val="Compact"/>
      </w:pPr>
      <w:r>
        <w:t xml:space="preserve">logística de campo confiável, cuidado com equipamentos e organização do veículo;</w:t>
      </w:r>
    </w:p>
    <w:p>
      <w:pPr>
        <w:numPr>
          <w:ilvl w:val="0"/>
          <w:numId w:val="1004"/>
        </w:numPr>
        <w:pStyle w:val="Compact"/>
      </w:pPr>
      <w:r>
        <w:t xml:space="preserve">disciplina de cadeia de custódia e registros;</w:t>
      </w:r>
    </w:p>
    <w:p>
      <w:pPr>
        <w:numPr>
          <w:ilvl w:val="0"/>
          <w:numId w:val="1004"/>
        </w:numPr>
        <w:pStyle w:val="Compact"/>
      </w:pPr>
      <w:r>
        <w:t xml:space="preserve">atenção a mudanças em clima, trânsito, terreno, acesso, contaminação e outras condições do local;</w:t>
      </w:r>
    </w:p>
    <w:p>
      <w:pPr>
        <w:numPr>
          <w:ilvl w:val="0"/>
          <w:numId w:val="1004"/>
        </w:numPr>
        <w:pStyle w:val="Compact"/>
      </w:pPr>
      <w:r>
        <w:t xml:space="preserve">disposição para interromper e escalar incerteza em vez de adivinhar;</w:t>
      </w:r>
    </w:p>
    <w:p>
      <w:pPr>
        <w:numPr>
          <w:ilvl w:val="0"/>
          <w:numId w:val="1004"/>
        </w:numPr>
        <w:pStyle w:val="Compact"/>
      </w:pPr>
      <w:r>
        <w:t xml:space="preserve">comunicação com cientistas, engenheiros, laboratórios, gerentes de projeto, pessoal do local e clientes;</w:t>
      </w:r>
    </w:p>
    <w:p>
      <w:pPr>
        <w:numPr>
          <w:ilvl w:val="0"/>
          <w:numId w:val="1004"/>
        </w:numPr>
        <w:pStyle w:val="Compact"/>
      </w:pPr>
      <w:r>
        <w:t xml:space="preserve">familiaridade com planilhas, mapas, formulários digitais, ferramentas de GPS/localização, fotografias e sistemas de dados controlados quando autorizados; e</w:t>
      </w:r>
    </w:p>
    <w:p>
      <w:pPr>
        <w:numPr>
          <w:ilvl w:val="0"/>
          <w:numId w:val="1004"/>
        </w:numPr>
        <w:pStyle w:val="Compact"/>
      </w:pPr>
      <w:r>
        <w:t xml:space="preserve">respeito pelo escopo do projeto, programas de segurança, sistemas de qualidade, privacidade e limites regulatórios.</w:t>
      </w:r>
    </w:p>
    <w:p>
      <w:pPr>
        <w:pStyle w:val="FirstParagraph"/>
      </w:pPr>
      <w:r>
        <w:t xml:space="preserve">Não se descreva como cientista, engenheiro, tecnólogo profissional, profissional ambiental certificado, higienista ocupacional, regulador, trabalhador qualificado HAZWOPER, usuário qualificado de respirador, participante/resgatista de espaço confinado, analista de laboratório ou autoridade de conformidade, a menos que você realmente tenha a educação, credencial, treinamento ou autorização do empregador exigidos para essa afirmação.</w:t>
      </w:r>
    </w:p>
    <w:bookmarkEnd w:id="31"/>
    <w:bookmarkStart w:id="36" w:name="educação-e-caminhos-de-entrada"/>
    <w:p>
      <w:pPr>
        <w:pStyle w:val="Heading2"/>
      </w:pPr>
      <w:r>
        <w:t xml:space="preserve">Educação e caminhos de entrada</w:t>
      </w:r>
    </w:p>
    <w:bookmarkStart w:id="32" w:name="estados-unidos"/>
    <w:p>
      <w:pPr>
        <w:pStyle w:val="Heading3"/>
      </w:pPr>
      <w:r>
        <w:t xml:space="preserve">Estados Unidos</w:t>
      </w:r>
    </w:p>
    <w:p>
      <w:pPr>
        <w:pStyle w:val="FirstParagraph"/>
      </w:pPr>
      <w:r>
        <w:t xml:space="preserve">O BLS classifica</w:t>
      </w:r>
      <w:r>
        <w:t xml:space="preserve"> </w:t>
      </w:r>
      <w:r>
        <w:rPr>
          <w:bCs/>
          <w:b/>
        </w:rPr>
        <w:t xml:space="preserve">Environmental Science and Protection Technicians, Including Health</w:t>
      </w:r>
      <w:r>
        <w:t xml:space="preserve"> </w:t>
      </w:r>
      <w:r>
        <w:t xml:space="preserve">sob SOC</w:t>
      </w:r>
      <w:r>
        <w:t xml:space="preserve"> </w:t>
      </w:r>
      <w:r>
        <w:rPr>
          <w:bCs/>
          <w:b/>
        </w:rPr>
        <w:t xml:space="preserve">19-4042</w:t>
      </w:r>
      <w:r>
        <w:t xml:space="preserve">. A educação típica de entrada é</w:t>
      </w:r>
      <w:r>
        <w:t xml:space="preserve"> </w:t>
      </w:r>
      <w:r>
        <w:rPr>
          <w:bCs/>
          <w:b/>
        </w:rPr>
        <w:t xml:space="preserve">associate's degree</w:t>
      </w:r>
      <w:r>
        <w:t xml:space="preserve">; a experiência relacionada típica é</w:t>
      </w:r>
      <w:r>
        <w:t xml:space="preserve"> </w:t>
      </w:r>
      <w:r>
        <w:rPr>
          <w:bCs/>
          <w:b/>
        </w:rPr>
        <w:t xml:space="preserve">nenhuma</w:t>
      </w:r>
      <w:r>
        <w:t xml:space="preserve">; e o quadro-resumo do BLS lista</w:t>
      </w:r>
      <w:r>
        <w:t xml:space="preserve"> </w:t>
      </w:r>
      <w:r>
        <w:rPr>
          <w:bCs/>
          <w:b/>
        </w:rPr>
        <w:t xml:space="preserve">nenhum</w:t>
      </w:r>
      <w:r>
        <w:t xml:space="preserve"> </w:t>
      </w:r>
      <w:r>
        <w:t xml:space="preserve">treinamento típico após a contratação.</w:t>
      </w:r>
    </w:p>
    <w:p>
      <w:pPr>
        <w:pStyle w:val="BodyText"/>
      </w:pPr>
      <w:r>
        <w:t xml:space="preserve">O BLS afirma que os requisitos reais de educação variam de diploma do ensino médio a bacharelado, dependendo do cargo. Identifica ciência ambiental, saúde ambiental, saúde pública, ciências naturais, experiência de laboratório, matemática, estatística e ciência da computação como preparação útil.</w:t>
      </w:r>
    </w:p>
    <w:p>
      <w:pPr>
        <w:pStyle w:val="BodyText"/>
      </w:pPr>
      <w:r>
        <w:t xml:space="preserve">Uma sequência prática é:</w:t>
      </w:r>
    </w:p>
    <w:p>
      <w:pPr>
        <w:numPr>
          <w:ilvl w:val="0"/>
          <w:numId w:val="1005"/>
        </w:numPr>
        <w:pStyle w:val="Compact"/>
      </w:pPr>
      <w:r>
        <w:t xml:space="preserve">Escolher um mercado-alvo e comparar vagas atuais de campo ambiental, técnico de ciências ambientais, qualidade da água, amostragem, remediação e técnico de engenharia ambiental.</w:t>
      </w:r>
    </w:p>
    <w:p>
      <w:pPr>
        <w:numPr>
          <w:ilvl w:val="0"/>
          <w:numId w:val="1005"/>
        </w:numPr>
        <w:pStyle w:val="Compact"/>
      </w:pPr>
      <w:r>
        <w:t xml:space="preserve">Separar funções de ciência/proteção ambiental de apoio de engenharia, higiene ocupacional, resíduos perigosos, ecologia, serviços públicos ou laboratório.</w:t>
      </w:r>
    </w:p>
    <w:p>
      <w:pPr>
        <w:numPr>
          <w:ilvl w:val="0"/>
          <w:numId w:val="1005"/>
        </w:numPr>
        <w:pStyle w:val="Compact"/>
      </w:pPr>
      <w:r>
        <w:t xml:space="preserve">Registrar requisitos recorrentes de educação, direção, viagens, campo, segurança, software, amostragem e credenciais.</w:t>
      </w:r>
    </w:p>
    <w:p>
      <w:pPr>
        <w:numPr>
          <w:ilvl w:val="0"/>
          <w:numId w:val="1005"/>
        </w:numPr>
        <w:pStyle w:val="Compact"/>
      </w:pPr>
      <w:r>
        <w:t xml:space="preserve">Comparar programas públicos de community college ou technical college em ciência ambiental, tecnologia ambiental, saúde ambiental, química, biologia, tecnologia de engenharia civil/ambiental ou áreas relacionadas antes de pagar certificado privado.</w:t>
      </w:r>
    </w:p>
    <w:p>
      <w:pPr>
        <w:numPr>
          <w:ilvl w:val="0"/>
          <w:numId w:val="1005"/>
        </w:numPr>
        <w:pStyle w:val="Compact"/>
      </w:pPr>
      <w:r>
        <w:t xml:space="preserve">Verificar se o cargo real exige registro estadual, credencial profissional/de inspeção, HAZWOPER, qualificação respiratória, CDL, treinamento específico do local ou outra qualificação controlada pelo empregador.</w:t>
      </w:r>
    </w:p>
    <w:p>
      <w:pPr>
        <w:numPr>
          <w:ilvl w:val="0"/>
          <w:numId w:val="1005"/>
        </w:numPr>
        <w:pStyle w:val="Compact"/>
      </w:pPr>
      <w:r>
        <w:t xml:space="preserve">Construir experiência supervisionada em documentação de campo, integridade de amostras, ciências básicas, planilhas, mapeamento, sistemas de qualidade e escalonamento seguro.</w:t>
      </w:r>
    </w:p>
    <w:p>
      <w:pPr>
        <w:pStyle w:val="FirstParagraph"/>
      </w:pPr>
      <w:r>
        <w:t xml:space="preserve">O guia não presume que todos os empregos exijam o mesmo grau, credencial ou curso de segurança.</w:t>
      </w:r>
    </w:p>
    <w:bookmarkEnd w:id="32"/>
    <w:bookmarkStart w:id="33" w:name="canadá"/>
    <w:p>
      <w:pPr>
        <w:pStyle w:val="Heading3"/>
      </w:pPr>
      <w:r>
        <w:t xml:space="preserve">Canadá</w:t>
      </w:r>
    </w:p>
    <w:p>
      <w:pPr>
        <w:pStyle w:val="FirstParagraph"/>
      </w:pPr>
      <w:r>
        <w:t xml:space="preserve">O Government of Canada Job Bank mapeia o título de busca</w:t>
      </w:r>
      <w:r>
        <w:t xml:space="preserve"> </w:t>
      </w:r>
      <w:r>
        <w:rPr>
          <w:bCs/>
          <w:b/>
        </w:rPr>
        <w:t xml:space="preserve">Environmental Technician</w:t>
      </w:r>
      <w:r>
        <w:t xml:space="preserve"> </w:t>
      </w:r>
      <w:r>
        <w:t xml:space="preserve">para</w:t>
      </w:r>
      <w:r>
        <w:t xml:space="preserve"> </w:t>
      </w:r>
      <w:r>
        <w:rPr>
          <w:bCs/>
          <w:b/>
        </w:rPr>
        <w:t xml:space="preserve">Civil engineering technologists and technicians, NOC 22300</w:t>
      </w:r>
      <w:r>
        <w:t xml:space="preserve">. Trata-se de grupo ocupacional mais amplo que o SOC 19-4042 dos Estados Unidos e não é uma equivalência direta.</w:t>
      </w:r>
    </w:p>
    <w:p>
      <w:pPr>
        <w:pStyle w:val="BodyText"/>
      </w:pPr>
      <w:r>
        <w:t xml:space="preserve">O Job Bank informa que técnicos de engenharia civil normalmente precisam de</w:t>
      </w:r>
      <w:r>
        <w:t xml:space="preserve"> </w:t>
      </w:r>
      <w:r>
        <w:rPr>
          <w:bCs/>
          <w:b/>
        </w:rPr>
        <w:t xml:space="preserve">programa de college de um ou dois anos em tecnologia de engenharia civil</w:t>
      </w:r>
      <w:r>
        <w:t xml:space="preserve">; tecnólogos normalmente precisam de programa de dois ou três anos. Certificação por associações provinciais pode ser exigida para alguns cargos, experiência supervisionada normalmente é exigida antes da certificação e Quebec protege o título Professional Technologist.</w:t>
      </w:r>
    </w:p>
    <w:p>
      <w:pPr>
        <w:pStyle w:val="BodyText"/>
      </w:pPr>
      <w:r>
        <w:t xml:space="preserve">Use as funções reais da vaga para determinar se NOC 22300 é o mapeamento canadense correto. Verifique requisitos provinciais ou territoriais, títulos protegidos, reconhecimento educacional, carteira de motorista, qualificações de segurança de campo e expectativas do empregador antes de depender de curso ou credencial estrangeira.</w:t>
      </w:r>
    </w:p>
    <w:bookmarkEnd w:id="33"/>
    <w:bookmarkStart w:id="34" w:name="colômbia"/>
    <w:p>
      <w:pPr>
        <w:pStyle w:val="Heading3"/>
      </w:pPr>
      <w:r>
        <w:t xml:space="preserve">Colômbia</w:t>
      </w:r>
    </w:p>
    <w:p>
      <w:pPr>
        <w:pStyle w:val="FirstParagraph"/>
      </w:pPr>
      <w:r>
        <w:t xml:space="preserve">O catálogo Betowa do SENA identifica caminhos públicos diretamente relacionados ou adjacentes:</w:t>
      </w:r>
    </w:p>
    <w:p>
      <w:pPr>
        <w:numPr>
          <w:ilvl w:val="0"/>
          <w:numId w:val="1006"/>
        </w:numPr>
        <w:pStyle w:val="Compact"/>
      </w:pPr>
      <w:r>
        <w:rPr>
          <w:bCs/>
          <w:b/>
        </w:rPr>
        <w:t xml:space="preserve">Monitoreo ambiental — Técnico, 2,208 horas</w:t>
      </w:r>
      <w:r>
        <w:t xml:space="preserve">;</w:t>
      </w:r>
    </w:p>
    <w:p>
      <w:pPr>
        <w:numPr>
          <w:ilvl w:val="0"/>
          <w:numId w:val="1006"/>
        </w:numPr>
        <w:pStyle w:val="Compact"/>
      </w:pPr>
      <w:r>
        <w:rPr>
          <w:bCs/>
          <w:b/>
        </w:rPr>
        <w:t xml:space="preserve">Saneamiento y salud ambiental — Técnico, 2,208 horas</w:t>
      </w:r>
      <w:r>
        <w:t xml:space="preserve">; e</w:t>
      </w:r>
    </w:p>
    <w:p>
      <w:pPr>
        <w:numPr>
          <w:ilvl w:val="0"/>
          <w:numId w:val="1006"/>
        </w:numPr>
        <w:pStyle w:val="Compact"/>
      </w:pPr>
      <w:r>
        <w:rPr>
          <w:bCs/>
          <w:b/>
        </w:rPr>
        <w:t xml:space="preserve">Promotoría en manejo ambiental — Técnico, 2,112 horas</w:t>
      </w:r>
      <w:r>
        <w:t xml:space="preserve">.</w:t>
      </w:r>
    </w:p>
    <w:p>
      <w:pPr>
        <w:pStyle w:val="FirstParagraph"/>
      </w:pPr>
      <w:r>
        <w:t xml:space="preserve">O perfil Monitoreo Ambiental inclui obtenção de amostras representativas conforme protocolos e técnicas de análise físico-química, práticas de proteção ambiental/SST, gestão de resíduos sólidos, raciocínio quantitativo, etapa prática e uso de ferramentas de informação.</w:t>
      </w:r>
    </w:p>
    <w:p>
      <w:pPr>
        <w:pStyle w:val="BodyText"/>
      </w:pPr>
      <w:r>
        <w:t xml:space="preserve">A disponibilidade é dinâmica. Um perfil pode existir no catálogo enquanto a oferta aberta não possui vagas atuais, e turmas específicas para empresas podem existir separadamente. Verifique no Betowa local, modalidade, datas, processo de admissão, requisitos de idade/escolaridade e vagas antes de planejar.</w:t>
      </w:r>
    </w:p>
    <w:bookmarkEnd w:id="34"/>
    <w:bookmarkStart w:id="35" w:name="américa-latina-e-caribe"/>
    <w:p>
      <w:pPr>
        <w:pStyle w:val="Heading3"/>
      </w:pPr>
      <w:r>
        <w:t xml:space="preserve">América Latina e Caribe</w:t>
      </w:r>
    </w:p>
    <w:p>
      <w:pPr>
        <w:pStyle w:val="FirstParagraph"/>
      </w:pPr>
      <w:r>
        <w:t xml:space="preserve">A OIT/Cinterfor mantém uma rede de instituições de formação profissional e competências na América Latina e Caribe e publica recursos sobre formação para empregos verdes. Use essa rede para identificar o órgão público nacional relevante e depois verifique o programa exato e requisitos ambientais/trabalhistas do país onde pretende trabalhar.</w:t>
      </w:r>
    </w:p>
    <w:p>
      <w:pPr>
        <w:pStyle w:val="BodyText"/>
      </w:pPr>
      <w:r>
        <w:t xml:space="preserve">Não presuma que programa do SENA, curso dos EUA, credencial canadense, certificado HAZWOPER ou outra qualificação nacional seja transferível entre fronteiras ou autorize trabalho ambiental regulado em outro país.</w:t>
      </w:r>
    </w:p>
    <w:bookmarkEnd w:id="35"/>
    <w:bookmarkEnd w:id="36"/>
    <w:bookmarkStart w:id="37" w:name="Xd923290898af88007c4190e398bcabae0aa7a80"/>
    <w:p>
      <w:pPr>
        <w:pStyle w:val="Heading2"/>
      </w:pPr>
      <w:r>
        <w:t xml:space="preserve">Treinamento do empregador e experiência de campo supervisionada</w:t>
      </w:r>
    </w:p>
    <w:p>
      <w:pPr>
        <w:pStyle w:val="FirstParagraph"/>
      </w:pPr>
      <w:r>
        <w:t xml:space="preserve">O trabalho ambiental de campo é aprendido em parte por educação estruturada e em parte por prática supervisionada específica do projeto. O treinamento do empregador pode incluir integração ao local, direção defensiva, documentação de amostras, uso de equipamentos, procedimentos de qualidade, comunicação de perigos, EPI, sistemas de dados, cadeia de custódia, requisitos do cliente, comunicações de campo, reporte de incidentes e validação de tarefas.</w:t>
      </w:r>
    </w:p>
    <w:p>
      <w:pPr>
        <w:pStyle w:val="BodyText"/>
      </w:pPr>
      <w:r>
        <w:t xml:space="preserve">Trabalho especializado pode exigir programas adicionais do empregador ou regulatórios para operações com resíduos perigosos, proteção respiratória, espaços confinados, trabalho em altura, exposição ao trânsito, barcos ou segurança aquática, proximidade de escavações, instalações industriais, radiação, amianto, chumbo, perigos biológicos ou outros riscos.</w:t>
      </w:r>
    </w:p>
    <w:p>
      <w:pPr>
        <w:pStyle w:val="BodyText"/>
      </w:pPr>
      <w:r>
        <w:t xml:space="preserve">Pergunte aos empregadores:</w:t>
      </w:r>
    </w:p>
    <w:p>
      <w:pPr>
        <w:numPr>
          <w:ilvl w:val="0"/>
          <w:numId w:val="1007"/>
        </w:numPr>
        <w:pStyle w:val="Compact"/>
      </w:pPr>
      <w:r>
        <w:t xml:space="preserve">qual treinamento é fornecido e pago;</w:t>
      </w:r>
    </w:p>
    <w:p>
      <w:pPr>
        <w:numPr>
          <w:ilvl w:val="0"/>
          <w:numId w:val="1007"/>
        </w:numPr>
        <w:pStyle w:val="Compact"/>
      </w:pPr>
      <w:r>
        <w:t xml:space="preserve">quais credenciais são exigidas antes da contratação e quais podem ser obtidas depois;</w:t>
      </w:r>
    </w:p>
    <w:p>
      <w:pPr>
        <w:numPr>
          <w:ilvl w:val="0"/>
          <w:numId w:val="1007"/>
        </w:numPr>
        <w:pStyle w:val="Compact"/>
      </w:pPr>
      <w:r>
        <w:t xml:space="preserve">se o tempo de campo é supervisionado e por quem;</w:t>
      </w:r>
    </w:p>
    <w:p>
      <w:pPr>
        <w:numPr>
          <w:ilvl w:val="0"/>
          <w:numId w:val="1007"/>
        </w:numPr>
        <w:pStyle w:val="Compact"/>
      </w:pPr>
      <w:r>
        <w:t xml:space="preserve">quais tarefas um técnico novo pode executar de forma independente;</w:t>
      </w:r>
    </w:p>
    <w:p>
      <w:pPr>
        <w:numPr>
          <w:ilvl w:val="0"/>
          <w:numId w:val="1007"/>
        </w:numPr>
        <w:pStyle w:val="Compact"/>
      </w:pPr>
      <w:r>
        <w:t xml:space="preserve">como a competência é documentada;</w:t>
      </w:r>
    </w:p>
    <w:p>
      <w:pPr>
        <w:numPr>
          <w:ilvl w:val="0"/>
          <w:numId w:val="1007"/>
        </w:numPr>
        <w:pStyle w:val="Compact"/>
      </w:pPr>
      <w:r>
        <w:t xml:space="preserve">se tempo de viagem, quilometragem, diária, EPI, avaliação médica e treinamento obrigatório são remunerados; e</w:t>
      </w:r>
    </w:p>
    <w:p>
      <w:pPr>
        <w:numPr>
          <w:ilvl w:val="0"/>
          <w:numId w:val="1007"/>
        </w:numPr>
        <w:pStyle w:val="Compact"/>
      </w:pPr>
      <w:r>
        <w:t xml:space="preserve">se existem acordos de reembolso quando o empregador paga treinamento externo.</w:t>
      </w:r>
    </w:p>
    <w:p>
      <w:pPr>
        <w:pStyle w:val="FirstParagraph"/>
      </w:pPr>
      <w:r>
        <w:t xml:space="preserve">Um cartão de conclusão de curso não é o mesmo que competência demonstrada, autorização do projeto, qualificação legal ou emprego permanente.</w:t>
      </w:r>
    </w:p>
    <w:bookmarkEnd w:id="37"/>
    <w:bookmarkStart w:id="38" w:name="X628a22fab760ca06e2e9eafaa00da51ba455ef9"/>
    <w:p>
      <w:pPr>
        <w:pStyle w:val="Heading2"/>
      </w:pPr>
      <w:r>
        <w:t xml:space="preserve">Aprendizado gratuito e de baixo custo primeiro</w:t>
      </w:r>
    </w:p>
    <w:p>
      <w:pPr>
        <w:pStyle w:val="FirstParagraph"/>
      </w:pPr>
      <w:r>
        <w:t xml:space="preserve">Comece pelas vagas reais de interesse antes de comprar treinamento:</w:t>
      </w:r>
    </w:p>
    <w:p>
      <w:pPr>
        <w:numPr>
          <w:ilvl w:val="0"/>
          <w:numId w:val="1008"/>
        </w:numPr>
        <w:pStyle w:val="Compact"/>
      </w:pPr>
      <w:r>
        <w:t xml:space="preserve">Escolha local e subárea ambiental.</w:t>
      </w:r>
    </w:p>
    <w:p>
      <w:pPr>
        <w:numPr>
          <w:ilvl w:val="0"/>
          <w:numId w:val="1008"/>
        </w:numPr>
        <w:pStyle w:val="Compact"/>
      </w:pPr>
      <w:r>
        <w:t xml:space="preserve">Revise 15–20 vagas atuais de empregadores e registre requisitos recorrentes.</w:t>
      </w:r>
    </w:p>
    <w:p>
      <w:pPr>
        <w:numPr>
          <w:ilvl w:val="0"/>
          <w:numId w:val="1008"/>
        </w:numPr>
        <w:pStyle w:val="Compact"/>
      </w:pPr>
      <w:r>
        <w:t xml:space="preserve">Identifique a classificação ocupacional mais defensável e qualquer título regulamentado ou protegido.</w:t>
      </w:r>
    </w:p>
    <w:p>
      <w:pPr>
        <w:numPr>
          <w:ilvl w:val="0"/>
          <w:numId w:val="1008"/>
        </w:numPr>
        <w:pStyle w:val="Compact"/>
      </w:pPr>
      <w:r>
        <w:t xml:space="preserve">Pesquise colleges públicos, programas de força de trabalho, SENA ou instituição nacional equivalente, treinamento de empregadores e auxílio estudantil elegível.</w:t>
      </w:r>
    </w:p>
    <w:p>
      <w:pPr>
        <w:numPr>
          <w:ilvl w:val="0"/>
          <w:numId w:val="1008"/>
        </w:numPr>
        <w:pStyle w:val="Compact"/>
      </w:pPr>
      <w:r>
        <w:t xml:space="preserve">Compare o currículo com requisitos reais: métodos de campo, ciências, matemática, estatística, GIS ou mapeamento, planilhas, documentação, fundamentos laboratoriais, segurança e sistemas de qualidade.</w:t>
      </w:r>
    </w:p>
    <w:p>
      <w:pPr>
        <w:numPr>
          <w:ilvl w:val="0"/>
          <w:numId w:val="1008"/>
        </w:numPr>
        <w:pStyle w:val="Compact"/>
      </w:pPr>
      <w:r>
        <w:t xml:space="preserve">Verifique se curso ou certificado privado é reconhecido pelos empregadores, regulador, laboratório, cliente ou órgão profissional relevante.</w:t>
      </w:r>
    </w:p>
    <w:p>
      <w:pPr>
        <w:numPr>
          <w:ilvl w:val="0"/>
          <w:numId w:val="1008"/>
        </w:numPr>
        <w:pStyle w:val="Compact"/>
      </w:pPr>
      <w:r>
        <w:t xml:space="preserve">Calcule custo total, incluindo mensalidades, livros, laboratório, EPI, requisitos médicos, provas, viagens, equipamentos de campo, software, renovação e tempo de trabalho perdido.</w:t>
      </w:r>
    </w:p>
    <w:p>
      <w:pPr>
        <w:numPr>
          <w:ilvl w:val="0"/>
          <w:numId w:val="1008"/>
        </w:numPr>
        <w:pStyle w:val="Compact"/>
      </w:pPr>
      <w:r>
        <w:t xml:space="preserve">Tome empréstimo somente após comparar opções públicas e patrocinadas por empregadores e confirmar por escrito o valor do programa.</w:t>
      </w:r>
    </w:p>
    <w:p>
      <w:pPr>
        <w:pStyle w:val="FirstParagraph"/>
      </w:pPr>
      <w:r>
        <w:t xml:space="preserve">Aprendizado on-line gratuito pode apoiar terminologia ambiental, fundamentos de química e biologia, planilhas, estatística, conceitos GIS, documentação, garantia de qualidade e preparação para entrevistas. Não substitui competência de campo supervisionada, métodos do projeto, qualificação para trabalho perigoso, procedimentos laboratoriais ou autoridade profissional regulamentada.</w:t>
      </w:r>
    </w:p>
    <w:bookmarkEnd w:id="38"/>
    <w:bookmarkStart w:id="42" w:name="caminhos-de-financiamento"/>
    <w:p>
      <w:pPr>
        <w:pStyle w:val="Heading2"/>
      </w:pPr>
      <w:r>
        <w:t xml:space="preserve">Caminhos de financiamento</w:t>
      </w:r>
    </w:p>
    <w:bookmarkStart w:id="39" w:name="estados-unidos-1"/>
    <w:p>
      <w:pPr>
        <w:pStyle w:val="Heading3"/>
      </w:pPr>
      <w:r>
        <w:t xml:space="preserve">Estados Unidos</w:t>
      </w:r>
    </w:p>
    <w:p>
      <w:pPr>
        <w:pStyle w:val="FirstParagraph"/>
      </w:pPr>
      <w:r>
        <w:t xml:space="preserve">A orientação FAFSA 2026–27 do Federal Student Aid afirma que o envio gratuito da FAFSA pode ajudar estudantes elegíveis a acessar subsídios federais, Federal Work-Study e empréstimos federais para estudos elegíveis em college, career school ou trade school.</w:t>
      </w:r>
    </w:p>
    <w:p>
      <w:pPr>
        <w:pStyle w:val="BodyText"/>
      </w:pPr>
      <w:r>
        <w:t xml:space="preserve">Verifique escola e programa exatos antes de presumir que o auxílio se aplica. Curso privado curto de amostragem, curso HAZWOPER, certificado on-line, treinamento do empregador ou curso de fornecedor não é automaticamente elegível para auxílio federal.</w:t>
      </w:r>
    </w:p>
    <w:bookmarkEnd w:id="39"/>
    <w:bookmarkStart w:id="40" w:name="canadá-1"/>
    <w:p>
      <w:pPr>
        <w:pStyle w:val="Heading3"/>
      </w:pPr>
      <w:r>
        <w:t xml:space="preserve">Canadá</w:t>
      </w:r>
    </w:p>
    <w:p>
      <w:pPr>
        <w:pStyle w:val="FirstParagraph"/>
      </w:pPr>
      <w:r>
        <w:t xml:space="preserve">O Government of Canada afirma que o Canada Student Financial Assistance Program oferece subsídios e empréstimos para estudos pós-secundários elegíveis em jurisdições participantes. Províncias e territórios determinam ou administram elementos importantes de elegibilidade, incluindo escolas e programas designados.</w:t>
      </w:r>
    </w:p>
    <w:p>
      <w:pPr>
        <w:pStyle w:val="BodyText"/>
      </w:pPr>
      <w:r>
        <w:t xml:space="preserve">As regras atuais mudaram para determinadas instituições privadas com fins lucrativos a partir de 1º de agosto de 2026, portanto verifique a instituição e o programa reais com o órgão provincial ou territorial de auxílio estudantil antes da matrícula.</w:t>
      </w:r>
    </w:p>
    <w:bookmarkEnd w:id="40"/>
    <w:bookmarkStart w:id="41" w:name="colômbia-1"/>
    <w:p>
      <w:pPr>
        <w:pStyle w:val="Heading3"/>
      </w:pPr>
      <w:r>
        <w:t xml:space="preserve">Colômbia</w:t>
      </w:r>
    </w:p>
    <w:p>
      <w:pPr>
        <w:pStyle w:val="FirstParagraph"/>
      </w:pPr>
      <w:r>
        <w:t xml:space="preserve">Comunicados oficiais do SENA em 2026 descrevem suas chamadas públicas de formação técnica e tecnológica como gratuitas. Gratuidade não garante turma ambiental vigente, admissão, transporte, equipamento, estágio de campo, portabilidade de credencial ou emprego.</w:t>
      </w:r>
    </w:p>
    <w:p>
      <w:pPr>
        <w:pStyle w:val="BodyText"/>
      </w:pPr>
      <w:r>
        <w:t xml:space="preserve">Nenhum caminho de financiamento neste guia garante auxílio, admissão, conclusão, credencial, estágio de campo ou emprego.</w:t>
      </w:r>
    </w:p>
    <w:bookmarkEnd w:id="41"/>
    <w:bookmarkEnd w:id="42"/>
    <w:bookmarkStart w:id="45" w:name="salários-e-perspectivas"/>
    <w:p>
      <w:pPr>
        <w:pStyle w:val="Heading2"/>
      </w:pPr>
      <w:r>
        <w:t xml:space="preserve">Salários e perspectivas</w:t>
      </w:r>
    </w:p>
    <w:bookmarkStart w:id="43" w:name="estados-unidos-2"/>
    <w:p>
      <w:pPr>
        <w:pStyle w:val="Heading3"/>
      </w:pPr>
      <w:r>
        <w:t xml:space="preserve">Estados Unidos</w:t>
      </w:r>
    </w:p>
    <w:p>
      <w:pPr>
        <w:pStyle w:val="FirstParagraph"/>
      </w:pPr>
      <w:r>
        <w:t xml:space="preserve">O BLS informa para</w:t>
      </w:r>
      <w:r>
        <w:t xml:space="preserve"> </w:t>
      </w:r>
      <w:r>
        <w:rPr>
          <w:bCs/>
          <w:b/>
        </w:rPr>
        <w:t xml:space="preserve">Environmental Science and Protection Technicians, Including Health — SOC 19-4042</w:t>
      </w:r>
      <w:r>
        <w:t xml:space="preserve">:</w:t>
      </w:r>
    </w:p>
    <w:p>
      <w:pPr>
        <w:numPr>
          <w:ilvl w:val="0"/>
          <w:numId w:val="1009"/>
        </w:numPr>
        <w:pStyle w:val="Compact"/>
      </w:pPr>
      <w:r>
        <w:rPr>
          <w:bCs/>
          <w:b/>
        </w:rPr>
        <w:t xml:space="preserve">salário anual mediano em maio de 2024: USD $49,490</w:t>
      </w:r>
      <w:r>
        <w:t xml:space="preserve">;</w:t>
      </w:r>
    </w:p>
    <w:p>
      <w:pPr>
        <w:numPr>
          <w:ilvl w:val="0"/>
          <w:numId w:val="1009"/>
        </w:numPr>
        <w:pStyle w:val="Compact"/>
      </w:pPr>
      <w:r>
        <w:rPr>
          <w:bCs/>
          <w:b/>
        </w:rPr>
        <w:t xml:space="preserve">salário mediano por hora em maio de 2024: USD $23.79</w:t>
      </w:r>
      <w:r>
        <w:t xml:space="preserve">;</w:t>
      </w:r>
    </w:p>
    <w:p>
      <w:pPr>
        <w:numPr>
          <w:ilvl w:val="0"/>
          <w:numId w:val="1009"/>
        </w:numPr>
        <w:pStyle w:val="Compact"/>
      </w:pPr>
      <w:r>
        <w:rPr>
          <w:bCs/>
          <w:b/>
        </w:rPr>
        <w:t xml:space="preserve">10 por cento inferior: abaixo de $36,130</w:t>
      </w:r>
      <w:r>
        <w:t xml:space="preserve">;</w:t>
      </w:r>
    </w:p>
    <w:p>
      <w:pPr>
        <w:numPr>
          <w:ilvl w:val="0"/>
          <w:numId w:val="1009"/>
        </w:numPr>
        <w:pStyle w:val="Compact"/>
      </w:pPr>
      <w:r>
        <w:rPr>
          <w:bCs/>
          <w:b/>
        </w:rPr>
        <w:t xml:space="preserve">10 por cento superior: acima de $85,630</w:t>
      </w:r>
      <w:r>
        <w:t xml:space="preserve">;</w:t>
      </w:r>
    </w:p>
    <w:p>
      <w:pPr>
        <w:numPr>
          <w:ilvl w:val="0"/>
          <w:numId w:val="1009"/>
        </w:numPr>
        <w:pStyle w:val="Compact"/>
      </w:pPr>
      <w:r>
        <w:rPr>
          <w:bCs/>
          <w:b/>
        </w:rPr>
        <w:t xml:space="preserve">emprego: 40,400 em 2024</w:t>
      </w:r>
      <w:r>
        <w:t xml:space="preserve">;</w:t>
      </w:r>
    </w:p>
    <w:p>
      <w:pPr>
        <w:numPr>
          <w:ilvl w:val="0"/>
          <w:numId w:val="1009"/>
        </w:numPr>
        <w:pStyle w:val="Compact"/>
      </w:pPr>
      <w:r>
        <w:rPr>
          <w:bCs/>
          <w:b/>
        </w:rPr>
        <w:t xml:space="preserve">emprego projetado: 42,100 em 2034</w:t>
      </w:r>
      <w:r>
        <w:t xml:space="preserve">;</w:t>
      </w:r>
    </w:p>
    <w:p>
      <w:pPr>
        <w:numPr>
          <w:ilvl w:val="0"/>
          <w:numId w:val="1009"/>
        </w:numPr>
        <w:pStyle w:val="Compact"/>
      </w:pPr>
      <w:r>
        <w:rPr>
          <w:bCs/>
          <w:b/>
        </w:rPr>
        <w:t xml:space="preserve">mudança projetada: +1,600 empregos / +4 por cento</w:t>
      </w:r>
      <w:r>
        <w:t xml:space="preserve">; e</w:t>
      </w:r>
    </w:p>
    <w:p>
      <w:pPr>
        <w:numPr>
          <w:ilvl w:val="0"/>
          <w:numId w:val="1009"/>
        </w:numPr>
        <w:pStyle w:val="Compact"/>
      </w:pPr>
      <w:r>
        <w:rPr>
          <w:bCs/>
          <w:b/>
        </w:rPr>
        <w:t xml:space="preserve">cerca de 5,600 vagas por ano em média</w:t>
      </w:r>
      <w:r>
        <w:t xml:space="preserve"> </w:t>
      </w:r>
      <w:r>
        <w:t xml:space="preserve">durante 2024–2034, muitas esperadas por necessidades de reposição.</w:t>
      </w:r>
    </w:p>
    <w:p>
      <w:pPr>
        <w:pStyle w:val="FirstParagraph"/>
      </w:pPr>
      <w:r>
        <w:t xml:space="preserve">São estatísticas ocupacionais nacionais, não promessas de salário inicial. Pagamento e oportunidades variam por região, setor, educação, viagens, horas extras, sindicalização, especialidade de campo, nível de risco, credenciais e experiência.</w:t>
      </w:r>
    </w:p>
    <w:bookmarkEnd w:id="43"/>
    <w:bookmarkStart w:id="44" w:name="canadá-2"/>
    <w:p>
      <w:pPr>
        <w:pStyle w:val="Heading3"/>
      </w:pPr>
      <w:r>
        <w:t xml:space="preserve">Canadá</w:t>
      </w:r>
    </w:p>
    <w:p>
      <w:pPr>
        <w:pStyle w:val="FirstParagraph"/>
      </w:pPr>
      <w:r>
        <w:t xml:space="preserve">O Government of Canada Job Bank informa indicadores salariais nacionais para o título de busca</w:t>
      </w:r>
      <w:r>
        <w:t xml:space="preserve"> </w:t>
      </w:r>
      <w:r>
        <w:rPr>
          <w:bCs/>
          <w:b/>
        </w:rPr>
        <w:t xml:space="preserve">Environmental Technician</w:t>
      </w:r>
      <w:r>
        <w:t xml:space="preserve">, mapeado para</w:t>
      </w:r>
      <w:r>
        <w:t xml:space="preserve"> </w:t>
      </w:r>
      <w:r>
        <w:rPr>
          <w:bCs/>
          <w:b/>
        </w:rPr>
        <w:t xml:space="preserve">NOC 22300</w:t>
      </w:r>
      <w:r>
        <w:t xml:space="preserve">:</w:t>
      </w:r>
    </w:p>
    <w:p>
      <w:pPr>
        <w:numPr>
          <w:ilvl w:val="0"/>
          <w:numId w:val="1010"/>
        </w:numPr>
        <w:pStyle w:val="Compact"/>
      </w:pPr>
      <w:r>
        <w:rPr>
          <w:bCs/>
          <w:b/>
        </w:rPr>
        <w:t xml:space="preserve">CAD $22.00/hora baixo</w:t>
      </w:r>
      <w:r>
        <w:t xml:space="preserve">;</w:t>
      </w:r>
    </w:p>
    <w:p>
      <w:pPr>
        <w:numPr>
          <w:ilvl w:val="0"/>
          <w:numId w:val="1010"/>
        </w:numPr>
        <w:pStyle w:val="Compact"/>
      </w:pPr>
      <w:r>
        <w:rPr>
          <w:bCs/>
          <w:b/>
        </w:rPr>
        <w:t xml:space="preserve">CAD $33.89/hora mediano</w:t>
      </w:r>
      <w:r>
        <w:t xml:space="preserve">; e</w:t>
      </w:r>
    </w:p>
    <w:p>
      <w:pPr>
        <w:numPr>
          <w:ilvl w:val="0"/>
          <w:numId w:val="1010"/>
        </w:numPr>
        <w:pStyle w:val="Compact"/>
      </w:pPr>
      <w:r>
        <w:rPr>
          <w:bCs/>
          <w:b/>
        </w:rPr>
        <w:t xml:space="preserve">CAD $51.10/hora alto</w:t>
      </w:r>
      <w:r>
        <w:t xml:space="preserve">.</w:t>
      </w:r>
    </w:p>
    <w:p>
      <w:pPr>
        <w:pStyle w:val="FirstParagraph"/>
      </w:pPr>
      <w:r>
        <w:t xml:space="preserve">Os dados salariais foram atualizados em 19 de novembro de 2025. O resumo nacional do Job Bank, modificado em 2 de junho de 2026, informa que as perspectivas variam por província ou território.</w:t>
      </w:r>
    </w:p>
    <w:p>
      <w:pPr>
        <w:pStyle w:val="BodyText"/>
      </w:pPr>
      <w:r>
        <w:t xml:space="preserve">São indicadores do grupo ocupacional mais amplo NOC 22300, não uma taxa garantida para todo cargo de técnico de campo ambiental nem uma comparação convertida de moeda com salários dos Estados Unidos.</w:t>
      </w:r>
    </w:p>
    <w:p>
      <w:pPr>
        <w:pStyle w:val="BodyText"/>
      </w:pPr>
      <w:r>
        <w:t xml:space="preserve">Nenhuma estimativa salarial privada é usada porque há evidência salarial oficial atual para os mapeamentos controlados dos Estados Unidos e Canadá.</w:t>
      </w:r>
    </w:p>
    <w:bookmarkEnd w:id="44"/>
    <w:bookmarkEnd w:id="45"/>
    <w:bookmarkStart w:id="46" w:name="plano-inicial-prático-de-12-semanas"/>
    <w:p>
      <w:pPr>
        <w:pStyle w:val="Heading2"/>
      </w:pPr>
      <w:r>
        <w:t xml:space="preserve">Plano inicial prático de 12 semanas</w:t>
      </w:r>
    </w:p>
    <w:p>
      <w:pPr>
        <w:pStyle w:val="FirstParagraph"/>
      </w:pPr>
      <w:r>
        <w:rPr>
          <w:bCs/>
          <w:b/>
        </w:rPr>
        <w:t xml:space="preserve">Semanas 1–2:</w:t>
      </w:r>
      <w:r>
        <w:t xml:space="preserve"> </w:t>
      </w:r>
      <w:r>
        <w:t xml:space="preserve">Escolha uma geografia-alvo e compare cargos de técnico de campo ambiental, técnico de ciências ambientais, amostragem, qualidade da água, remediação e técnico de engenharia ambiental. Registre requisitos de educação, viagens, direção, campo, segurança e software.</w:t>
      </w:r>
    </w:p>
    <w:p>
      <w:pPr>
        <w:pStyle w:val="BodyText"/>
      </w:pPr>
      <w:r>
        <w:rPr>
          <w:bCs/>
          <w:b/>
        </w:rPr>
        <w:t xml:space="preserve">Semanas 3–4:</w:t>
      </w:r>
      <w:r>
        <w:t xml:space="preserve"> </w:t>
      </w:r>
      <w:r>
        <w:t xml:space="preserve">Desenvolva fundamentos de baixo risco: terminologia ambiental, química e biologia básicas, unidades de medida, algarismos significativos, estatística, planilhas, princípios de notas de campo e vocabulário de garantia de qualidade. Não pratique amostragem perigosa.</w:t>
      </w:r>
    </w:p>
    <w:p>
      <w:pPr>
        <w:pStyle w:val="BodyText"/>
      </w:pPr>
      <w:r>
        <w:rPr>
          <w:bCs/>
          <w:b/>
        </w:rPr>
        <w:t xml:space="preserve">Semanas 5–6:</w:t>
      </w:r>
      <w:r>
        <w:t xml:space="preserve"> </w:t>
      </w:r>
      <w:r>
        <w:t xml:space="preserve">Aprenda conceitos de planos de amostragem, SOPs, IDs de amostra, cadeia de custódia, brancos/duplicatas de campo em nível conceitual, registros de instrumentos, calibração/verificação, correções de dados e escalonamento de anomalias. Use apenas exercícios educacionais com dados inventados claramente marcados como simulados.</w:t>
      </w:r>
    </w:p>
    <w:p>
      <w:pPr>
        <w:pStyle w:val="BodyText"/>
      </w:pPr>
      <w:r>
        <w:rPr>
          <w:bCs/>
          <w:b/>
        </w:rPr>
        <w:t xml:space="preserve">Semanas 7–8:</w:t>
      </w:r>
      <w:r>
        <w:t xml:space="preserve"> </w:t>
      </w:r>
      <w:r>
        <w:t xml:space="preserve">Compare educação pública e caminhos de financiamento. Na Colômbia, consulte o SENA Betowa; nos EUA, compare colleges públicos e programas elegíveis à FAFSA; no Canadá, compare colleges e auxílio estudantil provincial/territorial. Verifique disponibilidade ao vivo em vez de depender de capturas antigas.</w:t>
      </w:r>
    </w:p>
    <w:p>
      <w:pPr>
        <w:pStyle w:val="BodyText"/>
      </w:pPr>
      <w:r>
        <w:rPr>
          <w:bCs/>
          <w:b/>
        </w:rPr>
        <w:t xml:space="preserve">Semanas 9–10:</w:t>
      </w:r>
      <w:r>
        <w:t xml:space="preserve"> </w:t>
      </w:r>
      <w:r>
        <w:t xml:space="preserve">Construa pequeno portfólio com dados simulados ou públicos: modelo simulado de registro de campo, exercício de rastreamento de amostras, verificação de qualidade em planilha e breve memorando de observação de local. Marque claramente todos os registros de prática como simulação de treinamento.</w:t>
      </w:r>
    </w:p>
    <w:p>
      <w:pPr>
        <w:pStyle w:val="BodyText"/>
      </w:pPr>
      <w:r>
        <w:rPr>
          <w:bCs/>
          <w:b/>
        </w:rPr>
        <w:t xml:space="preserve">Semanas 11–12:</w:t>
      </w:r>
      <w:r>
        <w:t xml:space="preserve"> </w:t>
      </w:r>
      <w:r>
        <w:t xml:space="preserve">Prepare currículo e exemplos de entrevista que demonstrem precisão, escalonamento seguro, disciplina documental, trabalho em equipe, confiabilidade para viagens e respeito ao escopo. Candidate-se apenas a cargos cujos requisitos mínimos você possa comprovar honestamente.</w:t>
      </w:r>
    </w:p>
    <w:bookmarkEnd w:id="46"/>
    <w:bookmarkStart w:id="47" w:name="construa-um-portfólio-inicial-seguro"/>
    <w:p>
      <w:pPr>
        <w:pStyle w:val="Heading2"/>
      </w:pPr>
      <w:r>
        <w:t xml:space="preserve">Construa um portfólio inicial seguro</w:t>
      </w:r>
    </w:p>
    <w:p>
      <w:pPr>
        <w:pStyle w:val="FirstParagraph"/>
      </w:pPr>
      <w:r>
        <w:t xml:space="preserve">Um portfólio para iniciantes deve demonstrar julgamento e documentação sem fingir que você realizou trabalho de campo regulamentado.</w:t>
      </w:r>
    </w:p>
    <w:p>
      <w:pPr>
        <w:pStyle w:val="BodyText"/>
      </w:pPr>
      <w:r>
        <w:t xml:space="preserve">Exemplos úteis incluem:</w:t>
      </w:r>
    </w:p>
    <w:p>
      <w:pPr>
        <w:numPr>
          <w:ilvl w:val="0"/>
          <w:numId w:val="1011"/>
        </w:numPr>
        <w:pStyle w:val="Compact"/>
      </w:pPr>
      <w:r>
        <w:t xml:space="preserve">comparação de uma página sobre funções ambientais de campo na sua geografia-alvo;</w:t>
      </w:r>
    </w:p>
    <w:p>
      <w:pPr>
        <w:numPr>
          <w:ilvl w:val="0"/>
          <w:numId w:val="1011"/>
        </w:numPr>
        <w:pStyle w:val="Compact"/>
      </w:pPr>
      <w:r>
        <w:t xml:space="preserve">página simulada de registro de campo com locais fictícios e medições claramente fictícias;</w:t>
      </w:r>
    </w:p>
    <w:p>
      <w:pPr>
        <w:numPr>
          <w:ilvl w:val="0"/>
          <w:numId w:val="1011"/>
        </w:numPr>
        <w:pStyle w:val="Compact"/>
      </w:pPr>
      <w:r>
        <w:t xml:space="preserve">exercício conceitual de identificação de amostra e cadeia de custódia marcado</w:t>
      </w:r>
      <w:r>
        <w:t xml:space="preserve"> </w:t>
      </w:r>
      <w:r>
        <w:rPr>
          <w:bCs/>
          <w:b/>
        </w:rPr>
        <w:t xml:space="preserve">SOMENTE TREINAMENTO — NÃO É UMA AMOSTRA REAL</w:t>
      </w:r>
      <w:r>
        <w:t xml:space="preserve">;</w:t>
      </w:r>
    </w:p>
    <w:p>
      <w:pPr>
        <w:numPr>
          <w:ilvl w:val="0"/>
          <w:numId w:val="1011"/>
        </w:numPr>
        <w:pStyle w:val="Compact"/>
      </w:pPr>
      <w:r>
        <w:t xml:space="preserve">planilha que verifica unidades, campos vazios, duplicatas, formatos de data/hora ou completude de dados usando dados sintéticos;</w:t>
      </w:r>
    </w:p>
    <w:p>
      <w:pPr>
        <w:numPr>
          <w:ilvl w:val="0"/>
          <w:numId w:val="1011"/>
        </w:numPr>
        <w:pStyle w:val="Compact"/>
      </w:pPr>
      <w:r>
        <w:t xml:space="preserve">memorando curto explicando quando você interromperia e escalaria se ID de amostra, verificação de instrumento, condição do local ou procedimento estivessem incertos;</w:t>
      </w:r>
    </w:p>
    <w:p>
      <w:pPr>
        <w:numPr>
          <w:ilvl w:val="0"/>
          <w:numId w:val="1011"/>
        </w:numPr>
        <w:pStyle w:val="Compact"/>
      </w:pPr>
      <w:r>
        <w:t xml:space="preserve">mapa criado com dados públicos, abertos e não sensíveis, registrando a fonte; e</w:t>
      </w:r>
    </w:p>
    <w:p>
      <w:pPr>
        <w:numPr>
          <w:ilvl w:val="0"/>
          <w:numId w:val="1011"/>
        </w:numPr>
        <w:pStyle w:val="Compact"/>
      </w:pPr>
      <w:r>
        <w:t xml:space="preserve">registro de treinamento mostrando cursos concluídos, fonte, data e o que o curso</w:t>
      </w:r>
      <w:r>
        <w:t xml:space="preserve"> </w:t>
      </w:r>
      <w:r>
        <w:rPr>
          <w:bCs/>
          <w:b/>
        </w:rPr>
        <w:t xml:space="preserve">não</w:t>
      </w:r>
      <w:r>
        <w:t xml:space="preserve"> </w:t>
      </w:r>
      <w:r>
        <w:t xml:space="preserve">autoriza.</w:t>
      </w:r>
    </w:p>
    <w:p>
      <w:pPr>
        <w:pStyle w:val="FirstParagraph"/>
      </w:pPr>
      <w:r>
        <w:t xml:space="preserve">Nunca fabrique trabalho de cliente, experiência em local perigoso, horas de amostragem, resultados laboratoriais, registros de cadeia de custódia, certificações, status HAZWOPER, qualificação respiratória, inspeções ou decisões regulatórias.</w:t>
      </w:r>
    </w:p>
    <w:bookmarkEnd w:id="47"/>
    <w:bookmarkStart w:id="48" w:name="orientação-para-currículo-e-entrevista"/>
    <w:p>
      <w:pPr>
        <w:pStyle w:val="Heading2"/>
      </w:pPr>
      <w:r>
        <w:t xml:space="preserve">Orientação para currículo e entrevista</w:t>
      </w:r>
    </w:p>
    <w:p>
      <w:pPr>
        <w:pStyle w:val="FirstParagraph"/>
      </w:pPr>
      <w:r>
        <w:t xml:space="preserve">Evidências úteis podem incluir:</w:t>
      </w:r>
    </w:p>
    <w:p>
      <w:pPr>
        <w:numPr>
          <w:ilvl w:val="0"/>
          <w:numId w:val="1012"/>
        </w:numPr>
        <w:pStyle w:val="Compact"/>
      </w:pPr>
      <w:r>
        <w:t xml:space="preserve">registros precisos de campo, inspeção, qualidade, manutenção, inventário, logística ou atividades próximas de laboratório;</w:t>
      </w:r>
    </w:p>
    <w:p>
      <w:pPr>
        <w:numPr>
          <w:ilvl w:val="0"/>
          <w:numId w:val="1012"/>
        </w:numPr>
        <w:pStyle w:val="Compact"/>
      </w:pPr>
      <w:r>
        <w:t xml:space="preserve">experiência seguindo procedimentos escritos e documentando desvios;</w:t>
      </w:r>
    </w:p>
    <w:p>
      <w:pPr>
        <w:numPr>
          <w:ilvl w:val="0"/>
          <w:numId w:val="1012"/>
        </w:numPr>
        <w:pStyle w:val="Compact"/>
      </w:pPr>
      <w:r>
        <w:t xml:space="preserve">cursos de ciência, meio ambiente, GIS, planilhas, estatística ou qualidade de dados;</w:t>
      </w:r>
    </w:p>
    <w:p>
      <w:pPr>
        <w:numPr>
          <w:ilvl w:val="0"/>
          <w:numId w:val="1012"/>
        </w:numPr>
        <w:pStyle w:val="Compact"/>
      </w:pPr>
      <w:r>
        <w:t xml:space="preserve">trabalho seguro em ambientes industriais, construção, serviços públicos, externos ou laboratoriais;</w:t>
      </w:r>
    </w:p>
    <w:p>
      <w:pPr>
        <w:numPr>
          <w:ilvl w:val="0"/>
          <w:numId w:val="1012"/>
        </w:numPr>
        <w:pStyle w:val="Compact"/>
      </w:pPr>
      <w:r>
        <w:t xml:space="preserve">manuseio de amostras ou espécimes realizado sob procedimentos reais aprovados;</w:t>
      </w:r>
    </w:p>
    <w:p>
      <w:pPr>
        <w:numPr>
          <w:ilvl w:val="0"/>
          <w:numId w:val="1012"/>
        </w:numPr>
        <w:pStyle w:val="Compact"/>
      </w:pPr>
      <w:r>
        <w:t xml:space="preserve">direção/viagens confiáveis e programação de campo quando relevante;</w:t>
      </w:r>
    </w:p>
    <w:p>
      <w:pPr>
        <w:numPr>
          <w:ilvl w:val="0"/>
          <w:numId w:val="1012"/>
        </w:numPr>
        <w:pStyle w:val="Compact"/>
      </w:pPr>
      <w:r>
        <w:t xml:space="preserve">exemplos de interromper, perguntar ou escalar quando as condições mudaram; e</w:t>
      </w:r>
    </w:p>
    <w:p>
      <w:pPr>
        <w:numPr>
          <w:ilvl w:val="0"/>
          <w:numId w:val="1012"/>
        </w:numPr>
        <w:pStyle w:val="Compact"/>
      </w:pPr>
      <w:r>
        <w:t xml:space="preserve">trabalho em equipe com cientistas, engenheiros, técnicos, laboratórios, clientes ou operações.</w:t>
      </w:r>
    </w:p>
    <w:p>
      <w:pPr>
        <w:pStyle w:val="FirstParagraph"/>
      </w:pPr>
      <w:r>
        <w:t xml:space="preserve">Use linguagem precisa. Se você ajudou na coleta de amostras, diga</w:t>
      </w:r>
      <w:r>
        <w:t xml:space="preserve"> </w:t>
      </w:r>
      <w:r>
        <w:rPr>
          <w:rStyle w:val="VerbatimChar"/>
        </w:rPr>
        <w:t xml:space="preserve">apoiei a coleta de amostras sob o procedimento do projeto</w:t>
      </w:r>
      <w:r>
        <w:t xml:space="preserve"> </w:t>
      </w:r>
      <w:r>
        <w:t xml:space="preserve">em vez de</w:t>
      </w:r>
      <w:r>
        <w:t xml:space="preserve"> </w:t>
      </w:r>
      <w:r>
        <w:rPr>
          <w:rStyle w:val="VerbatimChar"/>
        </w:rPr>
        <w:t xml:space="preserve">realizei amostragem regulatória</w:t>
      </w:r>
      <w:r>
        <w:t xml:space="preserve">, a menos que a afirmação mais forte seja verdadeira e comprovável.</w:t>
      </w:r>
    </w:p>
    <w:p>
      <w:pPr>
        <w:pStyle w:val="BodyText"/>
      </w:pPr>
      <w:r>
        <w:t xml:space="preserve">Em entrevistas, esteja preparado para explicar como protege identidade da amostra, registra o que realmente ocorreu, trata leitura anômala, responde a condição desconhecida do local, gerencia mudanças de clima ou acesso e evita trabalhar fora do treinamento ou autorização.</w:t>
      </w:r>
    </w:p>
    <w:bookmarkEnd w:id="48"/>
    <w:bookmarkStart w:id="49" w:name="estratégia-de-busca-de-emprego"/>
    <w:p>
      <w:pPr>
        <w:pStyle w:val="Heading2"/>
      </w:pPr>
      <w:r>
        <w:t xml:space="preserve">Estratégia de busca de emprego</w:t>
      </w:r>
    </w:p>
    <w:p>
      <w:pPr>
        <w:pStyle w:val="FirstParagraph"/>
      </w:pPr>
      <w:r>
        <w:t xml:space="preserve">Pesquise pelas funções além dos títulos. Termos úteis podem incluir:</w:t>
      </w:r>
    </w:p>
    <w:p>
      <w:pPr>
        <w:numPr>
          <w:ilvl w:val="0"/>
          <w:numId w:val="1013"/>
        </w:numPr>
        <w:pStyle w:val="Compact"/>
      </w:pPr>
      <w:r>
        <w:t xml:space="preserve">environmental field technician;</w:t>
      </w:r>
    </w:p>
    <w:p>
      <w:pPr>
        <w:numPr>
          <w:ilvl w:val="0"/>
          <w:numId w:val="1013"/>
        </w:numPr>
        <w:pStyle w:val="Compact"/>
      </w:pPr>
      <w:r>
        <w:t xml:space="preserve">environmental technician;</w:t>
      </w:r>
    </w:p>
    <w:p>
      <w:pPr>
        <w:numPr>
          <w:ilvl w:val="0"/>
          <w:numId w:val="1013"/>
        </w:numPr>
        <w:pStyle w:val="Compact"/>
      </w:pPr>
      <w:r>
        <w:t xml:space="preserve">environmental science technician;</w:t>
      </w:r>
    </w:p>
    <w:p>
      <w:pPr>
        <w:numPr>
          <w:ilvl w:val="0"/>
          <w:numId w:val="1013"/>
        </w:numPr>
        <w:pStyle w:val="Compact"/>
      </w:pPr>
      <w:r>
        <w:t xml:space="preserve">environmental monitoring technician;</w:t>
      </w:r>
    </w:p>
    <w:p>
      <w:pPr>
        <w:numPr>
          <w:ilvl w:val="0"/>
          <w:numId w:val="1013"/>
        </w:numPr>
        <w:pStyle w:val="Compact"/>
      </w:pPr>
      <w:r>
        <w:t xml:space="preserve">sampling technician;</w:t>
      </w:r>
    </w:p>
    <w:p>
      <w:pPr>
        <w:numPr>
          <w:ilvl w:val="0"/>
          <w:numId w:val="1013"/>
        </w:numPr>
        <w:pStyle w:val="Compact"/>
      </w:pPr>
      <w:r>
        <w:t xml:space="preserve">water-quality technician;</w:t>
      </w:r>
    </w:p>
    <w:p>
      <w:pPr>
        <w:numPr>
          <w:ilvl w:val="0"/>
          <w:numId w:val="1013"/>
        </w:numPr>
        <w:pStyle w:val="Compact"/>
      </w:pPr>
      <w:r>
        <w:t xml:space="preserve">groundwater technician;</w:t>
      </w:r>
    </w:p>
    <w:p>
      <w:pPr>
        <w:numPr>
          <w:ilvl w:val="0"/>
          <w:numId w:val="1013"/>
        </w:numPr>
        <w:pStyle w:val="Compact"/>
      </w:pPr>
      <w:r>
        <w:t xml:space="preserve">remediation technician;</w:t>
      </w:r>
    </w:p>
    <w:p>
      <w:pPr>
        <w:numPr>
          <w:ilvl w:val="0"/>
          <w:numId w:val="1013"/>
        </w:numPr>
        <w:pStyle w:val="Compact"/>
      </w:pPr>
      <w:r>
        <w:t xml:space="preserve">environmental engineering technician;</w:t>
      </w:r>
    </w:p>
    <w:p>
      <w:pPr>
        <w:numPr>
          <w:ilvl w:val="0"/>
          <w:numId w:val="1013"/>
        </w:numPr>
        <w:pStyle w:val="Compact"/>
      </w:pPr>
      <w:r>
        <w:t xml:space="preserve">field services technician — environmental;</w:t>
      </w:r>
    </w:p>
    <w:p>
      <w:pPr>
        <w:numPr>
          <w:ilvl w:val="0"/>
          <w:numId w:val="1013"/>
        </w:numPr>
        <w:pStyle w:val="Compact"/>
      </w:pPr>
      <w:r>
        <w:t xml:space="preserve">environmental laboratory field technician; e</w:t>
      </w:r>
    </w:p>
    <w:p>
      <w:pPr>
        <w:numPr>
          <w:ilvl w:val="0"/>
          <w:numId w:val="1013"/>
        </w:numPr>
        <w:pStyle w:val="Compact"/>
      </w:pPr>
      <w:r>
        <w:t xml:space="preserve">junior environmental technician.</w:t>
      </w:r>
    </w:p>
    <w:p>
      <w:pPr>
        <w:pStyle w:val="FirstParagraph"/>
      </w:pPr>
      <w:r>
        <w:t xml:space="preserve">Leia a vaga real. Um título pode ocultar trabalho substancial em locais perigosos, viagens intensas, CDL obrigatória, status de professional technologist, credenciais laboratoriais, monitoramento de construção, higiene ocupacional, trabalho com amianto/chumbo, espaços confinados ou resposta a emergências.</w:t>
      </w:r>
    </w:p>
    <w:p>
      <w:pPr>
        <w:pStyle w:val="BodyText"/>
      </w:pPr>
      <w:r>
        <w:t xml:space="preserve">Verifique a identidade do empregador e, quando possível, candidate-se pelo site oficial de carreiras ou sistema oficial de candidatura do empregador. Não pague recrutador para acessar vaga, não envie dinheiro para obter entrevista nem compre certificado apenas porque um recrutador afirma que ele garante colocação.</w:t>
      </w:r>
    </w:p>
    <w:bookmarkEnd w:id="49"/>
    <w:bookmarkStart w:id="50" w:name="uso-responsável-de-ia"/>
    <w:p>
      <w:pPr>
        <w:pStyle w:val="Heading2"/>
      </w:pPr>
      <w:r>
        <w:t xml:space="preserve">Uso responsável de IA</w:t>
      </w:r>
    </w:p>
    <w:p>
      <w:pPr>
        <w:pStyle w:val="FirstParagraph"/>
      </w:pPr>
      <w:r>
        <w:t xml:space="preserve">A IA pode ajudar com aprendizado de baixo risco e organização quando a política do empregador permitir. Usos apropriados podem incluir:</w:t>
      </w:r>
    </w:p>
    <w:p>
      <w:pPr>
        <w:numPr>
          <w:ilvl w:val="0"/>
          <w:numId w:val="1014"/>
        </w:numPr>
        <w:pStyle w:val="Compact"/>
      </w:pPr>
      <w:r>
        <w:t xml:space="preserve">explicar terminologia ambiental em linguagem simples;</w:t>
      </w:r>
    </w:p>
    <w:p>
      <w:pPr>
        <w:numPr>
          <w:ilvl w:val="0"/>
          <w:numId w:val="1014"/>
        </w:numPr>
        <w:pStyle w:val="Compact"/>
      </w:pPr>
      <w:r>
        <w:t xml:space="preserve">criar perguntas de estudo a partir de material público;</w:t>
      </w:r>
    </w:p>
    <w:p>
      <w:pPr>
        <w:numPr>
          <w:ilvl w:val="0"/>
          <w:numId w:val="1014"/>
        </w:numPr>
        <w:pStyle w:val="Compact"/>
      </w:pPr>
      <w:r>
        <w:t xml:space="preserve">praticar conversões de unidades com exemplos claramente fictícios;</w:t>
      </w:r>
    </w:p>
    <w:p>
      <w:pPr>
        <w:numPr>
          <w:ilvl w:val="0"/>
          <w:numId w:val="1014"/>
        </w:numPr>
        <w:pStyle w:val="Compact"/>
      </w:pPr>
      <w:r>
        <w:t xml:space="preserve">organizar plano de aprendizagem;</w:t>
      </w:r>
    </w:p>
    <w:p>
      <w:pPr>
        <w:numPr>
          <w:ilvl w:val="0"/>
          <w:numId w:val="1014"/>
        </w:numPr>
        <w:pStyle w:val="Compact"/>
      </w:pPr>
      <w:r>
        <w:t xml:space="preserve">redigir currículo ou resposta de entrevista a partir de fatos que você fornece;</w:t>
      </w:r>
    </w:p>
    <w:p>
      <w:pPr>
        <w:numPr>
          <w:ilvl w:val="0"/>
          <w:numId w:val="1014"/>
        </w:numPr>
        <w:pStyle w:val="Compact"/>
      </w:pPr>
      <w:r>
        <w:t xml:space="preserve">criar lista de perguntas para fazer a uma instituição ou empregador; ou</w:t>
      </w:r>
    </w:p>
    <w:p>
      <w:pPr>
        <w:numPr>
          <w:ilvl w:val="0"/>
          <w:numId w:val="1014"/>
        </w:numPr>
        <w:pStyle w:val="Compact"/>
      </w:pPr>
      <w:r>
        <w:t xml:space="preserve">ajudar a estruturar informações públicas e não sensíveis para posterior verificação humana.</w:t>
      </w:r>
    </w:p>
    <w:p>
      <w:pPr>
        <w:pStyle w:val="FirstParagraph"/>
      </w:pPr>
      <w:r>
        <w:t xml:space="preserve">A IA</w:t>
      </w:r>
      <w:r>
        <w:t xml:space="preserve"> </w:t>
      </w:r>
      <w:r>
        <w:rPr>
          <w:bCs/>
          <w:b/>
        </w:rPr>
        <w:t xml:space="preserve">não deve</w:t>
      </w:r>
      <w:r>
        <w:t xml:space="preserve">:</w:t>
      </w:r>
    </w:p>
    <w:p>
      <w:pPr>
        <w:numPr>
          <w:ilvl w:val="0"/>
          <w:numId w:val="1015"/>
        </w:numPr>
        <w:pStyle w:val="Compact"/>
      </w:pPr>
      <w:r>
        <w:t xml:space="preserve">inventar, preencher retroativamente, estimar ou alterar observação ou medição de campo e apresentá-la como real;</w:t>
      </w:r>
    </w:p>
    <w:p>
      <w:pPr>
        <w:numPr>
          <w:ilvl w:val="0"/>
          <w:numId w:val="1015"/>
        </w:numPr>
        <w:pStyle w:val="Compact"/>
      </w:pPr>
      <w:r>
        <w:t xml:space="preserve">criar ID de amostra falso, horário, local, transferência de custódia, assinatura, resultado de calibração, descrição fotográfica ou resultado laboratorial para projeto real;</w:t>
      </w:r>
    </w:p>
    <w:p>
      <w:pPr>
        <w:numPr>
          <w:ilvl w:val="0"/>
          <w:numId w:val="1015"/>
        </w:numPr>
        <w:pStyle w:val="Compact"/>
      </w:pPr>
      <w:r>
        <w:t xml:space="preserve">remover, normalizar, arredondar para ocultar ou sobrescrever silenciosamente valor anômalo;</w:t>
      </w:r>
    </w:p>
    <w:p>
      <w:pPr>
        <w:numPr>
          <w:ilvl w:val="0"/>
          <w:numId w:val="1015"/>
        </w:numPr>
        <w:pStyle w:val="Compact"/>
      </w:pPr>
      <w:r>
        <w:t xml:space="preserve">escolher método de amostragem, recipiente, conservante, tempo de retenção, método analítico, química de descontaminação ou rota de descarte para trabalho regulado real;</w:t>
      </w:r>
    </w:p>
    <w:p>
      <w:pPr>
        <w:numPr>
          <w:ilvl w:val="0"/>
          <w:numId w:val="1015"/>
        </w:numPr>
        <w:pStyle w:val="Compact"/>
      </w:pPr>
      <w:r>
        <w:t xml:space="preserve">determinar que local, atmosfera, amostra, resíduo, descarga ou instalação é segura ou está em conformidade;</w:t>
      </w:r>
    </w:p>
    <w:p>
      <w:pPr>
        <w:numPr>
          <w:ilvl w:val="0"/>
          <w:numId w:val="1015"/>
        </w:numPr>
        <w:pStyle w:val="Compact"/>
      </w:pPr>
      <w:r>
        <w:t xml:space="preserve">selecionar respirador, cartucho, conjunto de EPI, nível HAZWOPER, classificação de espaço confinado ou resposta a emergências;</w:t>
      </w:r>
    </w:p>
    <w:p>
      <w:pPr>
        <w:numPr>
          <w:ilvl w:val="0"/>
          <w:numId w:val="1015"/>
        </w:numPr>
        <w:pStyle w:val="Compact"/>
      </w:pPr>
      <w:r>
        <w:t xml:space="preserve">substituir plano de amostragem aprovado, SOP, QAPP, método laboratorial, plano de saúde e segurança, licença, regulador, gerente de projeto, cientista, engenheiro, higienista ocupacional ou profissional de segurança qualificado; nem</w:t>
      </w:r>
    </w:p>
    <w:p>
      <w:pPr>
        <w:numPr>
          <w:ilvl w:val="0"/>
          <w:numId w:val="1015"/>
        </w:numPr>
        <w:pStyle w:val="Compact"/>
      </w:pPr>
      <w:r>
        <w:t xml:space="preserve">expor dados confidenciais de cliente, local, laboratório, empregado, localização, segurança ou investigação a serviço não autorizado.</w:t>
      </w:r>
    </w:p>
    <w:p>
      <w:pPr>
        <w:pStyle w:val="FirstParagraph"/>
      </w:pPr>
      <w:r>
        <w:t xml:space="preserve">Trate a saída de IA como não verificada até conferi-la com fontes oficiais atuais e informações aprovadas do projeto. Quando IA for usada para ajudar a redigir documento relacionado ao campo, uma pessoa qualificada deve verificar independentemente cada dado factual contra o registro original do projeto antes que se torne produto de trabalho controlado.</w:t>
      </w:r>
    </w:p>
    <w:bookmarkEnd w:id="50"/>
    <w:bookmarkStart w:id="51" w:name="X12f35f29a0e75360bac57ee93323a148d86c309"/>
    <w:p>
      <w:pPr>
        <w:pStyle w:val="Heading2"/>
      </w:pPr>
      <w:r>
        <w:t xml:space="preserve">Evite golpes e ofertas fracas de treinamento</w:t>
      </w:r>
    </w:p>
    <w:p>
      <w:pPr>
        <w:pStyle w:val="FirstParagraph"/>
      </w:pPr>
      <w:r>
        <w:t xml:space="preserve">Tenha cautela quando um fornecedor prometer certificação ambiental garantida, emprego HAZWOPER garantido, estágio de campo garantido, salário garantido, autoridade regulatória instantânea ou uma credencial que supostamente funciona em qualquer lugar.</w:t>
      </w:r>
    </w:p>
    <w:p>
      <w:pPr>
        <w:pStyle w:val="BodyText"/>
      </w:pPr>
      <w:r>
        <w:t xml:space="preserve">Antes de pagar:</w:t>
      </w:r>
    </w:p>
    <w:p>
      <w:pPr>
        <w:numPr>
          <w:ilvl w:val="0"/>
          <w:numId w:val="1016"/>
        </w:numPr>
        <w:pStyle w:val="Compact"/>
      </w:pPr>
      <w:r>
        <w:t xml:space="preserve">identifique o requisito real do empregador ou regulador que você está tentando cumprir;</w:t>
      </w:r>
    </w:p>
    <w:p>
      <w:pPr>
        <w:numPr>
          <w:ilvl w:val="0"/>
          <w:numId w:val="1016"/>
        </w:numPr>
        <w:pStyle w:val="Compact"/>
      </w:pPr>
      <w:r>
        <w:t xml:space="preserve">verifique o fornecedor e curso exatos com a organização que os reconhece;</w:t>
      </w:r>
    </w:p>
    <w:p>
      <w:pPr>
        <w:numPr>
          <w:ilvl w:val="0"/>
          <w:numId w:val="1016"/>
        </w:numPr>
        <w:pStyle w:val="Compact"/>
      </w:pPr>
      <w:r>
        <w:t xml:space="preserve">confirme pré-requisitos, componentes práticos, renovação, provas, exigências médicas ou de ajuste e o que a credencial realmente autoriza;</w:t>
      </w:r>
    </w:p>
    <w:p>
      <w:pPr>
        <w:numPr>
          <w:ilvl w:val="0"/>
          <w:numId w:val="1016"/>
        </w:numPr>
        <w:pStyle w:val="Compact"/>
      </w:pPr>
      <w:r>
        <w:t xml:space="preserve">obtenha por escrito o custo total, política de reembolso e taxas recorrentes;</w:t>
      </w:r>
    </w:p>
    <w:p>
      <w:pPr>
        <w:numPr>
          <w:ilvl w:val="0"/>
          <w:numId w:val="1016"/>
        </w:numPr>
        <w:pStyle w:val="Compact"/>
      </w:pPr>
      <w:r>
        <w:t xml:space="preserve">compare primeiro opções de colleges públicos, programas de trabalho, empregadores, SENA ou outras instituições públicas nacionais;</w:t>
      </w:r>
    </w:p>
    <w:p>
      <w:pPr>
        <w:numPr>
          <w:ilvl w:val="0"/>
          <w:numId w:val="1016"/>
        </w:numPr>
        <w:pStyle w:val="Compact"/>
      </w:pPr>
      <w:r>
        <w:t xml:space="preserve">não envie dinheiro, documentos de identidade, dados bancários ou credenciais de conta por recrutador ou link de treinamento não verificado; e</w:t>
      </w:r>
    </w:p>
    <w:p>
      <w:pPr>
        <w:numPr>
          <w:ilvl w:val="0"/>
          <w:numId w:val="1016"/>
        </w:numPr>
        <w:pStyle w:val="Compact"/>
      </w:pPr>
      <w:r>
        <w:t xml:space="preserve">guarde alegações escritas e compare-as com fontes oficiais.</w:t>
      </w:r>
    </w:p>
    <w:p>
      <w:pPr>
        <w:pStyle w:val="FirstParagraph"/>
      </w:pPr>
      <w:r>
        <w:t xml:space="preserve">Um curso privado curto pode ser útil, mas não é automaticamente reconhecido para emprego, título profissional, regulador, laboratório, designação em local perigoso, programa respiratório ou credencial transfronteiriça.</w:t>
      </w:r>
    </w:p>
    <w:bookmarkEnd w:id="51"/>
    <w:bookmarkStart w:id="82" w:name="fontes-e-links-de-verificação"/>
    <w:p>
      <w:pPr>
        <w:pStyle w:val="Heading2"/>
      </w:pPr>
      <w:r>
        <w:t xml:space="preserve">Fontes e links de verificação</w:t>
      </w:r>
    </w:p>
    <w:bookmarkStart w:id="64" w:name="estados-unidos-3"/>
    <w:p>
      <w:pPr>
        <w:pStyle w:val="Heading3"/>
      </w:pPr>
      <w:r>
        <w:t xml:space="preserve">Estados Unidos</w:t>
      </w:r>
    </w:p>
    <w:p>
      <w:pPr>
        <w:numPr>
          <w:ilvl w:val="0"/>
          <w:numId w:val="1017"/>
        </w:numPr>
        <w:pStyle w:val="Compact"/>
      </w:pPr>
      <w:r>
        <w:t xml:space="preserve">U.S. Bureau of Labor Statistics, Environmental Science and Protection Technicians:</w:t>
      </w:r>
      <w:r>
        <w:t xml:space="preserve"> </w:t>
      </w:r>
      <w:hyperlink r:id="rId52">
        <w:r>
          <w:rPr>
            <w:rStyle w:val="Hyperlink"/>
          </w:rPr>
          <w:t xml:space="preserve">https://www.bls.gov/ooh/life-physical-and-social-science/environmental-science-and-protection-technicians.htm</w:t>
        </w:r>
      </w:hyperlink>
    </w:p>
    <w:p>
      <w:pPr>
        <w:numPr>
          <w:ilvl w:val="0"/>
          <w:numId w:val="1017"/>
        </w:numPr>
        <w:pStyle w:val="Compact"/>
      </w:pPr>
      <w:r>
        <w:t xml:space="preserve">O*NET OnLine, 19-4042.00:</w:t>
      </w:r>
      <w:r>
        <w:t xml:space="preserve"> </w:t>
      </w:r>
      <w:hyperlink r:id="rId53">
        <w:r>
          <w:rPr>
            <w:rStyle w:val="Hyperlink"/>
          </w:rPr>
          <w:t xml:space="preserve">https://www.onetonline.org/link/summary/19-4042.00</w:t>
        </w:r>
      </w:hyperlink>
    </w:p>
    <w:p>
      <w:pPr>
        <w:numPr>
          <w:ilvl w:val="0"/>
          <w:numId w:val="1017"/>
        </w:numPr>
        <w:pStyle w:val="Compact"/>
      </w:pPr>
      <w:r>
        <w:t xml:space="preserve">U.S. Bureau of Labor Statistics, Environmental Engineering Technologists and Technicians:</w:t>
      </w:r>
      <w:r>
        <w:t xml:space="preserve"> </w:t>
      </w:r>
      <w:hyperlink r:id="rId54">
        <w:r>
          <w:rPr>
            <w:rStyle w:val="Hyperlink"/>
          </w:rPr>
          <w:t xml:space="preserve">https://www.bls.gov/ooh/architecture-and-engineering/environmental-engineering-technicians.htm</w:t>
        </w:r>
      </w:hyperlink>
    </w:p>
    <w:p>
      <w:pPr>
        <w:numPr>
          <w:ilvl w:val="0"/>
          <w:numId w:val="1017"/>
        </w:numPr>
        <w:pStyle w:val="Compact"/>
      </w:pPr>
      <w:r>
        <w:t xml:space="preserve">OSHA, Hazardous Waste Operations and Emergency Response, 29 CFR 1910.120:</w:t>
      </w:r>
      <w:r>
        <w:t xml:space="preserve"> </w:t>
      </w:r>
      <w:hyperlink r:id="rId55">
        <w:r>
          <w:rPr>
            <w:rStyle w:val="Hyperlink"/>
          </w:rPr>
          <w:t xml:space="preserve">https://www.osha.gov/laws-regs/regulations/standardnumber/1910/1910.120/</w:t>
        </w:r>
      </w:hyperlink>
    </w:p>
    <w:p>
      <w:pPr>
        <w:numPr>
          <w:ilvl w:val="0"/>
          <w:numId w:val="1017"/>
        </w:numPr>
        <w:pStyle w:val="Compact"/>
      </w:pPr>
      <w:r>
        <w:t xml:space="preserve">OSHA, Personal Protective Equipment, 29 CFR 1910.132:</w:t>
      </w:r>
      <w:r>
        <w:t xml:space="preserve"> </w:t>
      </w:r>
      <w:hyperlink r:id="rId56">
        <w:r>
          <w:rPr>
            <w:rStyle w:val="Hyperlink"/>
          </w:rPr>
          <w:t xml:space="preserve">https://www.osha.gov/laws-regs/regulations/standardnumber/1910/1910.132</w:t>
        </w:r>
      </w:hyperlink>
    </w:p>
    <w:p>
      <w:pPr>
        <w:numPr>
          <w:ilvl w:val="0"/>
          <w:numId w:val="1017"/>
        </w:numPr>
        <w:pStyle w:val="Compact"/>
      </w:pPr>
      <w:r>
        <w:t xml:space="preserve">OSHA, Respiratory Protection, 29 CFR 1910.134:</w:t>
      </w:r>
      <w:r>
        <w:t xml:space="preserve"> </w:t>
      </w:r>
      <w:hyperlink r:id="rId57">
        <w:r>
          <w:rPr>
            <w:rStyle w:val="Hyperlink"/>
          </w:rPr>
          <w:t xml:space="preserve">https://www.osha.gov/laws-regs/regulations/standardnumber/1910/1910.134</w:t>
        </w:r>
      </w:hyperlink>
    </w:p>
    <w:p>
      <w:pPr>
        <w:numPr>
          <w:ilvl w:val="0"/>
          <w:numId w:val="1017"/>
        </w:numPr>
        <w:pStyle w:val="Compact"/>
      </w:pPr>
      <w:r>
        <w:t xml:space="preserve">OSHA, Hazard Communication, 29 CFR 1910.1200:</w:t>
      </w:r>
      <w:r>
        <w:t xml:space="preserve"> </w:t>
      </w:r>
      <w:hyperlink r:id="rId58">
        <w:r>
          <w:rPr>
            <w:rStyle w:val="Hyperlink"/>
          </w:rPr>
          <w:t xml:space="preserve">https://www.osha.gov/laws-regs/regulations/standardnumber/1910/1910.1200</w:t>
        </w:r>
      </w:hyperlink>
    </w:p>
    <w:p>
      <w:pPr>
        <w:numPr>
          <w:ilvl w:val="0"/>
          <w:numId w:val="1017"/>
        </w:numPr>
        <w:pStyle w:val="Compact"/>
      </w:pPr>
      <w:r>
        <w:t xml:space="preserve">OSHA, Permit-required Confined Spaces, 29 CFR 1910.146:</w:t>
      </w:r>
      <w:r>
        <w:t xml:space="preserve"> </w:t>
      </w:r>
      <w:hyperlink r:id="rId59">
        <w:r>
          <w:rPr>
            <w:rStyle w:val="Hyperlink"/>
          </w:rPr>
          <w:t xml:space="preserve">https://www.osha.gov/laws-regs/regulations/standardnumber/1910/1910.146</w:t>
        </w:r>
      </w:hyperlink>
    </w:p>
    <w:p>
      <w:pPr>
        <w:numPr>
          <w:ilvl w:val="0"/>
          <w:numId w:val="1017"/>
        </w:numPr>
        <w:pStyle w:val="Compact"/>
      </w:pPr>
      <w:r>
        <w:t xml:space="preserve">U.S. EPA, Field Sampling Quality Control:</w:t>
      </w:r>
      <w:r>
        <w:t xml:space="preserve"> </w:t>
      </w:r>
      <w:hyperlink r:id="rId60">
        <w:r>
          <w:rPr>
            <w:rStyle w:val="Hyperlink"/>
          </w:rPr>
          <w:t xml:space="preserve">https://www.epa.gov/quality/field-sampling-quality-control</w:t>
        </w:r>
      </w:hyperlink>
    </w:p>
    <w:p>
      <w:pPr>
        <w:numPr>
          <w:ilvl w:val="0"/>
          <w:numId w:val="1017"/>
        </w:numPr>
        <w:pStyle w:val="Compact"/>
      </w:pPr>
      <w:r>
        <w:t xml:space="preserve">U.S. EPA, Field Sample Collection:</w:t>
      </w:r>
      <w:r>
        <w:t xml:space="preserve"> </w:t>
      </w:r>
      <w:hyperlink r:id="rId61">
        <w:r>
          <w:rPr>
            <w:rStyle w:val="Hyperlink"/>
          </w:rPr>
          <w:t xml:space="preserve">https://www.epa.gov/choose-fish-and-shellfish-wisely/field-sample-collection</w:t>
        </w:r>
      </w:hyperlink>
    </w:p>
    <w:p>
      <w:pPr>
        <w:numPr>
          <w:ilvl w:val="0"/>
          <w:numId w:val="1017"/>
        </w:numPr>
        <w:pStyle w:val="Compact"/>
      </w:pPr>
      <w:r>
        <w:t xml:space="preserve">U.S. EPA, Collecting and Handling Samples:</w:t>
      </w:r>
      <w:r>
        <w:t xml:space="preserve"> </w:t>
      </w:r>
      <w:hyperlink r:id="rId62">
        <w:r>
          <w:rPr>
            <w:rStyle w:val="Hyperlink"/>
          </w:rPr>
          <w:t xml:space="preserve">https://www.epa.gov/choose-fish-and-shellfish-wisely/field-collecting-and-handling-samples</w:t>
        </w:r>
      </w:hyperlink>
    </w:p>
    <w:p>
      <w:pPr>
        <w:numPr>
          <w:ilvl w:val="0"/>
          <w:numId w:val="1017"/>
        </w:numPr>
        <w:pStyle w:val="Compact"/>
      </w:pPr>
      <w:r>
        <w:t xml:space="preserve">Federal Student Aid, 2026–27 FAFSA student steps:</w:t>
      </w:r>
      <w:r>
        <w:t xml:space="preserve"> </w:t>
      </w:r>
      <w:hyperlink r:id="rId63">
        <w:r>
          <w:rPr>
            <w:rStyle w:val="Hyperlink"/>
          </w:rPr>
          <w:t xml:space="preserve">https://studentaid.gov/articles/fafsa-student-steps/</w:t>
        </w:r>
      </w:hyperlink>
    </w:p>
    <w:bookmarkEnd w:id="64"/>
    <w:bookmarkStart w:id="70" w:name="canadá-3"/>
    <w:p>
      <w:pPr>
        <w:pStyle w:val="Heading3"/>
      </w:pPr>
      <w:r>
        <w:t xml:space="preserve">Canadá</w:t>
      </w:r>
    </w:p>
    <w:p>
      <w:pPr>
        <w:numPr>
          <w:ilvl w:val="0"/>
          <w:numId w:val="1018"/>
        </w:numPr>
        <w:pStyle w:val="Compact"/>
      </w:pPr>
      <w:r>
        <w:t xml:space="preserve">Government of Canada Job Bank, Environmental Technician summary:</w:t>
      </w:r>
      <w:r>
        <w:t xml:space="preserve"> </w:t>
      </w:r>
      <w:hyperlink r:id="rId65">
        <w:r>
          <w:rPr>
            <w:rStyle w:val="Hyperlink"/>
          </w:rPr>
          <w:t xml:space="preserve">https://www.jobbank.gc.ca/marketreport/summary-occupation/17971/ca</w:t>
        </w:r>
      </w:hyperlink>
    </w:p>
    <w:p>
      <w:pPr>
        <w:numPr>
          <w:ilvl w:val="0"/>
          <w:numId w:val="1018"/>
        </w:numPr>
        <w:pStyle w:val="Compact"/>
      </w:pPr>
      <w:r>
        <w:t xml:space="preserve">Government of Canada Job Bank, Environmental Technician wages:</w:t>
      </w:r>
      <w:r>
        <w:t xml:space="preserve"> </w:t>
      </w:r>
      <w:hyperlink r:id="rId66">
        <w:r>
          <w:rPr>
            <w:rStyle w:val="Hyperlink"/>
          </w:rPr>
          <w:t xml:space="preserve">https://www.jobbank.gc.ca/marketreport/wages-occupation/17971/ca</w:t>
        </w:r>
      </w:hyperlink>
    </w:p>
    <w:p>
      <w:pPr>
        <w:numPr>
          <w:ilvl w:val="0"/>
          <w:numId w:val="1018"/>
        </w:numPr>
        <w:pStyle w:val="Compact"/>
      </w:pPr>
      <w:r>
        <w:t xml:space="preserve">Government of Canada Job Bank, Environmental Technician requirements:</w:t>
      </w:r>
      <w:r>
        <w:t xml:space="preserve"> </w:t>
      </w:r>
      <w:hyperlink r:id="rId67">
        <w:r>
          <w:rPr>
            <w:rStyle w:val="Hyperlink"/>
          </w:rPr>
          <w:t xml:space="preserve">https://www.jobbank.gc.ca/marketreport/requirements/17971/ca</w:t>
        </w:r>
      </w:hyperlink>
    </w:p>
    <w:p>
      <w:pPr>
        <w:numPr>
          <w:ilvl w:val="0"/>
          <w:numId w:val="1018"/>
        </w:numPr>
        <w:pStyle w:val="Compact"/>
      </w:pPr>
      <w:r>
        <w:t xml:space="preserve">Government of Canada, Canada Student Grants and Loans:</w:t>
      </w:r>
      <w:r>
        <w:t xml:space="preserve"> </w:t>
      </w:r>
      <w:hyperlink r:id="rId68">
        <w:r>
          <w:rPr>
            <w:rStyle w:val="Hyperlink"/>
          </w:rPr>
          <w:t xml:space="preserve">https://www.canada.ca/en/services/benefits/education/student-aid/grants-loans.html</w:t>
        </w:r>
      </w:hyperlink>
    </w:p>
    <w:p>
      <w:pPr>
        <w:numPr>
          <w:ilvl w:val="0"/>
          <w:numId w:val="1018"/>
        </w:numPr>
        <w:pStyle w:val="Compact"/>
      </w:pPr>
      <w:r>
        <w:t xml:space="preserve">Government of Canada, How student-aid funding works:</w:t>
      </w:r>
      <w:r>
        <w:t xml:space="preserve"> </w:t>
      </w:r>
      <w:hyperlink r:id="rId69">
        <w:r>
          <w:rPr>
            <w:rStyle w:val="Hyperlink"/>
          </w:rPr>
          <w:t xml:space="preserve">https://www.canada.ca/en/services/benefits/education/student-aid/grants-loans/how-funding-works.html</w:t>
        </w:r>
      </w:hyperlink>
    </w:p>
    <w:bookmarkEnd w:id="70"/>
    <w:bookmarkStart w:id="77" w:name="colômbia-2"/>
    <w:p>
      <w:pPr>
        <w:pStyle w:val="Heading3"/>
      </w:pPr>
      <w:r>
        <w:t xml:space="preserve">Colômbia</w:t>
      </w:r>
    </w:p>
    <w:p>
      <w:pPr>
        <w:numPr>
          <w:ilvl w:val="0"/>
          <w:numId w:val="1019"/>
        </w:numPr>
        <w:pStyle w:val="Compact"/>
      </w:pPr>
      <w:r>
        <w:t xml:space="preserve">SENA/Betowa, Monitoreo ambiental:</w:t>
      </w:r>
      <w:r>
        <w:t xml:space="preserve"> </w:t>
      </w:r>
      <w:hyperlink r:id="rId71">
        <w:r>
          <w:rPr>
            <w:rStyle w:val="Hyperlink"/>
          </w:rPr>
          <w:t xml:space="preserve">https://betowa.sena.edu.co/oferta/monitoreo-ambiental?level=2&amp;modality=P&amp;offertype=open&amp;programId=109895</w:t>
        </w:r>
      </w:hyperlink>
    </w:p>
    <w:p>
      <w:pPr>
        <w:numPr>
          <w:ilvl w:val="0"/>
          <w:numId w:val="1019"/>
        </w:numPr>
        <w:pStyle w:val="Compact"/>
      </w:pPr>
      <w:r>
        <w:t xml:space="preserve">SENA/Betowa, Saneamiento y salud ambiental:</w:t>
      </w:r>
      <w:r>
        <w:t xml:space="preserve"> </w:t>
      </w:r>
      <w:hyperlink r:id="rId72">
        <w:r>
          <w:rPr>
            <w:rStyle w:val="Hyperlink"/>
          </w:rPr>
          <w:t xml:space="preserve">https://betowa.sena.edu.co/oferta/saneamiento-y-salud-ambiental?level=2&amp;modality=P&amp;offertype=company&amp;programId=167494</w:t>
        </w:r>
      </w:hyperlink>
    </w:p>
    <w:p>
      <w:pPr>
        <w:numPr>
          <w:ilvl w:val="0"/>
          <w:numId w:val="1019"/>
        </w:numPr>
        <w:pStyle w:val="Compact"/>
      </w:pPr>
      <w:r>
        <w:t xml:space="preserve">SENA/Betowa, Promotoría en manejo ambiental:</w:t>
      </w:r>
      <w:r>
        <w:t xml:space="preserve"> </w:t>
      </w:r>
      <w:hyperlink r:id="rId73">
        <w:r>
          <w:rPr>
            <w:rStyle w:val="Hyperlink"/>
          </w:rPr>
          <w:t xml:space="preserve">https://betowa.sena.edu.co/oferta/promotoria-en-manejo-ambiental?level=2&amp;modality=P&amp;offertype=company&amp;programId=163494</w:t>
        </w:r>
      </w:hyperlink>
    </w:p>
    <w:p>
      <w:pPr>
        <w:numPr>
          <w:ilvl w:val="0"/>
          <w:numId w:val="1019"/>
        </w:numPr>
        <w:pStyle w:val="Compact"/>
      </w:pPr>
      <w:r>
        <w:t xml:space="preserve">SENA/Betowa portal:</w:t>
      </w:r>
      <w:r>
        <w:t xml:space="preserve"> </w:t>
      </w:r>
      <w:hyperlink r:id="rId74">
        <w:r>
          <w:rPr>
            <w:rStyle w:val="Hyperlink"/>
          </w:rPr>
          <w:t xml:space="preserve">https://betowa.sena.edu.co/</w:t>
        </w:r>
      </w:hyperlink>
    </w:p>
    <w:p>
      <w:pPr>
        <w:numPr>
          <w:ilvl w:val="0"/>
          <w:numId w:val="1019"/>
        </w:numPr>
        <w:pStyle w:val="Compact"/>
      </w:pPr>
      <w:r>
        <w:t xml:space="preserve">SENA, 2026 public training call:</w:t>
      </w:r>
      <w:r>
        <w:t xml:space="preserve"> </w:t>
      </w:r>
      <w:hyperlink r:id="rId75">
        <w:r>
          <w:rPr>
            <w:rStyle w:val="Hyperlink"/>
          </w:rPr>
          <w:t xml:space="preserve">https://www.sena.edu.co/es-co/Noticias/Paginas/noticia.aspx?IdNoticia=9485</w:t>
        </w:r>
      </w:hyperlink>
    </w:p>
    <w:p>
      <w:pPr>
        <w:numPr>
          <w:ilvl w:val="0"/>
          <w:numId w:val="1019"/>
        </w:numPr>
        <w:pStyle w:val="Compact"/>
      </w:pPr>
      <w:r>
        <w:t xml:space="preserve">SUIN-Juriscol, Decreto 1072 de 2015:</w:t>
      </w:r>
      <w:r>
        <w:t xml:space="preserve"> </w:t>
      </w:r>
      <w:hyperlink r:id="rId76">
        <w:r>
          <w:rPr>
            <w:rStyle w:val="Hyperlink"/>
          </w:rPr>
          <w:t xml:space="preserve">https://www.suin-juriscol.gov.co/viewDocument.asp?ruta=Decretos%2F30019522</w:t>
        </w:r>
      </w:hyperlink>
    </w:p>
    <w:bookmarkEnd w:id="77"/>
    <w:bookmarkStart w:id="81" w:name="américa-latina-e-caribe-1"/>
    <w:p>
      <w:pPr>
        <w:pStyle w:val="Heading3"/>
      </w:pPr>
      <w:r>
        <w:t xml:space="preserve">América Latina e Caribe</w:t>
      </w:r>
    </w:p>
    <w:p>
      <w:pPr>
        <w:numPr>
          <w:ilvl w:val="0"/>
          <w:numId w:val="1020"/>
        </w:numPr>
        <w:pStyle w:val="Compact"/>
      </w:pPr>
      <w:r>
        <w:t xml:space="preserve">OIT/Cinterfor:</w:t>
      </w:r>
      <w:r>
        <w:t xml:space="preserve"> </w:t>
      </w:r>
      <w:hyperlink r:id="rId78">
        <w:r>
          <w:rPr>
            <w:rStyle w:val="Hyperlink"/>
          </w:rPr>
          <w:t xml:space="preserve">https://www.oitcinterfor.org/</w:t>
        </w:r>
      </w:hyperlink>
    </w:p>
    <w:p>
      <w:pPr>
        <w:numPr>
          <w:ilvl w:val="0"/>
          <w:numId w:val="1020"/>
        </w:numPr>
        <w:pStyle w:val="Compact"/>
      </w:pPr>
      <w:r>
        <w:t xml:space="preserve">OIT/Cinterfor, competencies for green jobs:</w:t>
      </w:r>
      <w:r>
        <w:t xml:space="preserve"> </w:t>
      </w:r>
      <w:hyperlink r:id="rId79">
        <w:r>
          <w:rPr>
            <w:rStyle w:val="Hyperlink"/>
          </w:rPr>
          <w:t xml:space="preserve">https://www.oitcinterfor.org/general/competencias-laborales-empleos-verdes</w:t>
        </w:r>
      </w:hyperlink>
    </w:p>
    <w:p>
      <w:pPr>
        <w:numPr>
          <w:ilvl w:val="0"/>
          <w:numId w:val="1020"/>
        </w:numPr>
        <w:pStyle w:val="Compact"/>
      </w:pPr>
      <w:r>
        <w:t xml:space="preserve">OIT/Cinterfor institutional network:</w:t>
      </w:r>
      <w:r>
        <w:t xml:space="preserve"> </w:t>
      </w:r>
      <w:hyperlink r:id="rId80">
        <w:r>
          <w:rPr>
            <w:rStyle w:val="Hyperlink"/>
          </w:rPr>
          <w:t xml:space="preserve">https://www.oitcinterfor.org/red-institucional</w:t>
        </w:r>
      </w:hyperlink>
    </w:p>
    <w:p>
      <w:pPr>
        <w:pStyle w:val="FirstParagraph"/>
      </w:pPr>
      <w:r>
        <w:t xml:space="preserve">Essas fontes foram selecionadas para verificação ocupacional, educacional, de segurança, qualidade, financiamento e caminhos de formação. Um link de fonte não significa que toda regra ou método se aplique a todo projeto.</w:t>
      </w:r>
    </w:p>
    <w:p>
      <w:pPr>
        <w:pStyle w:val="BodyText"/>
      </w:pPr>
      <w:r>
        <w:rPr>
          <w:bCs/>
          <w:b/>
        </w:rPr>
        <w:t xml:space="preserve">Limitações e não garantias:</w:t>
      </w:r>
      <w:r>
        <w:t xml:space="preserve"> </w:t>
      </w:r>
      <w:r>
        <w:t xml:space="preserve">este guia não garante emprego, salários, vagas, admissão, financiamento, estágio de campo, certificação, licença, registro profissional, qualificação HAZWOPER, qualificação respiratória, acesso ao local, autorização, promoção ou rendimentos. Requisitos mudam. Verifique regras atuais com o empregador, projeto, laboratório, autoridade ambiental, autoridade trabalhista/de segurança, instituição educacional, regulador, órgão profissional e autoridade de financiamento relevantes antes de gastar dinheiro ou realizar trabalho controlado.</w:t>
      </w:r>
    </w:p>
    <w:p>
      <w:pPr>
        <w:pStyle w:val="BodyText"/>
      </w:pPr>
      <w:r>
        <w:rPr>
          <w:bCs/>
          <w:b/>
        </w:rPr>
        <w:t xml:space="preserve">Limite de garantia:</w:t>
      </w:r>
      <w:r>
        <w:t xml:space="preserve"> </w:t>
      </w:r>
      <w:r>
        <w:t xml:space="preserve">este guia é material educacional de planejamento profissional. Não afirma revisão humana independente, certificação profissional de tradução, certificação de acessibilidade, revisão jurídica ou ambiental, aprovação laboratorial ou de engenharia, revisão de higiene ocupacional ou médica, qualificação para resíduos perigosos, qualificação de proteção respiratória, qualificação de espaço confinado ou resgate, aprovação de método de amostragem, determinação regulatória/licenciamento ou acreditação.</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 TargetMode="External" /><Relationship Type="http://schemas.openxmlformats.org/officeDocument/2006/relationships/hyperlink" Id="rId71" Target="https://betowa.sena.edu.co/oferta/monitoreo-ambiental?level=2&amp;modality=P&amp;offertype=open&amp;programId=109895" TargetMode="External" /><Relationship Type="http://schemas.openxmlformats.org/officeDocument/2006/relationships/hyperlink" Id="rId73" Target="https://betowa.sena.edu.co/oferta/promotoria-en-manejo-ambiental?level=2&amp;modality=P&amp;offertype=company&amp;programId=163494" TargetMode="External" /><Relationship Type="http://schemas.openxmlformats.org/officeDocument/2006/relationships/hyperlink" Id="rId72" Target="https://betowa.sena.edu.co/oferta/saneamiento-y-salud-ambiental?level=2&amp;modality=P&amp;offertype=company&amp;programId=167494" TargetMode="External" /><Relationship Type="http://schemas.openxmlformats.org/officeDocument/2006/relationships/hyperlink" Id="rId63" Target="https://studentaid.gov/articles/fafsa-student-steps/" TargetMode="External" /><Relationship Type="http://schemas.openxmlformats.org/officeDocument/2006/relationships/hyperlink" Id="rId54" Target="https://www.bls.gov/ooh/architecture-and-engineering/environmental-engineering-technicians.htm" TargetMode="External" /><Relationship Type="http://schemas.openxmlformats.org/officeDocument/2006/relationships/hyperlink" Id="rId52" Target="https://www.bls.gov/ooh/life-physical-and-social-science/environmental-science-and-protection-technicians.htm" TargetMode="External" /><Relationship Type="http://schemas.openxmlformats.org/officeDocument/2006/relationships/hyperlink" Id="rId68" Target="https://www.canada.ca/en/services/benefits/education/student-aid/grants-loans.html" TargetMode="External" /><Relationship Type="http://schemas.openxmlformats.org/officeDocument/2006/relationships/hyperlink" Id="rId69" Target="https://www.canada.ca/en/services/benefits/education/student-aid/grants-loans/how-funding-works.html" TargetMode="External" /><Relationship Type="http://schemas.openxmlformats.org/officeDocument/2006/relationships/hyperlink" Id="rId62" Target="https://www.epa.gov/choose-fish-and-shellfish-wisely/field-collecting-and-handling-samples" TargetMode="External" /><Relationship Type="http://schemas.openxmlformats.org/officeDocument/2006/relationships/hyperlink" Id="rId61" Target="https://www.epa.gov/choose-fish-and-shellfish-wisely/field-sample-collection" TargetMode="External" /><Relationship Type="http://schemas.openxmlformats.org/officeDocument/2006/relationships/hyperlink" Id="rId60" Target="https://www.epa.gov/quality/field-sampling-quality-control" TargetMode="External" /><Relationship Type="http://schemas.openxmlformats.org/officeDocument/2006/relationships/hyperlink" Id="rId67" Target="https://www.jobbank.gc.ca/marketreport/requirements/17971/ca" TargetMode="External" /><Relationship Type="http://schemas.openxmlformats.org/officeDocument/2006/relationships/hyperlink" Id="rId65" Target="https://www.jobbank.gc.ca/marketreport/summary-occupation/17971/ca" TargetMode="External" /><Relationship Type="http://schemas.openxmlformats.org/officeDocument/2006/relationships/hyperlink" Id="rId66" Target="https://www.jobbank.gc.ca/marketreport/wages-occupation/17971/ca" TargetMode="External" /><Relationship Type="http://schemas.openxmlformats.org/officeDocument/2006/relationships/hyperlink" Id="rId78" Target="https://www.oitcinterfor.org/" TargetMode="External" /><Relationship Type="http://schemas.openxmlformats.org/officeDocument/2006/relationships/hyperlink" Id="rId79" Target="https://www.oitcinterfor.org/general/competencias-laborales-empleos-verdes" TargetMode="External" /><Relationship Type="http://schemas.openxmlformats.org/officeDocument/2006/relationships/hyperlink" Id="rId80" Target="https://www.oitcinterfor.org/red-institucional" TargetMode="External" /><Relationship Type="http://schemas.openxmlformats.org/officeDocument/2006/relationships/hyperlink" Id="rId53" Target="https://www.onetonline.org/link/summary/19-4042.00" TargetMode="External" /><Relationship Type="http://schemas.openxmlformats.org/officeDocument/2006/relationships/hyperlink" Id="rId55" Target="https://www.osha.gov/laws-regs/regulations/standardnumber/1910/1910.120/" TargetMode="External" /><Relationship Type="http://schemas.openxmlformats.org/officeDocument/2006/relationships/hyperlink" Id="rId58" Target="https://www.osha.gov/laws-regs/regulations/standardnumber/1910/1910.1200" TargetMode="External" /><Relationship Type="http://schemas.openxmlformats.org/officeDocument/2006/relationships/hyperlink" Id="rId56" Target="https://www.osha.gov/laws-regs/regulations/standardnumber/1910/1910.132" TargetMode="External" /><Relationship Type="http://schemas.openxmlformats.org/officeDocument/2006/relationships/hyperlink" Id="rId57" Target="https://www.osha.gov/laws-regs/regulations/standardnumber/1910/1910.134" TargetMode="External" /><Relationship Type="http://schemas.openxmlformats.org/officeDocument/2006/relationships/hyperlink" Id="rId59" Target="https://www.osha.gov/laws-regs/regulations/standardnumber/1910/1910.146" TargetMode="External" /><Relationship Type="http://schemas.openxmlformats.org/officeDocument/2006/relationships/hyperlink" Id="rId75" Target="https://www.sena.edu.co/es-co/Noticias/Paginas/noticia.aspx?IdNoticia=9485" TargetMode="External" /><Relationship Type="http://schemas.openxmlformats.org/officeDocument/2006/relationships/hyperlink" Id="rId76" Target="https://www.suin-juriscol.gov.co/viewDocument.asp?ruta=Decretos%2F30019522"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 TargetMode="External" /><Relationship Type="http://schemas.openxmlformats.org/officeDocument/2006/relationships/hyperlink" Id="rId71" Target="https://betowa.sena.edu.co/oferta/monitoreo-ambiental?level=2&amp;modality=P&amp;offertype=open&amp;programId=109895" TargetMode="External" /><Relationship Type="http://schemas.openxmlformats.org/officeDocument/2006/relationships/hyperlink" Id="rId73" Target="https://betowa.sena.edu.co/oferta/promotoria-en-manejo-ambiental?level=2&amp;modality=P&amp;offertype=company&amp;programId=163494" TargetMode="External" /><Relationship Type="http://schemas.openxmlformats.org/officeDocument/2006/relationships/hyperlink" Id="rId72" Target="https://betowa.sena.edu.co/oferta/saneamiento-y-salud-ambiental?level=2&amp;modality=P&amp;offertype=company&amp;programId=167494" TargetMode="External" /><Relationship Type="http://schemas.openxmlformats.org/officeDocument/2006/relationships/hyperlink" Id="rId63" Target="https://studentaid.gov/articles/fafsa-student-steps/" TargetMode="External" /><Relationship Type="http://schemas.openxmlformats.org/officeDocument/2006/relationships/hyperlink" Id="rId54" Target="https://www.bls.gov/ooh/architecture-and-engineering/environmental-engineering-technicians.htm" TargetMode="External" /><Relationship Type="http://schemas.openxmlformats.org/officeDocument/2006/relationships/hyperlink" Id="rId52" Target="https://www.bls.gov/ooh/life-physical-and-social-science/environmental-science-and-protection-technicians.htm" TargetMode="External" /><Relationship Type="http://schemas.openxmlformats.org/officeDocument/2006/relationships/hyperlink" Id="rId68" Target="https://www.canada.ca/en/services/benefits/education/student-aid/grants-loans.html" TargetMode="External" /><Relationship Type="http://schemas.openxmlformats.org/officeDocument/2006/relationships/hyperlink" Id="rId69" Target="https://www.canada.ca/en/services/benefits/education/student-aid/grants-loans/how-funding-works.html" TargetMode="External" /><Relationship Type="http://schemas.openxmlformats.org/officeDocument/2006/relationships/hyperlink" Id="rId62" Target="https://www.epa.gov/choose-fish-and-shellfish-wisely/field-collecting-and-handling-samples" TargetMode="External" /><Relationship Type="http://schemas.openxmlformats.org/officeDocument/2006/relationships/hyperlink" Id="rId61" Target="https://www.epa.gov/choose-fish-and-shellfish-wisely/field-sample-collection" TargetMode="External" /><Relationship Type="http://schemas.openxmlformats.org/officeDocument/2006/relationships/hyperlink" Id="rId60" Target="https://www.epa.gov/quality/field-sampling-quality-control" TargetMode="External" /><Relationship Type="http://schemas.openxmlformats.org/officeDocument/2006/relationships/hyperlink" Id="rId67" Target="https://www.jobbank.gc.ca/marketreport/requirements/17971/ca" TargetMode="External" /><Relationship Type="http://schemas.openxmlformats.org/officeDocument/2006/relationships/hyperlink" Id="rId65" Target="https://www.jobbank.gc.ca/marketreport/summary-occupation/17971/ca" TargetMode="External" /><Relationship Type="http://schemas.openxmlformats.org/officeDocument/2006/relationships/hyperlink" Id="rId66" Target="https://www.jobbank.gc.ca/marketreport/wages-occupation/17971/ca" TargetMode="External" /><Relationship Type="http://schemas.openxmlformats.org/officeDocument/2006/relationships/hyperlink" Id="rId78" Target="https://www.oitcinterfor.org/" TargetMode="External" /><Relationship Type="http://schemas.openxmlformats.org/officeDocument/2006/relationships/hyperlink" Id="rId79" Target="https://www.oitcinterfor.org/general/competencias-laborales-empleos-verdes" TargetMode="External" /><Relationship Type="http://schemas.openxmlformats.org/officeDocument/2006/relationships/hyperlink" Id="rId80" Target="https://www.oitcinterfor.org/red-institucional" TargetMode="External" /><Relationship Type="http://schemas.openxmlformats.org/officeDocument/2006/relationships/hyperlink" Id="rId53" Target="https://www.onetonline.org/link/summary/19-4042.00" TargetMode="External" /><Relationship Type="http://schemas.openxmlformats.org/officeDocument/2006/relationships/hyperlink" Id="rId55" Target="https://www.osha.gov/laws-regs/regulations/standardnumber/1910/1910.120/" TargetMode="External" /><Relationship Type="http://schemas.openxmlformats.org/officeDocument/2006/relationships/hyperlink" Id="rId58" Target="https://www.osha.gov/laws-regs/regulations/standardnumber/1910/1910.1200" TargetMode="External" /><Relationship Type="http://schemas.openxmlformats.org/officeDocument/2006/relationships/hyperlink" Id="rId56" Target="https://www.osha.gov/laws-regs/regulations/standardnumber/1910/1910.132" TargetMode="External" /><Relationship Type="http://schemas.openxmlformats.org/officeDocument/2006/relationships/hyperlink" Id="rId57" Target="https://www.osha.gov/laws-regs/regulations/standardnumber/1910/1910.134" TargetMode="External" /><Relationship Type="http://schemas.openxmlformats.org/officeDocument/2006/relationships/hyperlink" Id="rId59" Target="https://www.osha.gov/laws-regs/regulations/standardnumber/1910/1910.146" TargetMode="External" /><Relationship Type="http://schemas.openxmlformats.org/officeDocument/2006/relationships/hyperlink" Id="rId75" Target="https://www.sena.edu.co/es-co/Noticias/Paginas/noticia.aspx?IdNoticia=9485" TargetMode="External" /><Relationship Type="http://schemas.openxmlformats.org/officeDocument/2006/relationships/hyperlink" Id="rId76" Target="https://www.suin-juriscol.gov.co/viewDocument.asp?ruta=Decretos%2F30019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2026-08-18T12:33:24Z</dcterms:created>
  <dcterms:modified xsi:type="dcterms:W3CDTF">2026-08-18T12:33:24Z</dcterms:modified>
</cp:coreProperties>
</file>

<file path=docProps/custom.xml><?xml version="1.0" encoding="utf-8"?>
<Properties xmlns="http://schemas.openxmlformats.org/officeDocument/2006/custom-properties" xmlns:vt="http://schemas.openxmlformats.org/officeDocument/2006/docPropsVTypes"/>
</file>