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guia-47--técnico-em-farmácia"/>
    <w:p>
      <w:pPr>
        <w:pStyle w:val="Heading1"/>
      </w:pPr>
      <w:r>
        <w:t xml:space="preserve">Guia 47 — Técnico em Farmácia</w:t>
      </w:r>
    </w:p>
    <w:p>
      <w:pPr>
        <w:pStyle w:val="FirstParagraph"/>
      </w:pPr>
      <w:r>
        <w:rPr>
          <w:bCs/>
          <w:b/>
        </w:rPr>
        <w:t xml:space="preserve">Mestre de trabalho controlado em português do Brasil (</w:t>
      </w:r>
      <w:r>
        <w:rPr>
          <w:rStyle w:val="VerbatimChar"/>
          <w:bCs/>
          <w:b/>
        </w:rPr>
        <w:t xml:space="preserve">pt-BR</w:t>
      </w:r>
      <w:r>
        <w:rPr>
          <w:bCs/>
          <w:b/>
        </w:rPr>
        <w:t xml:space="preserve">) — versão 2.0</w:t>
      </w:r>
      <w:r>
        <w:br/>
      </w:r>
      <w:r>
        <w:rPr>
          <w:bCs/>
          <w:b/>
        </w:rPr>
        <w:t xml:space="preserve">Data da revisão:</w:t>
      </w:r>
      <w:r>
        <w:t xml:space="preserve"> </w:t>
      </w:r>
      <w:r>
        <w:t xml:space="preserve">18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Técnicos em farmácia dão suporte a farmacêuticos e equipes de farmácia no processamento de prescrições, preparação de medicamentos, estoque, registros, atendimento ao cliente, fluxos de seguros ou pagamentos e outras operações técnicas de farmácia. O escopo legal exato varia conforme a jurisdição, o empregador, o ambiente, a credencial, o modelo de supervisão e a tarefa.</w:t>
      </w:r>
    </w:p>
    <w:p>
      <w:pPr>
        <w:pStyle w:val="BodyText"/>
      </w:pPr>
      <w:r>
        <w:t xml:space="preserve">Nos Estados Unidos, a principal referência ocupacional é</w:t>
      </w:r>
      <w:r>
        <w:t xml:space="preserve"> </w:t>
      </w:r>
      <w:r>
        <w:rPr>
          <w:bCs/>
          <w:b/>
        </w:rPr>
        <w:t xml:space="preserve">Pharmacy Technicians — O*NET/SOC 29-2052.00</w:t>
      </w:r>
      <w:r>
        <w:t xml:space="preserve">. O O*NET descreve os técnicos como profissionais que preparam medicamentos sob a direção de um farmacêutico. O U.S. Bureau of Labor Statistics informa que técnicos em farmácia ajudam farmacêuticos a dispensar medicamentos prescritos a pacientes ou profissionais de saúde e, em geral, trabalham sob supervisão farmacêutica.</w:t>
      </w:r>
    </w:p>
    <w:p>
      <w:pPr>
        <w:pStyle w:val="BodyText"/>
      </w:pPr>
      <w:r>
        <w:t xml:space="preserve">Os empregadores podem usar títulos como pharmacy technician, pharmacy tech, certified pharmacy technician, registered pharmacy technician, inpatient pharmacy technician, outpatient pharmacy technician, medication history technician, compounding technician, specialty pharmacy technician ou pharmacy operations technician. Títulos semelhantes podem ter requisitos legais e responsabilidades muito diferentes.</w:t>
      </w:r>
    </w:p>
    <w:p>
      <w:pPr>
        <w:pStyle w:val="BodyText"/>
      </w:pPr>
      <w:r>
        <w:t xml:space="preserve">Este guia serve para exploração e preparação de carreira. Ele não é instrução de prática farmacêutica, orientação médica, orientação de prescrição, procedimento de manipulação, instrução para administração de vacinas, procedimento sobre substâncias controladas, aconselhamento jurídico ou regulatório, nem autorização para realizar um ato regulado.</w:t>
      </w:r>
    </w:p>
    <w:bookmarkEnd w:id="20"/>
    <w:bookmarkStart w:id="21" w:name="o-que-técnicos-em-farmácia-podem-fazer"/>
    <w:p>
      <w:pPr>
        <w:pStyle w:val="Heading2"/>
      </w:pPr>
      <w:r>
        <w:t xml:space="preserve">O que técnicos em farmácia podem fazer</w:t>
      </w:r>
    </w:p>
    <w:p>
      <w:pPr>
        <w:pStyle w:val="FirstParagraph"/>
      </w:pPr>
      <w:r>
        <w:t xml:space="preserve">Dependendo da jurisdição, ambiente, formação, procedimento do empregador e supervisão, o trabalho pode incluir:</w:t>
      </w:r>
    </w:p>
    <w:p>
      <w:pPr>
        <w:numPr>
          <w:ilvl w:val="0"/>
          <w:numId w:val="1001"/>
        </w:numPr>
        <w:pStyle w:val="Compact"/>
      </w:pPr>
      <w:r>
        <w:t xml:space="preserve">receber informações de prescrição e verificar se os campos obrigatórios estão presentes antes de encaminhá-las pelo fluxo aprovado da farmácia;</w:t>
      </w:r>
    </w:p>
    <w:p>
      <w:pPr>
        <w:numPr>
          <w:ilvl w:val="0"/>
          <w:numId w:val="1001"/>
        </w:numPr>
        <w:pStyle w:val="Compact"/>
      </w:pPr>
      <w:r>
        <w:t xml:space="preserve">inserir informações de prescrições, pacientes, seguros, prescritores e medicamentos em sistemas farmacêuticos autorizados;</w:t>
      </w:r>
    </w:p>
    <w:p>
      <w:pPr>
        <w:numPr>
          <w:ilvl w:val="0"/>
          <w:numId w:val="1001"/>
        </w:numPr>
        <w:pStyle w:val="Compact"/>
      </w:pPr>
      <w:r>
        <w:t xml:space="preserve">contar, medir, embalar e rotular medicamentos dentro de procedimentos autorizados;</w:t>
      </w:r>
    </w:p>
    <w:p>
      <w:pPr>
        <w:numPr>
          <w:ilvl w:val="0"/>
          <w:numId w:val="1001"/>
        </w:numPr>
        <w:pStyle w:val="Compact"/>
      </w:pPr>
      <w:r>
        <w:t xml:space="preserve">organizar e repor estoque e relatar faltas, produtos danificados, recalls, problemas de armazenamento ou discrepâncias;</w:t>
      </w:r>
    </w:p>
    <w:p>
      <w:pPr>
        <w:numPr>
          <w:ilvl w:val="0"/>
          <w:numId w:val="1001"/>
        </w:numPr>
        <w:pStyle w:val="Compact"/>
      </w:pPr>
      <w:r>
        <w:t xml:space="preserve">processar transações de pagamento e seguro dentro das responsabilidades atribuídas;</w:t>
      </w:r>
    </w:p>
    <w:p>
      <w:pPr>
        <w:numPr>
          <w:ilvl w:val="0"/>
          <w:numId w:val="1001"/>
        </w:numPr>
        <w:pStyle w:val="Compact"/>
      </w:pPr>
      <w:r>
        <w:t xml:space="preserve">atender telefones e encaminhar perguntas clínicas ou sobre uso de medicamentos a um farmacêutico ou outro profissional autorizado;</w:t>
      </w:r>
    </w:p>
    <w:p>
      <w:pPr>
        <w:numPr>
          <w:ilvl w:val="0"/>
          <w:numId w:val="1001"/>
        </w:numPr>
        <w:pStyle w:val="Compact"/>
      </w:pPr>
      <w:r>
        <w:t xml:space="preserve">receber, armazenar, separar, preparar para despacho ou distribuir medicamentos e suprimentos médicos conforme procedimentos aprovados;</w:t>
      </w:r>
    </w:p>
    <w:p>
      <w:pPr>
        <w:numPr>
          <w:ilvl w:val="0"/>
          <w:numId w:val="1001"/>
        </w:numPr>
        <w:pStyle w:val="Compact"/>
      </w:pPr>
      <w:r>
        <w:t xml:space="preserve">manter registros, trilhas de auditoria, inventários, registros de entrega e documentação de qualidade exigidos;</w:t>
      </w:r>
    </w:p>
    <w:p>
      <w:pPr>
        <w:numPr>
          <w:ilvl w:val="0"/>
          <w:numId w:val="1001"/>
        </w:numPr>
        <w:pStyle w:val="Compact"/>
      </w:pPr>
      <w:r>
        <w:t xml:space="preserve">auxiliar em sistemas automatizados de dispensação ou outras tecnologias de farmácia após treinamento e autorização;</w:t>
      </w:r>
    </w:p>
    <w:p>
      <w:pPr>
        <w:numPr>
          <w:ilvl w:val="0"/>
          <w:numId w:val="1001"/>
        </w:numPr>
        <w:pStyle w:val="Compact"/>
      </w:pPr>
      <w:r>
        <w:t xml:space="preserve">apoiar histórico de medicamentos, farmácia especializada, distribuição hospitalar ou outras funções avançadas quando qualificado; e</w:t>
      </w:r>
    </w:p>
    <w:p>
      <w:pPr>
        <w:numPr>
          <w:ilvl w:val="0"/>
          <w:numId w:val="1001"/>
        </w:numPr>
        <w:pStyle w:val="Compact"/>
      </w:pPr>
      <w:r>
        <w:t xml:space="preserve">interromper e escalar quando houver incerteza sobre informação, identidade, seleção do medicamento, quantidade, armazenamento, autorização ou estado do sistema.</w:t>
      </w:r>
    </w:p>
    <w:p>
      <w:pPr>
        <w:pStyle w:val="FirstParagraph"/>
      </w:pPr>
      <w:r>
        <w:t xml:space="preserve">O BLS observa que, em alguns estados dos EUA, técnicos treinados podem manipular ou misturar determinados medicamentos, contatar prescritores sobre autorizações de renovação ou administrar vacinas sob supervisão de um farmacêutico. Esses são exemplos de escopo dependente da jurisdição; não são permissões universais.</w:t>
      </w:r>
    </w:p>
    <w:bookmarkEnd w:id="21"/>
    <w:bookmarkStart w:id="22" w:name="X1acb7a5bcf736024ada2c80233a8f50eb06451b"/>
    <w:p>
      <w:pPr>
        <w:pStyle w:val="Heading2"/>
      </w:pPr>
      <w:r>
        <w:t xml:space="preserve">O que técnicos em farmácia não decidem de forma independente</w:t>
      </w:r>
    </w:p>
    <w:p>
      <w:pPr>
        <w:pStyle w:val="FirstParagraph"/>
      </w:pPr>
      <w:r>
        <w:t xml:space="preserve">A função de técnico não cria autoridade independente para diagnosticar, prescrever, selecionar terapia, alterar medicamento ou dose prescritos, decidir se um medicamento é clinicamente apropriado, prestar aconselhamento reservado ao farmacêutico, realizar verificação clínica final, autorizar renovação fora das regras da jurisdição, contornar salvaguardas de substâncias controladas ou ocultar erro de medicação.</w:t>
      </w:r>
    </w:p>
    <w:p>
      <w:pPr>
        <w:pStyle w:val="BodyText"/>
      </w:pPr>
      <w:r>
        <w:t xml:space="preserve">Se um paciente perguntar se um medicamento é seguro, se dois medicamentos podem ser tomados juntos, se uma dose deve ser alterada, se um efeito adverso é perigoso, se um medicamento deve ser interrompido ou qual terapia é melhor, encaminhe a questão ao farmacêutico ou a outro profissional clínico autorizado conforme o processo do empregador.</w:t>
      </w:r>
    </w:p>
    <w:p>
      <w:pPr>
        <w:pStyle w:val="BodyText"/>
      </w:pPr>
      <w:r>
        <w:t xml:space="preserve">Não se apresente como farmacêutico, prescritor, regulador farmacêutico, técnico certificado, técnico registrado, especialista em manipulação estéril, aplicador de vacinas ou outra função credenciada a menos que você realmente possua a credencial exigida e autorização vigente.</w:t>
      </w:r>
    </w:p>
    <w:bookmarkEnd w:id="22"/>
    <w:bookmarkStart w:id="23" w:name="Xe8f80fd5ef8c70a252bcdfc62233e3144a7238f"/>
    <w:p>
      <w:pPr>
        <w:pStyle w:val="Heading2"/>
      </w:pPr>
      <w:r>
        <w:t xml:space="preserve">A precisão e a identificação do paciente vêm primeiro</w:t>
      </w:r>
    </w:p>
    <w:p>
      <w:pPr>
        <w:pStyle w:val="FirstParagraph"/>
      </w:pPr>
      <w:r>
        <w:t xml:space="preserve">O trabalho em farmácia exige grande atenção a detalhes. Danos graves podem ocorrer pela seleção do paciente, medicamento, concentração, forma farmacêutica, quantidade, rótulo, instruções, via, embalagem ou condição de armazenamento incorretos.</w:t>
      </w:r>
    </w:p>
    <w:p>
      <w:pPr>
        <w:pStyle w:val="BodyText"/>
      </w:pPr>
      <w:r>
        <w:t xml:space="preserve">Siga os controles aprovados da farmácia para identificação, código de barras, seleção de produto, verificação, documentação e escalonamento. Não dependa da memória, cor da embalagem, posição na prateleira, foto, site não oficial ou resposta de IA quando o sistema aprovado ou a revisão do farmacêutico for exigida.</w:t>
      </w:r>
    </w:p>
    <w:p>
      <w:pPr>
        <w:pStyle w:val="BodyText"/>
      </w:pPr>
      <w:r>
        <w:t xml:space="preserve">Interrompa e escale quando:</w:t>
      </w:r>
    </w:p>
    <w:p>
      <w:pPr>
        <w:numPr>
          <w:ilvl w:val="0"/>
          <w:numId w:val="1002"/>
        </w:numPr>
        <w:pStyle w:val="Compact"/>
      </w:pPr>
      <w:r>
        <w:t xml:space="preserve">a identidade do paciente for incerta ou vários perfis parecerem corresponder;</w:t>
      </w:r>
    </w:p>
    <w:p>
      <w:pPr>
        <w:numPr>
          <w:ilvl w:val="0"/>
          <w:numId w:val="1002"/>
        </w:numPr>
        <w:pStyle w:val="Compact"/>
      </w:pPr>
      <w:r>
        <w:t xml:space="preserve">uma prescrição estiver incompleta, contraditória, danificada, ilegível, vencida ou fora do fluxo normal;</w:t>
      </w:r>
    </w:p>
    <w:p>
      <w:pPr>
        <w:numPr>
          <w:ilvl w:val="0"/>
          <w:numId w:val="1002"/>
        </w:numPr>
        <w:pStyle w:val="Compact"/>
      </w:pPr>
      <w:r>
        <w:t xml:space="preserve">o produto, concentração, forma farmacêutica, tamanho da embalagem, quantidade, instruções, informação do prescritor, alergias ou registro do seguro entrarem em conflito com outra fonte;</w:t>
      </w:r>
    </w:p>
    <w:p>
      <w:pPr>
        <w:numPr>
          <w:ilvl w:val="0"/>
          <w:numId w:val="1002"/>
        </w:numPr>
        <w:pStyle w:val="Compact"/>
      </w:pPr>
      <w:r>
        <w:t xml:space="preserve">um medicamento ou embalagem parecer diferente do indicado pelo sistema ou ordem de trabalho;</w:t>
      </w:r>
    </w:p>
    <w:p>
      <w:pPr>
        <w:numPr>
          <w:ilvl w:val="0"/>
          <w:numId w:val="1002"/>
        </w:numPr>
        <w:pStyle w:val="Compact"/>
      </w:pPr>
      <w:r>
        <w:t xml:space="preserve">um código de barras, número de lote, data de validade, registro de armazenamento, alarme de geladeira/freezer, aviso de recall ou contagem de estoque estiver inconsistente;</w:t>
      </w:r>
    </w:p>
    <w:p>
      <w:pPr>
        <w:numPr>
          <w:ilvl w:val="0"/>
          <w:numId w:val="1002"/>
        </w:numPr>
        <w:pStyle w:val="Compact"/>
      </w:pPr>
      <w:r>
        <w:t xml:space="preserve">uma contagem de substâncias controladas ou trilha de auditoria não fechar;</w:t>
      </w:r>
    </w:p>
    <w:p>
      <w:pPr>
        <w:numPr>
          <w:ilvl w:val="0"/>
          <w:numId w:val="1002"/>
        </w:numPr>
        <w:pStyle w:val="Compact"/>
      </w:pPr>
      <w:r>
        <w:t xml:space="preserve">uma etapa de manipulação, embalagem, rotulagem ou uso de equipamento estiver fora do seu treinamento ou procedimento;</w:t>
      </w:r>
    </w:p>
    <w:p>
      <w:pPr>
        <w:numPr>
          <w:ilvl w:val="0"/>
          <w:numId w:val="1002"/>
        </w:numPr>
        <w:pStyle w:val="Compact"/>
      </w:pPr>
      <w:r>
        <w:t xml:space="preserve">um paciente ou prescritor solicitar uma decisão clínica fora da sua função; ou</w:t>
      </w:r>
    </w:p>
    <w:p>
      <w:pPr>
        <w:numPr>
          <w:ilvl w:val="0"/>
          <w:numId w:val="1002"/>
        </w:numPr>
        <w:pStyle w:val="Compact"/>
      </w:pPr>
      <w:r>
        <w:t xml:space="preserve">a pressão de produção entrar em conflito com precisão, privacidade, segurança ou requisitos legais.</w:t>
      </w:r>
    </w:p>
    <w:p>
      <w:pPr>
        <w:pStyle w:val="FirstParagraph"/>
      </w:pPr>
      <w:r>
        <w:t xml:space="preserve">Nunca invente, preencha retroativamente, copie adiante, normalize silenciosamente ou altere dados de prescrição ou paciente para fazer uma transação passar.</w:t>
      </w:r>
    </w:p>
    <w:bookmarkEnd w:id="23"/>
    <w:bookmarkStart w:id="24" w:name="X0e5bb51284e9552b761406894e015fc376015cd"/>
    <w:p>
      <w:pPr>
        <w:pStyle w:val="Heading2"/>
      </w:pPr>
      <w:r>
        <w:t xml:space="preserve">Armazenamento de medicamentos, recalls e estoque</w:t>
      </w:r>
    </w:p>
    <w:p>
      <w:pPr>
        <w:pStyle w:val="FirstParagraph"/>
      </w:pPr>
      <w:r>
        <w:t xml:space="preserve">Técnicos em farmácia podem ajudar a receber, armazenar, rotacionar, monitorar e reconciliar estoque de medicamentos. Siga a rotulagem do fabricante, a política da farmácia, os sistemas aprovados de monitoramento de temperatura, requisitos para substâncias controladas, procedimentos de recall/quarentena e orientação da supervisão.</w:t>
      </w:r>
    </w:p>
    <w:p>
      <w:pPr>
        <w:pStyle w:val="BodyText"/>
      </w:pPr>
      <w:r>
        <w:t xml:space="preserve">Não improvise faixa de temperatura, período de estabilidade, data de validade, beyond-use date, decisão de quarentena, destinação de recall, ajuste de substância controlada ou processo de descarte. Se uma remessa chegar quente, fria, danificada, aberta, molhada, rotulada incorretamente, faltando, em excesso, vencida, em recall ou de qualquer outra forma duvidosa, isole ou retenha somente conforme o procedimento aprovado e escale imediatamente.</w:t>
      </w:r>
    </w:p>
    <w:p>
      <w:pPr>
        <w:pStyle w:val="BodyText"/>
      </w:pPr>
      <w:r>
        <w:t xml:space="preserve">Sistemas de estoque são registros de medicamentos reais e seus movimentos. Não faça um ajuste no software simplesmente para forçar a contagem eletrônica a coincidir com a prateleira. Investigue e documente discrepâncias pelo processo aprovado.</w:t>
      </w:r>
    </w:p>
    <w:bookmarkEnd w:id="24"/>
    <w:bookmarkStart w:id="25" w:name="X257a4b8c454041bc36db57be488d70b77130eb8"/>
    <w:p>
      <w:pPr>
        <w:pStyle w:val="Heading2"/>
      </w:pPr>
      <w:r>
        <w:t xml:space="preserve">Limites da manipulação e preparação avançada</w:t>
      </w:r>
    </w:p>
    <w:p>
      <w:pPr>
        <w:pStyle w:val="FirstParagraph"/>
      </w:pPr>
      <w:r>
        <w:t xml:space="preserve">Alguns cargos de técnico incluem manipulação não estéril ou estéril, preparação de medicamentos perigosos, produtos intravenosos, apoio em quimioterapia, farmácia nuclear ou outro trabalho especializado. Essas funções exigem treinamento adicional, avaliação de competência, instalações, equipamentos, procedimentos, supervisão e autorização legal que variam por jurisdição e empregador.</w:t>
      </w:r>
    </w:p>
    <w:p>
      <w:pPr>
        <w:pStyle w:val="BodyText"/>
      </w:pPr>
      <w:r>
        <w:t xml:space="preserve">Este guia não ensina fórmulas de manipulação, técnica asséptica, qualificação de sala limpa, manipulação de medicamentos perigosos, beyond-use dating, estabilidade, esterilização, diluição, ajuste de concentração, preparação de infusão, preparação de vacina ou outros procedimentos especializados.</w:t>
      </w:r>
    </w:p>
    <w:p>
      <w:pPr>
        <w:pStyle w:val="BodyText"/>
      </w:pPr>
      <w:r>
        <w:t xml:space="preserve">Não execute preparação especializada porque assistiu a um vídeo, concluiu um curso informal ou recebeu instruções de uma ferramenta de IA. Use apenas o programa aprovado pelo empregador, instrutores qualificados, procedimentos atuais e o processo de competência aplicável.</w:t>
      </w:r>
    </w:p>
    <w:bookmarkEnd w:id="25"/>
    <w:bookmarkStart w:id="26" w:name="X7daa9b897c62eb827dc7830ab5f7d8d7dcf759b"/>
    <w:p>
      <w:pPr>
        <w:pStyle w:val="Heading2"/>
      </w:pPr>
      <w:r>
        <w:t xml:space="preserve">Medicamentos perigosos, perfurocortantes, exposição e prevenção de infecções</w:t>
      </w:r>
    </w:p>
    <w:p>
      <w:pPr>
        <w:pStyle w:val="FirstParagraph"/>
      </w:pPr>
      <w:r>
        <w:t xml:space="preserve">Ambientes de farmácia podem envolver medicamentos perigosos, perfurocortantes, recipientes quebrados, derramamentos, exposição biológica, desinfetantes e outros riscos. Siga o plano de controle de exposição do empregador, sistema de comunicação de perigos, controles de engenharia, requisitos de EPI, procedimentos para derramamentos, regras de perfurocortantes, programa de prevenção de infecções e processo de notificação de emergências.</w:t>
      </w:r>
    </w:p>
    <w:p>
      <w:pPr>
        <w:pStyle w:val="BodyText"/>
      </w:pPr>
      <w:r>
        <w:t xml:space="preserve">Não recolha um frasco quebrado, limpe derramamento de medicamento perigoso, reutilize agulha ou perfurocortante, recoloque tampa em perfurocortante contra a política, escolha EPI com base em uma lista da internet ou tente descontaminação improvisada. Relate imediatamente exposições, acidentes com agulha, embalagens quebradas, derramamentos, sintomas ou falhas de controle pelo processo aprovado.</w:t>
      </w:r>
    </w:p>
    <w:bookmarkEnd w:id="26"/>
    <w:bookmarkStart w:id="27" w:name="X3ed5a8e3feadb03b7c7adf495a04cae1d2f495f"/>
    <w:p>
      <w:pPr>
        <w:pStyle w:val="Heading2"/>
      </w:pPr>
      <w:r>
        <w:t xml:space="preserve">Substâncias controladas e prevenção de desvio</w:t>
      </w:r>
    </w:p>
    <w:p>
      <w:pPr>
        <w:pStyle w:val="FirstParagraph"/>
      </w:pPr>
      <w:r>
        <w:t xml:space="preserve">Substâncias controladas exigem segurança física rigorosa, controle de acesso, estoque, registros, revisão de discrepâncias e reporte conforme a legislação aplicável e a política do empregador.</w:t>
      </w:r>
    </w:p>
    <w:p>
      <w:pPr>
        <w:pStyle w:val="BodyText"/>
      </w:pPr>
      <w:r>
        <w:t xml:space="preserve">Use apenas suas credenciais atribuídas e acesso autorizado. Nunca compartilhe senhas, chaves, crachás, códigos de cofre, assinaturas, função de testemunha, contas de inventário ou sessões do sistema. Não retire medicamento para documentar depois, pegue emprestado do estoque, assine previamente uma contagem, oculte falta, altere registro ou contorne requisito de testemunha ou auditoria.</w:t>
      </w:r>
    </w:p>
    <w:p>
      <w:pPr>
        <w:pStyle w:val="BodyText"/>
      </w:pPr>
      <w:r>
        <w:t xml:space="preserve">Se uma contagem, transação, lacre, embalagem, cofre, entrega, devolução, registro de descarte ou atividade de usuário relacionada a substâncias controladas parecer incorreta, interrompa e escale. Não “corrija” o registro por conta própria.</w:t>
      </w:r>
    </w:p>
    <w:bookmarkEnd w:id="27"/>
    <w:bookmarkStart w:id="28" w:name="Xc728221a1437334ca550f8ff6ac555e7c4fd64e"/>
    <w:p>
      <w:pPr>
        <w:pStyle w:val="Heading2"/>
      </w:pPr>
      <w:r>
        <w:t xml:space="preserve">Privacidade, cibersegurança e integridade de dados</w:t>
      </w:r>
    </w:p>
    <w:p>
      <w:pPr>
        <w:pStyle w:val="FirstParagraph"/>
      </w:pPr>
      <w:r>
        <w:t xml:space="preserve">Sistemas de farmácia podem conter nomes, endereços, datas de nascimento, históricos de prescrições, diagnósticos, informações de seguro, dados de pagamento, informações de prescritores, registros de substâncias controladas, estoque e trilhas de auditoria.</w:t>
      </w:r>
    </w:p>
    <w:p>
      <w:pPr>
        <w:pStyle w:val="BodyText"/>
      </w:pPr>
      <w:r>
        <w:t xml:space="preserve">Use apenas dispositivos, aplicativos, contas, armazenamento, canais de comunicação e métodos de compartilhamento de dados aprovados pelo empregador. Bloqueie a tela quando estiver sem supervisão. Proteja crachás e credenciais. Verifique destinatários antes de enviar informação protegida. Relate prontamente mensagens enviadas ao destinatário errado, dispositivos perdidos, logins suspeitos, phishing, acesso não autorizado ou exposição de informação de pacientes.</w:t>
      </w:r>
    </w:p>
    <w:p>
      <w:pPr>
        <w:pStyle w:val="BodyText"/>
      </w:pPr>
      <w:r>
        <w:t xml:space="preserve">Não cole detalhes de prescrições, perfis de pacientes, históricos de medicamentos, informações de seguro, identificadores, registros de substâncias controladas, registros de manipulação ou capturas internas da farmácia em um serviço público de IA, a menos que o empregador tenha aprovado explicitamente o sistema e o uso dos dados esteja autorizado e protegido.</w:t>
      </w:r>
    </w:p>
    <w:bookmarkEnd w:id="28"/>
    <w:bookmarkStart w:id="29" w:name="Xe3462959bd4a20a0db40a675aedff35d1d1bfcf"/>
    <w:p>
      <w:pPr>
        <w:pStyle w:val="Heading2"/>
      </w:pPr>
      <w:r>
        <w:t xml:space="preserve">Uso responsável de IA no trabalho em farmácia</w:t>
      </w:r>
    </w:p>
    <w:p>
      <w:pPr>
        <w:pStyle w:val="FirstParagraph"/>
      </w:pPr>
      <w:r>
        <w:t xml:space="preserve">Ferramentas de IA podem ser úteis para aprendizagem não sensível, como explicar terminologia geral, criar perguntas para prática de entrevistas, gerar flashcards a partir de material público ou ajudar a elaborar uma lista neutra de treinamento.</w:t>
      </w:r>
    </w:p>
    <w:p>
      <w:pPr>
        <w:pStyle w:val="BodyText"/>
      </w:pPr>
      <w:r>
        <w:t xml:space="preserve">A IA não deve se tornar a fonte de verdade para operações reais de farmácia. Não use IA para inventar ou alterar:</w:t>
      </w:r>
    </w:p>
    <w:p>
      <w:pPr>
        <w:numPr>
          <w:ilvl w:val="0"/>
          <w:numId w:val="1003"/>
        </w:numPr>
        <w:pStyle w:val="Compact"/>
      </w:pPr>
      <w:r>
        <w:t xml:space="preserve">identidades de pacientes ou prescritores;</w:t>
      </w:r>
    </w:p>
    <w:p>
      <w:pPr>
        <w:numPr>
          <w:ilvl w:val="0"/>
          <w:numId w:val="1003"/>
        </w:numPr>
        <w:pStyle w:val="Compact"/>
      </w:pPr>
      <w:r>
        <w:t xml:space="preserve">informações de prescrição;</w:t>
      </w:r>
    </w:p>
    <w:p>
      <w:pPr>
        <w:numPr>
          <w:ilvl w:val="0"/>
          <w:numId w:val="1003"/>
        </w:numPr>
        <w:pStyle w:val="Compact"/>
      </w:pPr>
      <w:r>
        <w:t xml:space="preserve">medicamento, concentração, forma farmacêutica, quantidade, via ou instruções;</w:t>
      </w:r>
    </w:p>
    <w:p>
      <w:pPr>
        <w:numPr>
          <w:ilvl w:val="0"/>
          <w:numId w:val="1003"/>
        </w:numPr>
        <w:pStyle w:val="Compact"/>
      </w:pPr>
      <w:r>
        <w:t xml:space="preserve">informações sobre alergias ou interações;</w:t>
      </w:r>
    </w:p>
    <w:p>
      <w:pPr>
        <w:numPr>
          <w:ilvl w:val="0"/>
          <w:numId w:val="1003"/>
        </w:numPr>
        <w:pStyle w:val="Compact"/>
      </w:pPr>
      <w:r>
        <w:t xml:space="preserve">cálculos de dose usados para dispensação real;</w:t>
      </w:r>
    </w:p>
    <w:p>
      <w:pPr>
        <w:numPr>
          <w:ilvl w:val="0"/>
          <w:numId w:val="1003"/>
        </w:numPr>
        <w:pStyle w:val="Compact"/>
      </w:pPr>
      <w:r>
        <w:t xml:space="preserve">fórmulas de manipulação, concentrações, estabilidade ou beyond-use dates;</w:t>
      </w:r>
    </w:p>
    <w:p>
      <w:pPr>
        <w:numPr>
          <w:ilvl w:val="0"/>
          <w:numId w:val="1003"/>
        </w:numPr>
        <w:pStyle w:val="Compact"/>
      </w:pPr>
      <w:r>
        <w:t xml:space="preserve">registros de substâncias controladas;</w:t>
      </w:r>
    </w:p>
    <w:p>
      <w:pPr>
        <w:numPr>
          <w:ilvl w:val="0"/>
          <w:numId w:val="1003"/>
        </w:numPr>
        <w:pStyle w:val="Compact"/>
      </w:pPr>
      <w:r>
        <w:t xml:space="preserve">solicitações de seguro ou informações de autorização prévia;</w:t>
      </w:r>
    </w:p>
    <w:p>
      <w:pPr>
        <w:numPr>
          <w:ilvl w:val="0"/>
          <w:numId w:val="1003"/>
        </w:numPr>
        <w:pStyle w:val="Compact"/>
      </w:pPr>
      <w:r>
        <w:t xml:space="preserve">números de lote, datas de validade, temperaturas, status de recall ou correções de estoque; nem</w:t>
      </w:r>
    </w:p>
    <w:p>
      <w:pPr>
        <w:numPr>
          <w:ilvl w:val="0"/>
          <w:numId w:val="1003"/>
        </w:numPr>
        <w:pStyle w:val="Compact"/>
      </w:pPr>
      <w:r>
        <w:t xml:space="preserve">decisões finais de verificação ou aconselhamento.</w:t>
      </w:r>
    </w:p>
    <w:p>
      <w:pPr>
        <w:pStyle w:val="FirstParagraph"/>
      </w:pPr>
      <w:r>
        <w:t xml:space="preserve">Verifique toda informação operacional por meio do sistema autorizado da farmácia, procedimento atual, farmacêutico, prescritor, informação do fabricante, regulador ou outra fonte aprovada apropriada à decisão.</w:t>
      </w:r>
    </w:p>
    <w:bookmarkEnd w:id="29"/>
    <w:bookmarkStart w:id="30" w:name="Xec39930e61c04b9d0dfa2da01ff9d27d1f62e1a"/>
    <w:p>
      <w:pPr>
        <w:pStyle w:val="Heading2"/>
      </w:pPr>
      <w:r>
        <w:t xml:space="preserve">Habilidades valorizadas pelos empregadores</w:t>
      </w:r>
    </w:p>
    <w:p>
      <w:pPr>
        <w:pStyle w:val="FirstParagraph"/>
      </w:pPr>
      <w:r>
        <w:t xml:space="preserve">Os empregadores costumam valorizar:</w:t>
      </w:r>
    </w:p>
    <w:p>
      <w:pPr>
        <w:numPr>
          <w:ilvl w:val="0"/>
          <w:numId w:val="1004"/>
        </w:numPr>
        <w:pStyle w:val="Compact"/>
      </w:pPr>
      <w:r>
        <w:t xml:space="preserve">leitura cuidadosa de prescrições, rótulos, ordens de trabalho, alertas e procedimentos;</w:t>
      </w:r>
    </w:p>
    <w:p>
      <w:pPr>
        <w:numPr>
          <w:ilvl w:val="0"/>
          <w:numId w:val="1004"/>
        </w:numPr>
        <w:pStyle w:val="Compact"/>
      </w:pPr>
      <w:r>
        <w:t xml:space="preserve">entrada de dados e manutenção de registros com precisão;</w:t>
      </w:r>
    </w:p>
    <w:p>
      <w:pPr>
        <w:numPr>
          <w:ilvl w:val="0"/>
          <w:numId w:val="1004"/>
        </w:numPr>
        <w:pStyle w:val="Compact"/>
      </w:pPr>
      <w:r>
        <w:t xml:space="preserve">matemática farmacêutica básica apropriada à função autorizada;</w:t>
      </w:r>
    </w:p>
    <w:p>
      <w:pPr>
        <w:numPr>
          <w:ilvl w:val="0"/>
          <w:numId w:val="1004"/>
        </w:numPr>
        <w:pStyle w:val="Compact"/>
      </w:pPr>
      <w:r>
        <w:t xml:space="preserve">atenção à identidade do paciente e seleção de produto;</w:t>
      </w:r>
    </w:p>
    <w:p>
      <w:pPr>
        <w:numPr>
          <w:ilvl w:val="0"/>
          <w:numId w:val="1004"/>
        </w:numPr>
        <w:pStyle w:val="Compact"/>
      </w:pPr>
      <w:r>
        <w:t xml:space="preserve">disciplina de estoque e armazenamento;</w:t>
      </w:r>
    </w:p>
    <w:p>
      <w:pPr>
        <w:numPr>
          <w:ilvl w:val="0"/>
          <w:numId w:val="1004"/>
        </w:numPr>
        <w:pStyle w:val="Compact"/>
      </w:pPr>
      <w:r>
        <w:t xml:space="preserve">comunicação clara com farmacêuticos, pacientes, prescritores, seguradoras e colegas;</w:t>
      </w:r>
    </w:p>
    <w:p>
      <w:pPr>
        <w:numPr>
          <w:ilvl w:val="0"/>
          <w:numId w:val="1004"/>
        </w:numPr>
        <w:pStyle w:val="Compact"/>
      </w:pPr>
      <w:r>
        <w:t xml:space="preserve">atendimento ao cliente e empatia;</w:t>
      </w:r>
    </w:p>
    <w:p>
      <w:pPr>
        <w:numPr>
          <w:ilvl w:val="0"/>
          <w:numId w:val="1004"/>
        </w:numPr>
        <w:pStyle w:val="Compact"/>
      </w:pPr>
      <w:r>
        <w:t xml:space="preserve">disposição para escalar dúvidas clínicas em vez de adivinhar;</w:t>
      </w:r>
    </w:p>
    <w:p>
      <w:pPr>
        <w:numPr>
          <w:ilvl w:val="0"/>
          <w:numId w:val="1004"/>
        </w:numPr>
        <w:pStyle w:val="Compact"/>
      </w:pPr>
      <w:r>
        <w:t xml:space="preserve">hábitos de privacidade e confidencialidade;</w:t>
      </w:r>
    </w:p>
    <w:p>
      <w:pPr>
        <w:numPr>
          <w:ilvl w:val="0"/>
          <w:numId w:val="1004"/>
        </w:numPr>
        <w:pStyle w:val="Compact"/>
      </w:pPr>
      <w:r>
        <w:t xml:space="preserve">conforto com software de farmácia, sistemas de código de barras, dispensação automatizada, ponto de venda e sistemas de seguro após treinamento do empregador;</w:t>
      </w:r>
    </w:p>
    <w:p>
      <w:pPr>
        <w:numPr>
          <w:ilvl w:val="0"/>
          <w:numId w:val="1004"/>
        </w:numPr>
        <w:pStyle w:val="Compact"/>
      </w:pPr>
      <w:r>
        <w:t xml:space="preserve">confiabilidade, pontualidade e trabalho em equipe; e</w:t>
      </w:r>
    </w:p>
    <w:p>
      <w:pPr>
        <w:numPr>
          <w:ilvl w:val="0"/>
          <w:numId w:val="1004"/>
        </w:numPr>
        <w:pStyle w:val="Compact"/>
      </w:pPr>
      <w:r>
        <w:t xml:space="preserve">trabalho calmo e metódico sob interrupções e pressão de tempo.</w:t>
      </w:r>
    </w:p>
    <w:p>
      <w:pPr>
        <w:pStyle w:val="FirstParagraph"/>
      </w:pPr>
      <w:r>
        <w:t xml:space="preserve">Nenhum software ou certificação específica é universal em todos os cargos de técnico em farmácia. Verifique vagas atuais e os requisitos da sua jurisdição antes de pagar por treinamento.</w:t>
      </w:r>
    </w:p>
    <w:bookmarkEnd w:id="30"/>
    <w:bookmarkStart w:id="35" w:name="educação-e-caminhos-de-entrada"/>
    <w:p>
      <w:pPr>
        <w:pStyle w:val="Heading2"/>
      </w:pPr>
      <w:r>
        <w:t xml:space="preserve">Educação e caminhos de entrada</w:t>
      </w:r>
    </w:p>
    <w:bookmarkStart w:id="31" w:name="estados-unidos"/>
    <w:p>
      <w:pPr>
        <w:pStyle w:val="Heading3"/>
      </w:pPr>
      <w:r>
        <w:t xml:space="preserve">Estados Unidos</w:t>
      </w:r>
    </w:p>
    <w:p>
      <w:pPr>
        <w:pStyle w:val="FirstParagraph"/>
      </w:pPr>
      <w:r>
        <w:t xml:space="preserve">O BLS informa que técnicos em farmácia normalmente precisam de</w:t>
      </w:r>
      <w:r>
        <w:t xml:space="preserve"> </w:t>
      </w:r>
      <w:r>
        <w:rPr>
          <w:bCs/>
          <w:b/>
        </w:rPr>
        <w:t xml:space="preserve">ensino médio completo ou equivalente</w:t>
      </w:r>
      <w:r>
        <w:t xml:space="preserve"> </w:t>
      </w:r>
      <w:r>
        <w:t xml:space="preserve">e podem aprender por treinamento no trabalho ou concluir um programa pós-secundário de tecnologia farmacêutica. A maioria dos estados regulamenta técnicos em farmácia de alguma forma, e os requisitos estaduais podem incluir educação, treinamento, exame, taxas, educação continuada, verificação de antecedentes ou idade mínima.</w:t>
      </w:r>
    </w:p>
    <w:p>
      <w:pPr>
        <w:pStyle w:val="BodyText"/>
      </w:pPr>
      <w:r>
        <w:t xml:space="preserve">Uma sequência prática nos EUA é:</w:t>
      </w:r>
    </w:p>
    <w:p>
      <w:pPr>
        <w:numPr>
          <w:ilvl w:val="0"/>
          <w:numId w:val="1005"/>
        </w:numPr>
        <w:pStyle w:val="Compact"/>
      </w:pPr>
      <w:r>
        <w:t xml:space="preserve">Identifique o estado onde pretende trabalhar.</w:t>
      </w:r>
    </w:p>
    <w:p>
      <w:pPr>
        <w:numPr>
          <w:ilvl w:val="0"/>
          <w:numId w:val="1005"/>
        </w:numPr>
        <w:pStyle w:val="Compact"/>
      </w:pPr>
      <w:r>
        <w:t xml:space="preserve">Verifique os requisitos atuais de licença ou registro estadual antes de se matricular em treinamento.</w:t>
      </w:r>
    </w:p>
    <w:p>
      <w:pPr>
        <w:numPr>
          <w:ilvl w:val="0"/>
          <w:numId w:val="1005"/>
        </w:numPr>
        <w:pStyle w:val="Compact"/>
      </w:pPr>
      <w:r>
        <w:t xml:space="preserve">Compare vagas locais quanto a educação, certificação, registro, horário e experiência.</w:t>
      </w:r>
    </w:p>
    <w:p>
      <w:pPr>
        <w:numPr>
          <w:ilvl w:val="0"/>
          <w:numId w:val="1005"/>
        </w:numPr>
        <w:pStyle w:val="Compact"/>
      </w:pPr>
      <w:r>
        <w:t xml:space="preserve">Procure treinamento pago pelo empregador, vagas de trainee, aprendizagem formal ou programas pós-secundários aprovados.</w:t>
      </w:r>
    </w:p>
    <w:p>
      <w:pPr>
        <w:numPr>
          <w:ilvl w:val="0"/>
          <w:numId w:val="1005"/>
        </w:numPr>
        <w:pStyle w:val="Compact"/>
      </w:pPr>
      <w:r>
        <w:t xml:space="preserve">Desenvolva experiência supervisionada em fluxo de prescrições, identificação de pacientes, estoque, registros, atendimento ao cliente e sistemas farmacêuticos.</w:t>
      </w:r>
    </w:p>
    <w:p>
      <w:pPr>
        <w:numPr>
          <w:ilvl w:val="0"/>
          <w:numId w:val="1005"/>
        </w:numPr>
        <w:pStyle w:val="Compact"/>
      </w:pPr>
      <w:r>
        <w:t xml:space="preserve">Busque certificação somente depois de verificar se o estado ou os empregadores exigem ou valorizam a credencial específica.</w:t>
      </w:r>
    </w:p>
    <w:p>
      <w:pPr>
        <w:pStyle w:val="FirstParagraph"/>
      </w:pPr>
      <w:r>
        <w:t xml:space="preserve">O BLS observa que alguns empregadores pagam para que funcionários façam exames de certificação.</w:t>
      </w:r>
    </w:p>
    <w:bookmarkEnd w:id="31"/>
    <w:bookmarkStart w:id="32" w:name="canadá"/>
    <w:p>
      <w:pPr>
        <w:pStyle w:val="Heading3"/>
      </w:pPr>
      <w:r>
        <w:t xml:space="preserve">Canadá</w:t>
      </w:r>
    </w:p>
    <w:p>
      <w:pPr>
        <w:pStyle w:val="FirstParagraph"/>
      </w:pPr>
      <w:r>
        <w:t xml:space="preserve">O Government of Canada Job Bank classifica Pharmacy Technician no</w:t>
      </w:r>
      <w:r>
        <w:t xml:space="preserve"> </w:t>
      </w:r>
      <w:r>
        <w:rPr>
          <w:bCs/>
          <w:b/>
        </w:rPr>
        <w:t xml:space="preserve">NOC 32124</w:t>
      </w:r>
      <w:r>
        <w:t xml:space="preserve">. Os requisitos nacionais atuais indicam que técnicos em farmácia normalmente precisam de um programa de dois anos de pharmacy technician em college, ou um programa de dois a três anos em pharmaceutics junto com treinamento prático supervisionado.</w:t>
      </w:r>
    </w:p>
    <w:p>
      <w:pPr>
        <w:pStyle w:val="BodyText"/>
      </w:pPr>
      <w:r>
        <w:t xml:space="preserve">O Job Bank informa que a conclusão dos</w:t>
      </w:r>
      <w:r>
        <w:t xml:space="preserve"> </w:t>
      </w:r>
      <w:r>
        <w:rPr>
          <w:bCs/>
          <w:b/>
        </w:rPr>
        <w:t xml:space="preserve">exames de certificação do Pharmacy Examining Board of Canada (PEBC) é exigida</w:t>
      </w:r>
      <w:r>
        <w:t xml:space="preserve"> </w:t>
      </w:r>
      <w:r>
        <w:t xml:space="preserve">para pharmacy technicians e que</w:t>
      </w:r>
      <w:r>
        <w:t xml:space="preserve"> </w:t>
      </w:r>
      <w:r>
        <w:rPr>
          <w:bCs/>
          <w:b/>
        </w:rPr>
        <w:t xml:space="preserve">o registro junto a um órgão regulador é exigido em todas as províncias, exceto Quebec</w:t>
      </w:r>
      <w:r>
        <w:t xml:space="preserve">.</w:t>
      </w:r>
    </w:p>
    <w:p>
      <w:pPr>
        <w:pStyle w:val="BodyText"/>
      </w:pPr>
      <w:r>
        <w:t xml:space="preserve">Não presuma que um único processo nacional de candidatura cubra todas as províncias ou Quebec. Verifique o regulador atual, reconhecimento educacional, rota de exames, requisito de treinamento prático, idioma, taxas, jurisprudência ou bridging e situação de registro da província onde pretende trabalhar.</w:t>
      </w:r>
    </w:p>
    <w:bookmarkEnd w:id="32"/>
    <w:bookmarkStart w:id="33" w:name="colômbia"/>
    <w:p>
      <w:pPr>
        <w:pStyle w:val="Heading3"/>
      </w:pPr>
      <w:r>
        <w:t xml:space="preserve">Colômbia</w:t>
      </w:r>
    </w:p>
    <w:p>
      <w:pPr>
        <w:pStyle w:val="FirstParagraph"/>
      </w:pPr>
      <w:r>
        <w:t xml:space="preserve">O sistema ocupacional do SENA identifica</w:t>
      </w:r>
      <w:r>
        <w:t xml:space="preserve"> </w:t>
      </w:r>
      <w:r>
        <w:rPr>
          <w:bCs/>
          <w:b/>
        </w:rPr>
        <w:t xml:space="preserve">CNO 3315 — Auxiliares en servicios farmacéuticos</w:t>
      </w:r>
      <w:r>
        <w:t xml:space="preserve">. A ocupação apoia recepção, armazenamento, dispensação, distribuição, inventário e atividades relacionadas do serviço farmacêutico sob delegação e supervisão de profissionais do serviço farmacêutico.</w:t>
      </w:r>
    </w:p>
    <w:p>
      <w:pPr>
        <w:pStyle w:val="BodyText"/>
      </w:pPr>
      <w:r>
        <w:t xml:space="preserve">O SENA Betowa atualmente lista</w:t>
      </w:r>
      <w:r>
        <w:t xml:space="preserve"> </w:t>
      </w:r>
      <w:r>
        <w:rPr>
          <w:bCs/>
          <w:b/>
        </w:rPr>
        <w:t xml:space="preserve">Servicios Farmacéuticos</w:t>
      </w:r>
      <w:r>
        <w:t xml:space="preserve"> </w:t>
      </w:r>
      <w:r>
        <w:t xml:space="preserve">como programa de formação titulada</w:t>
      </w:r>
      <w:r>
        <w:t xml:space="preserve"> </w:t>
      </w:r>
      <w:r>
        <w:rPr>
          <w:bCs/>
          <w:b/>
        </w:rPr>
        <w:t xml:space="preserve">Técnico</w:t>
      </w:r>
      <w:r>
        <w:t xml:space="preserve"> </w:t>
      </w:r>
      <w:r>
        <w:t xml:space="preserve">de</w:t>
      </w:r>
      <w:r>
        <w:t xml:space="preserve"> </w:t>
      </w:r>
      <w:r>
        <w:rPr>
          <w:bCs/>
          <w:b/>
        </w:rPr>
        <w:t xml:space="preserve">2.640 horas</w:t>
      </w:r>
      <w:r>
        <w:t xml:space="preserve">, com idade mínima de</w:t>
      </w:r>
      <w:r>
        <w:t xml:space="preserve"> </w:t>
      </w:r>
      <w:r>
        <w:rPr>
          <w:bCs/>
          <w:b/>
        </w:rPr>
        <w:t xml:space="preserve">16+</w:t>
      </w:r>
      <w:r>
        <w:t xml:space="preserve"> </w:t>
      </w:r>
      <w:r>
        <w:t xml:space="preserve">e requisitos de entrada declarados que incluem educação básica de nono ano e o processo de admissão do SENA.</w:t>
      </w:r>
    </w:p>
    <w:p>
      <w:pPr>
        <w:pStyle w:val="BodyText"/>
      </w:pPr>
      <w:r>
        <w:t xml:space="preserve">A rota Técnico/Auxiliar do SENA não é igual a</w:t>
      </w:r>
      <w:r>
        <w:t xml:space="preserve"> </w:t>
      </w:r>
      <w:r>
        <w:rPr>
          <w:bCs/>
          <w:b/>
        </w:rPr>
        <w:t xml:space="preserve">Tecnólogo en Regencia de Farmacia</w:t>
      </w:r>
      <w:r>
        <w:t xml:space="preserve"> </w:t>
      </w:r>
      <w:r>
        <w:t xml:space="preserve">ou</w:t>
      </w:r>
      <w:r>
        <w:t xml:space="preserve"> </w:t>
      </w:r>
      <w:r>
        <w:rPr>
          <w:bCs/>
          <w:b/>
        </w:rPr>
        <w:t xml:space="preserve">Químico Farmacéutico</w:t>
      </w:r>
      <w:r>
        <w:t xml:space="preserve">. A regulamentação colombiana do serviço farmacêutico atribui responsabilidades de direção técnica conforme a complexidade do serviço e o tipo de estabelecimento. Não apresente um programa técnico/auxiliar como autoridade para dirigir de forma independente um serviço farmacêutico ou executar funções reservadas a profissionais com outras qualificações.</w:t>
      </w:r>
    </w:p>
    <w:bookmarkEnd w:id="33"/>
    <w:bookmarkStart w:id="34" w:name="américa-latina-e-caribe"/>
    <w:p>
      <w:pPr>
        <w:pStyle w:val="Heading3"/>
      </w:pPr>
      <w:r>
        <w:t xml:space="preserve">América Latina e Caribe</w:t>
      </w:r>
    </w:p>
    <w:p>
      <w:pPr>
        <w:pStyle w:val="FirstParagraph"/>
      </w:pPr>
      <w:r>
        <w:t xml:space="preserve">Títulos e escopos legais variam amplamente. Um</w:t>
      </w:r>
      <w:r>
        <w:t xml:space="preserve"> </w:t>
      </w:r>
      <w:r>
        <w:rPr>
          <w:rStyle w:val="VerbatimChar"/>
        </w:rPr>
        <w:t xml:space="preserve">técnico en farmacia</w:t>
      </w:r>
      <w:r>
        <w:t xml:space="preserve">,</w:t>
      </w:r>
      <w:r>
        <w:t xml:space="preserve"> </w:t>
      </w:r>
      <w:r>
        <w:rPr>
          <w:rStyle w:val="VerbatimChar"/>
        </w:rPr>
        <w:t xml:space="preserve">auxiliar de farmacia</w:t>
      </w:r>
      <w:r>
        <w:t xml:space="preserve">,</w:t>
      </w:r>
      <w:r>
        <w:t xml:space="preserve"> </w:t>
      </w:r>
      <w:r>
        <w:rPr>
          <w:rStyle w:val="VerbatimChar"/>
        </w:rPr>
        <w:t xml:space="preserve">servicios farmacéuticos</w:t>
      </w:r>
      <w:r>
        <w:t xml:space="preserve"> </w:t>
      </w:r>
      <w:r>
        <w:t xml:space="preserve">ou credencial de nome semelhante em um país pode não ter o mesmo reconhecimento ou autoridade em outro.</w:t>
      </w:r>
    </w:p>
    <w:p>
      <w:pPr>
        <w:pStyle w:val="BodyText"/>
      </w:pPr>
      <w:r>
        <w:t xml:space="preserve">Use a OIT/Cinterfor para identificar a instituição pública de formação profissional relevante no seu país e depois verifique o regulador sanitário/farmacêutico atual, reconhecimento educacional, registro exigido, escopo permitido, modelo de supervisão e requisitos de empregadores antes de se matricular ou aceitar trabalho.</w:t>
      </w:r>
    </w:p>
    <w:bookmarkEnd w:id="34"/>
    <w:bookmarkEnd w:id="35"/>
    <w:bookmarkStart w:id="36" w:name="X25b3667a7abbaf07de0898fa6da6c1ea0e57adc"/>
    <w:p>
      <w:pPr>
        <w:pStyle w:val="Heading2"/>
      </w:pPr>
      <w:r>
        <w:t xml:space="preserve">Estratégia de aprendizagem gratuita primeiro e de baixo custo</w:t>
      </w:r>
    </w:p>
    <w:p>
      <w:pPr>
        <w:pStyle w:val="FirstParagraph"/>
      </w:pPr>
      <w:r>
        <w:t xml:space="preserve">Não presuma que um certificado privado caro seja o primeiro ou melhor passo.</w:t>
      </w:r>
    </w:p>
    <w:p>
      <w:pPr>
        <w:numPr>
          <w:ilvl w:val="0"/>
          <w:numId w:val="1006"/>
        </w:numPr>
        <w:pStyle w:val="Compact"/>
      </w:pPr>
      <w:r>
        <w:t xml:space="preserve">Verifique os requisitos legais da jurisdição em que pretende trabalhar.</w:t>
      </w:r>
    </w:p>
    <w:p>
      <w:pPr>
        <w:numPr>
          <w:ilvl w:val="0"/>
          <w:numId w:val="1006"/>
        </w:numPr>
        <w:pStyle w:val="Compact"/>
      </w:pPr>
      <w:r>
        <w:t xml:space="preserve">Leia 15–20 vagas atuais e registre requisitos recorrentes de educação, registro, certificação, horário, experiência e software.</w:t>
      </w:r>
    </w:p>
    <w:p>
      <w:pPr>
        <w:numPr>
          <w:ilvl w:val="0"/>
          <w:numId w:val="1006"/>
        </w:numPr>
        <w:pStyle w:val="Compact"/>
      </w:pPr>
      <w:r>
        <w:t xml:space="preserve">Consulte primeiro caminhos públicos de community college, escolas técnicas, programas de força de trabalho, SENA, províncias ou outras opções públicas.</w:t>
      </w:r>
    </w:p>
    <w:p>
      <w:pPr>
        <w:numPr>
          <w:ilvl w:val="0"/>
          <w:numId w:val="1006"/>
        </w:numPr>
        <w:pStyle w:val="Compact"/>
      </w:pPr>
      <w:r>
        <w:t xml:space="preserve">Pergunte aos empregadores sobre treinamento pago, vagas de trainee, ajuda para mensalidades, reembolso de exames, reembolso de certificação, uniformes e progressão interna.</w:t>
      </w:r>
    </w:p>
    <w:p>
      <w:pPr>
        <w:numPr>
          <w:ilvl w:val="0"/>
          <w:numId w:val="1006"/>
        </w:numPr>
        <w:pStyle w:val="Compact"/>
      </w:pPr>
      <w:r>
        <w:t xml:space="preserve">Use recursos públicos de estudo para reforçar terminologia médica, matemática, comunicação, privacidade e atendimento ao cliente sem fingir que o estudo cria autoridade legal.</w:t>
      </w:r>
    </w:p>
    <w:p>
      <w:pPr>
        <w:numPr>
          <w:ilvl w:val="0"/>
          <w:numId w:val="1006"/>
        </w:numPr>
        <w:pStyle w:val="Compact"/>
      </w:pPr>
      <w:r>
        <w:t xml:space="preserve">Pague por treinamento privado somente depois de confirmar custo total, regras de reembolso, reconhecimento, condições de estágio, elegibilidade para exames, aprovação estadual/provincial quando aplicável e demanda real dos empregadores.</w:t>
      </w:r>
    </w:p>
    <w:bookmarkEnd w:id="36"/>
    <w:bookmarkStart w:id="40" w:name="Xe621c4e762170be12e6df74317b03fa74675372"/>
    <w:p>
      <w:pPr>
        <w:pStyle w:val="Heading2"/>
      </w:pPr>
      <w:r>
        <w:t xml:space="preserve">Aprendizagem e formação baseada no trabalho</w:t>
      </w:r>
    </w:p>
    <w:bookmarkStart w:id="37" w:name="estados-unidos-1"/>
    <w:p>
      <w:pPr>
        <w:pStyle w:val="Heading3"/>
      </w:pPr>
      <w:r>
        <w:t xml:space="preserve">Estados Unidos</w:t>
      </w:r>
    </w:p>
    <w:p>
      <w:pPr>
        <w:pStyle w:val="FirstParagraph"/>
      </w:pPr>
      <w:r>
        <w:t xml:space="preserve">O BLS confirma que o treinamento no trabalho é uma via comum de entrada. Use</w:t>
      </w:r>
      <w:r>
        <w:t xml:space="preserve"> </w:t>
      </w:r>
      <w:r>
        <w:rPr>
          <w:bCs/>
          <w:b/>
        </w:rPr>
        <w:t xml:space="preserve">Apprenticeship.gov</w:t>
      </w:r>
      <w:r>
        <w:t xml:space="preserve"> </w:t>
      </w:r>
      <w:r>
        <w:t xml:space="preserve">para pesquisar oportunidades atuais de Registered Apprenticeship, mas a disponibilidade depende do empregador e da localidade. A existência de vagas de trainee ou aprendizagem para pharmacy technician no mercado não significa que haja uma oportunidade disponível em todos os lugares.</w:t>
      </w:r>
    </w:p>
    <w:bookmarkEnd w:id="37"/>
    <w:bookmarkStart w:id="38" w:name="canadá-1"/>
    <w:p>
      <w:pPr>
        <w:pStyle w:val="Heading3"/>
      </w:pPr>
      <w:r>
        <w:t xml:space="preserve">Canadá</w:t>
      </w:r>
    </w:p>
    <w:p>
      <w:pPr>
        <w:pStyle w:val="FirstParagraph"/>
      </w:pPr>
      <w:r>
        <w:t xml:space="preserve">A preparação canadense normalmente inclui treinamento prático supervisionado dentro de caminhos reconhecidos de educação para pharmacy technician. Trate a colocação como treinamento supervisionado sob os requisitos do programa e do regulador, e não como autoridade independente para exercer.</w:t>
      </w:r>
    </w:p>
    <w:bookmarkEnd w:id="38"/>
    <w:bookmarkStart w:id="39" w:name="colômbia-1"/>
    <w:p>
      <w:pPr>
        <w:pStyle w:val="Heading3"/>
      </w:pPr>
      <w:r>
        <w:t xml:space="preserve">Colômbia</w:t>
      </w:r>
    </w:p>
    <w:p>
      <w:pPr>
        <w:pStyle w:val="FirstParagraph"/>
      </w:pPr>
      <w:r>
        <w:t xml:space="preserve">O programa Técnico en Servicios Farmacéuticos do SENA inclui resultados de etapa prática. Verifique a turma vigente, local de oferta, modelo da etapa prática, regras de colocação com empregadores e requisitos de admissão no Betowa antes de planejar com base em uma data específica de início.</w:t>
      </w:r>
    </w:p>
    <w:bookmarkEnd w:id="39"/>
    <w:bookmarkEnd w:id="40"/>
    <w:bookmarkStart w:id="45" w:name="financiamento-e-apoio-do-empregador"/>
    <w:p>
      <w:pPr>
        <w:pStyle w:val="Heading2"/>
      </w:pPr>
      <w:r>
        <w:t xml:space="preserve">Financiamento e apoio do empregador</w:t>
      </w:r>
    </w:p>
    <w:bookmarkStart w:id="41" w:name="estados-unidos-2"/>
    <w:p>
      <w:pPr>
        <w:pStyle w:val="Heading3"/>
      </w:pPr>
      <w:r>
        <w:t xml:space="preserve">Estados Unidos</w:t>
      </w:r>
    </w:p>
    <w:p>
      <w:pPr>
        <w:pStyle w:val="FirstParagraph"/>
      </w:pPr>
      <w:r>
        <w:t xml:space="preserve">American Job Centers e CareerOneStop podem ajudar candidatos elegíveis a explorar apoio de treinamento</w:t>
      </w:r>
      <w:r>
        <w:t xml:space="preserve"> </w:t>
      </w:r>
      <w:r>
        <w:rPr>
          <w:bCs/>
          <w:b/>
        </w:rPr>
        <w:t xml:space="preserve">WIOA</w:t>
      </w:r>
      <w:r>
        <w:t xml:space="preserve"> </w:t>
      </w:r>
      <w:r>
        <w:t xml:space="preserve">e provedores aprovados. O financiamento depende da pessoa, área local de força de trabalho, provedor e programa; não é garantido.</w:t>
      </w:r>
    </w:p>
    <w:p>
      <w:pPr>
        <w:pStyle w:val="BodyText"/>
      </w:pPr>
      <w:r>
        <w:t xml:space="preserve">Estudantes elegíveis em instituições/programas elegíveis podem acessar bolsas federais, Federal Work-Study e empréstimos estudantis federais pelo processo</w:t>
      </w:r>
      <w:r>
        <w:t xml:space="preserve"> </w:t>
      </w:r>
      <w:r>
        <w:rPr>
          <w:bCs/>
          <w:b/>
        </w:rPr>
        <w:t xml:space="preserve">FAFSA</w:t>
      </w:r>
      <w:r>
        <w:t xml:space="preserve">. Um curso privado curto ou pacote de preparação para exame não é automaticamente elegível para auxílio federal.</w:t>
      </w:r>
    </w:p>
    <w:bookmarkEnd w:id="41"/>
    <w:bookmarkStart w:id="42" w:name="canadá-2"/>
    <w:p>
      <w:pPr>
        <w:pStyle w:val="Heading3"/>
      </w:pPr>
      <w:r>
        <w:t xml:space="preserve">Canadá</w:t>
      </w:r>
    </w:p>
    <w:p>
      <w:pPr>
        <w:pStyle w:val="FirstParagraph"/>
      </w:pPr>
      <w:r>
        <w:t xml:space="preserve">Estudantes pós-secundários elegíveis podem se qualificar para Canada Student Grants and Loans por sistemas federais, provinciais e territoriais. Verifique a designação real da instituição e do programa e as regras provinciais atuais antes de depender desse apoio.</w:t>
      </w:r>
    </w:p>
    <w:bookmarkEnd w:id="42"/>
    <w:bookmarkStart w:id="43" w:name="colômbia-e-américa-latina"/>
    <w:p>
      <w:pPr>
        <w:pStyle w:val="Heading3"/>
      </w:pPr>
      <w:r>
        <w:t xml:space="preserve">Colômbia e América Latina</w:t>
      </w:r>
    </w:p>
    <w:p>
      <w:pPr>
        <w:pStyle w:val="FirstParagraph"/>
      </w:pPr>
      <w:r>
        <w:t xml:space="preserve">Consulte sistemas públicos de formação antes de pagar um provedor privado. Na Colômbia, comece por SENA/Betowa. Em outros países, use a OIT/Cinterfor para identificar a instituição pública nacional de formação e verificar localmente as regras atuais de admissão e financiamento.</w:t>
      </w:r>
    </w:p>
    <w:bookmarkEnd w:id="43"/>
    <w:bookmarkStart w:id="44" w:name="apoio-do-empregador"/>
    <w:p>
      <w:pPr>
        <w:pStyle w:val="Heading3"/>
      </w:pPr>
      <w:r>
        <w:t xml:space="preserve">Apoio do empregador</w:t>
      </w:r>
    </w:p>
    <w:p>
      <w:pPr>
        <w:pStyle w:val="FirstParagraph"/>
      </w:pPr>
      <w:r>
        <w:t xml:space="preserve">Pergunte sobre:</w:t>
      </w:r>
    </w:p>
    <w:p>
      <w:pPr>
        <w:numPr>
          <w:ilvl w:val="0"/>
          <w:numId w:val="1007"/>
        </w:numPr>
        <w:pStyle w:val="Compact"/>
      </w:pPr>
      <w:r>
        <w:t xml:space="preserve">integração remunerada e treinamento supervisionado;</w:t>
      </w:r>
    </w:p>
    <w:p>
      <w:pPr>
        <w:numPr>
          <w:ilvl w:val="0"/>
          <w:numId w:val="1007"/>
        </w:numPr>
        <w:pStyle w:val="Compact"/>
      </w:pPr>
      <w:r>
        <w:t xml:space="preserve">vagas de trainee ou aprendizagem;</w:t>
      </w:r>
    </w:p>
    <w:p>
      <w:pPr>
        <w:numPr>
          <w:ilvl w:val="0"/>
          <w:numId w:val="1007"/>
        </w:numPr>
        <w:pStyle w:val="Compact"/>
      </w:pPr>
      <w:r>
        <w:t xml:space="preserve">ajuda para mensalidades;</w:t>
      </w:r>
    </w:p>
    <w:p>
      <w:pPr>
        <w:numPr>
          <w:ilvl w:val="0"/>
          <w:numId w:val="1007"/>
        </w:numPr>
        <w:pStyle w:val="Compact"/>
      </w:pPr>
      <w:r>
        <w:t xml:space="preserve">reembolso de certificação ou exames;</w:t>
      </w:r>
    </w:p>
    <w:p>
      <w:pPr>
        <w:numPr>
          <w:ilvl w:val="0"/>
          <w:numId w:val="1007"/>
        </w:numPr>
        <w:pStyle w:val="Compact"/>
      </w:pPr>
      <w:r>
        <w:t xml:space="preserve">reembolso de taxas de registro;</w:t>
      </w:r>
    </w:p>
    <w:p>
      <w:pPr>
        <w:numPr>
          <w:ilvl w:val="0"/>
          <w:numId w:val="1007"/>
        </w:numPr>
        <w:pStyle w:val="Compact"/>
      </w:pPr>
      <w:r>
        <w:t xml:space="preserve">uniformes e equipamentos exigidos;</w:t>
      </w:r>
    </w:p>
    <w:p>
      <w:pPr>
        <w:numPr>
          <w:ilvl w:val="0"/>
          <w:numId w:val="1007"/>
        </w:numPr>
        <w:pStyle w:val="Compact"/>
      </w:pPr>
      <w:r>
        <w:t xml:space="preserve">treinamento cruzado em funções hospitalares, varejo, especialidade, estoque ou automação; e</w:t>
      </w:r>
    </w:p>
    <w:p>
      <w:pPr>
        <w:numPr>
          <w:ilvl w:val="0"/>
          <w:numId w:val="1007"/>
        </w:numPr>
        <w:pStyle w:val="Compact"/>
      </w:pPr>
      <w:r>
        <w:t xml:space="preserve">caminhos internos de promoção.</w:t>
      </w:r>
    </w:p>
    <w:p>
      <w:pPr>
        <w:pStyle w:val="FirstParagraph"/>
      </w:pPr>
      <w:r>
        <w:t xml:space="preserve">Obtenha por escrito as condições de reembolso ou permanência no emprego antes de aceitar educação financiada pelo empregador.</w:t>
      </w:r>
    </w:p>
    <w:bookmarkEnd w:id="44"/>
    <w:bookmarkEnd w:id="45"/>
    <w:bookmarkStart w:id="49" w:name="renda-e-perspectiva-de-emprego"/>
    <w:p>
      <w:pPr>
        <w:pStyle w:val="Heading2"/>
      </w:pPr>
      <w:r>
        <w:t xml:space="preserve">Renda e perspectiva de emprego</w:t>
      </w:r>
    </w:p>
    <w:bookmarkStart w:id="46" w:name="X9f5835f46d412bdb755471ed178d26ed83e7667"/>
    <w:p>
      <w:pPr>
        <w:pStyle w:val="Heading3"/>
      </w:pPr>
      <w:r>
        <w:t xml:space="preserve">Estados Unidos — dados ocupacionais oficiais</w:t>
      </w:r>
    </w:p>
    <w:p>
      <w:pPr>
        <w:pStyle w:val="FirstParagraph"/>
      </w:pPr>
      <w:r>
        <w:t xml:space="preserve">O O*NET apresenta dados salariais atuais de</w:t>
      </w:r>
      <w:r>
        <w:t xml:space="preserve"> </w:t>
      </w:r>
      <w:r>
        <w:rPr>
          <w:bCs/>
          <w:b/>
        </w:rPr>
        <w:t xml:space="preserve">BLS 2025</w:t>
      </w:r>
      <w:r>
        <w:t xml:space="preserve"> </w:t>
      </w:r>
      <w:r>
        <w:t xml:space="preserve">para Pharmacy Technicians:</w:t>
      </w:r>
    </w:p>
    <w:p>
      <w:pPr>
        <w:numPr>
          <w:ilvl w:val="0"/>
          <w:numId w:val="1008"/>
        </w:numPr>
        <w:pStyle w:val="Compact"/>
      </w:pPr>
      <w:r>
        <w:rPr>
          <w:bCs/>
          <w:b/>
        </w:rPr>
        <w:t xml:space="preserve">Salário mediano por hora: USD $22.00</w:t>
      </w:r>
    </w:p>
    <w:p>
      <w:pPr>
        <w:numPr>
          <w:ilvl w:val="0"/>
          <w:numId w:val="1008"/>
        </w:numPr>
        <w:pStyle w:val="Compact"/>
      </w:pPr>
      <w:r>
        <w:rPr>
          <w:bCs/>
          <w:b/>
        </w:rPr>
        <w:t xml:space="preserve">Salário mediano anual: USD $45.750</w:t>
      </w:r>
    </w:p>
    <w:p>
      <w:pPr>
        <w:pStyle w:val="FirstParagraph"/>
      </w:pPr>
      <w:r>
        <w:t xml:space="preserve">O O*NET informa aproximadamente</w:t>
      </w:r>
      <w:r>
        <w:t xml:space="preserve"> </w:t>
      </w:r>
      <w:r>
        <w:rPr>
          <w:bCs/>
          <w:b/>
        </w:rPr>
        <w:t xml:space="preserve">490.400 trabalhadores em 2024</w:t>
      </w:r>
      <w:r>
        <w:t xml:space="preserve">, crescimento projetado de</w:t>
      </w:r>
      <w:r>
        <w:t xml:space="preserve"> </w:t>
      </w:r>
      <w:r>
        <w:rPr>
          <w:bCs/>
          <w:b/>
        </w:rPr>
        <w:t xml:space="preserve">6% de 2024 a 2034</w:t>
      </w:r>
      <w:r>
        <w:t xml:space="preserve"> </w:t>
      </w:r>
      <w:r>
        <w:t xml:space="preserve">e cerca de</w:t>
      </w:r>
      <w:r>
        <w:t xml:space="preserve"> </w:t>
      </w:r>
      <w:r>
        <w:rPr>
          <w:bCs/>
          <w:b/>
        </w:rPr>
        <w:t xml:space="preserve">49.000 vagas anuais</w:t>
      </w:r>
      <w:r>
        <w:t xml:space="preserve"> </w:t>
      </w:r>
      <w:r>
        <w:t xml:space="preserve">ao longo do período de projeção.</w:t>
      </w:r>
    </w:p>
    <w:p>
      <w:pPr>
        <w:pStyle w:val="BodyText"/>
      </w:pPr>
      <w:r>
        <w:t xml:space="preserve">Essas são estatísticas ocupacionais nacionais, não um salário inicial prometido. A remuneração varia por estado, ambiente, turno, experiência, certificação, situação sindical e empregador.</w:t>
      </w:r>
    </w:p>
    <w:bookmarkEnd w:id="46"/>
    <w:bookmarkStart w:id="47" w:name="Xb8ba4de872775d5a22829e26f6f68e4af4f5b3e"/>
    <w:p>
      <w:pPr>
        <w:pStyle w:val="Heading3"/>
      </w:pPr>
      <w:r>
        <w:t xml:space="preserve">Estados Unidos — estimativa atual não governamental</w:t>
      </w:r>
    </w:p>
    <w:p>
      <w:pPr>
        <w:pStyle w:val="FirstParagraph"/>
      </w:pPr>
      <w:r>
        <w:t xml:space="preserve">Indeed informou salário-base médio nos EUA de aproximadamente</w:t>
      </w:r>
      <w:r>
        <w:t xml:space="preserve"> </w:t>
      </w:r>
      <w:r>
        <w:rPr>
          <w:bCs/>
          <w:b/>
        </w:rPr>
        <w:t xml:space="preserve">USD $21.13 por hora</w:t>
      </w:r>
      <w:r>
        <w:t xml:space="preserve"> </w:t>
      </w:r>
      <w:r>
        <w:t xml:space="preserve">para Pharmacy Technician, atualizado em</w:t>
      </w:r>
      <w:r>
        <w:t xml:space="preserve"> </w:t>
      </w:r>
      <w:r>
        <w:rPr>
          <w:bCs/>
          <w:b/>
        </w:rPr>
        <w:t xml:space="preserve">27 de julho de 2026</w:t>
      </w:r>
      <w:r>
        <w:t xml:space="preserve">, com valor baixo exibido de aproximadamente</w:t>
      </w:r>
      <w:r>
        <w:t xml:space="preserve"> </w:t>
      </w:r>
      <w:r>
        <w:rPr>
          <w:bCs/>
          <w:b/>
        </w:rPr>
        <w:t xml:space="preserve">$14.84</w:t>
      </w:r>
      <w:r>
        <w:t xml:space="preserve"> </w:t>
      </w:r>
      <w:r>
        <w:t xml:space="preserve">e alto de aproximadamente</w:t>
      </w:r>
      <w:r>
        <w:t xml:space="preserve"> </w:t>
      </w:r>
      <w:r>
        <w:rPr>
          <w:bCs/>
          <w:b/>
        </w:rPr>
        <w:t xml:space="preserve">$30.07</w:t>
      </w:r>
      <w:r>
        <w:t xml:space="preserve"> </w:t>
      </w:r>
      <w:r>
        <w:t xml:space="preserve">por hora.</w:t>
      </w:r>
    </w:p>
    <w:p>
      <w:pPr>
        <w:pStyle w:val="BodyText"/>
      </w:pPr>
      <w:r>
        <w:t xml:space="preserve">Esta é uma</w:t>
      </w:r>
      <w:r>
        <w:t xml:space="preserve"> </w:t>
      </w:r>
      <w:r>
        <w:rPr>
          <w:bCs/>
          <w:b/>
        </w:rPr>
        <w:t xml:space="preserve">estimativa de mercado não governamental</w:t>
      </w:r>
      <w:r>
        <w:t xml:space="preserve"> </w:t>
      </w:r>
      <w:r>
        <w:t xml:space="preserve">baseada em dados salariais de vagas. Não é mediana oficial e não deve ser combinada com a série BLS/O*NET.</w:t>
      </w:r>
    </w:p>
    <w:bookmarkEnd w:id="47"/>
    <w:bookmarkStart w:id="48" w:name="canadá--dados-nacionais-oficiais"/>
    <w:p>
      <w:pPr>
        <w:pStyle w:val="Heading3"/>
      </w:pPr>
      <w:r>
        <w:t xml:space="preserve">Canadá — dados nacionais oficiais</w:t>
      </w:r>
    </w:p>
    <w:p>
      <w:pPr>
        <w:pStyle w:val="FirstParagraph"/>
      </w:pPr>
      <w:r>
        <w:t xml:space="preserve">O Government of Canada Job Bank informa salários nacionais aproximados de Pharmacy Technician de:</w:t>
      </w:r>
    </w:p>
    <w:p>
      <w:pPr>
        <w:numPr>
          <w:ilvl w:val="0"/>
          <w:numId w:val="1009"/>
        </w:numPr>
        <w:pStyle w:val="Compact"/>
      </w:pPr>
      <w:r>
        <w:rPr>
          <w:bCs/>
          <w:b/>
        </w:rPr>
        <w:t xml:space="preserve">CAD $17.50/hora baixo</w:t>
      </w:r>
    </w:p>
    <w:p>
      <w:pPr>
        <w:numPr>
          <w:ilvl w:val="0"/>
          <w:numId w:val="1009"/>
        </w:numPr>
        <w:pStyle w:val="Compact"/>
      </w:pPr>
      <w:r>
        <w:rPr>
          <w:bCs/>
          <w:b/>
        </w:rPr>
        <w:t xml:space="preserve">CAD $24.83/hora mediano</w:t>
      </w:r>
    </w:p>
    <w:p>
      <w:pPr>
        <w:numPr>
          <w:ilvl w:val="0"/>
          <w:numId w:val="1009"/>
        </w:numPr>
        <w:pStyle w:val="Compact"/>
      </w:pPr>
      <w:r>
        <w:rPr>
          <w:bCs/>
          <w:b/>
        </w:rPr>
        <w:t xml:space="preserve">CAD $34.20/hora alto</w:t>
      </w:r>
    </w:p>
    <w:p>
      <w:pPr>
        <w:pStyle w:val="FirstParagraph"/>
      </w:pPr>
      <w:r>
        <w:t xml:space="preserve">A página salarial informa que esses valores foram atualizados em 19 de novembro de 2025. Os salários provinciais e territoriais variam, portanto use os filtros de localização do Job Bank antes de tomar uma decisão de treinamento ou mudança.</w:t>
      </w:r>
    </w:p>
    <w:bookmarkEnd w:id="48"/>
    <w:bookmarkEnd w:id="49"/>
    <w:bookmarkStart w:id="50" w:name="plano-prático-inicial-de-12-semanas"/>
    <w:p>
      <w:pPr>
        <w:pStyle w:val="Heading2"/>
      </w:pPr>
      <w:r>
        <w:t xml:space="preserve">Plano prático inicial de 12 semanas</w:t>
      </w:r>
    </w:p>
    <w:p>
      <w:pPr>
        <w:pStyle w:val="FirstParagraph"/>
      </w:pPr>
      <w:r>
        <w:rPr>
          <w:bCs/>
          <w:b/>
        </w:rPr>
        <w:t xml:space="preserve">Semanas 1–2:</w:t>
      </w:r>
      <w:r>
        <w:t xml:space="preserve"> </w:t>
      </w:r>
      <w:r>
        <w:t xml:space="preserve">Escolha sua jurisdição-alvo. Verifique regras estaduais/provinciais/nacionais de registro e leia 15–20 vagas atuais.</w:t>
      </w:r>
    </w:p>
    <w:p>
      <w:pPr>
        <w:pStyle w:val="BodyText"/>
      </w:pPr>
      <w:r>
        <w:rPr>
          <w:bCs/>
          <w:b/>
        </w:rPr>
        <w:t xml:space="preserve">Semanas 3–4:</w:t>
      </w:r>
      <w:r>
        <w:t xml:space="preserve"> </w:t>
      </w:r>
      <w:r>
        <w:t xml:space="preserve">Reforce aritmética, medição, porcentagens, proporções, consciência de unidades e hábitos cuidadosos de entrada de dados usando exercícios de treinamento, não decisões de prescrições reais.</w:t>
      </w:r>
    </w:p>
    <w:p>
      <w:pPr>
        <w:pStyle w:val="BodyText"/>
      </w:pPr>
      <w:r>
        <w:rPr>
          <w:bCs/>
          <w:b/>
        </w:rPr>
        <w:t xml:space="preserve">Semanas 5–6:</w:t>
      </w:r>
      <w:r>
        <w:t xml:space="preserve"> </w:t>
      </w:r>
      <w:r>
        <w:t xml:space="preserve">Estude terminologia geral de farmácia, formas farmacêuticas comuns, conceitos de estoque, princípios de privacidade, fluxo de prescrições, noções de seguros e quando escalar perguntas a um farmacêutico.</w:t>
      </w:r>
    </w:p>
    <w:p>
      <w:pPr>
        <w:pStyle w:val="BodyText"/>
      </w:pPr>
      <w:r>
        <w:rPr>
          <w:bCs/>
          <w:b/>
        </w:rPr>
        <w:t xml:space="preserve">Semanas 7–8:</w:t>
      </w:r>
      <w:r>
        <w:t xml:space="preserve"> </w:t>
      </w:r>
      <w:r>
        <w:t xml:space="preserve">Compare caminhos de formação acreditados/públicos/aprovados, programas trainee de empregadores, oportunidades de aprendizagem, treinamento prático supervisionado, financiamento, custo total e elegibilidade para exames.</w:t>
      </w:r>
    </w:p>
    <w:p>
      <w:pPr>
        <w:pStyle w:val="BodyText"/>
      </w:pPr>
      <w:r>
        <w:rPr>
          <w:bCs/>
          <w:b/>
        </w:rPr>
        <w:t xml:space="preserve">Semanas 9–10:</w:t>
      </w:r>
      <w:r>
        <w:t xml:space="preserve"> </w:t>
      </w:r>
      <w:r>
        <w:t xml:space="preserve">Pratique cenários seguros não clínicos: identificar informação faltante, documentar discrepância, organizar registros de estoque, lidar com um aviso simulado de recall, encaminhar pergunta de paciente ao farmacêutico e proteger informação confidencial.</w:t>
      </w:r>
    </w:p>
    <w:p>
      <w:pPr>
        <w:pStyle w:val="BodyText"/>
      </w:pPr>
      <w:r>
        <w:rPr>
          <w:bCs/>
          <w:b/>
        </w:rPr>
        <w:t xml:space="preserve">Semanas 11–12:</w:t>
      </w:r>
      <w:r>
        <w:t xml:space="preserve"> </w:t>
      </w:r>
      <w:r>
        <w:t xml:space="preserve">Atualize seu currículo com evidências verdadeiras de precisão, atendimento ao cliente, disciplina em processos regulados, estoque, entrada de dados, privacidade, trabalho em equipe ou apoio em saúde. Candidate-se apenas a funções cujos requisitos atuais de entrada você possa cumprir na sua jurisdição.</w:t>
      </w:r>
    </w:p>
    <w:bookmarkEnd w:id="50"/>
    <w:bookmarkStart w:id="51" w:name="X0655adce623bdf13e9a77f524008ee555da739e"/>
    <w:p>
      <w:pPr>
        <w:pStyle w:val="Heading2"/>
      </w:pPr>
      <w:r>
        <w:t xml:space="preserve">Como construir experiência sem já ter o título</w:t>
      </w:r>
    </w:p>
    <w:p>
      <w:pPr>
        <w:pStyle w:val="FirstParagraph"/>
      </w:pPr>
      <w:r>
        <w:t xml:space="preserve">Experiência transferível pode vir de:</w:t>
      </w:r>
    </w:p>
    <w:p>
      <w:pPr>
        <w:numPr>
          <w:ilvl w:val="0"/>
          <w:numId w:val="1010"/>
        </w:numPr>
        <w:pStyle w:val="Compact"/>
      </w:pPr>
      <w:r>
        <w:t xml:space="preserve">administração em saúde;</w:t>
      </w:r>
    </w:p>
    <w:p>
      <w:pPr>
        <w:numPr>
          <w:ilvl w:val="0"/>
          <w:numId w:val="1010"/>
        </w:numPr>
        <w:pStyle w:val="Compact"/>
      </w:pPr>
      <w:r>
        <w:t xml:space="preserve">recepção médica ou odontológica;</w:t>
      </w:r>
    </w:p>
    <w:p>
      <w:pPr>
        <w:numPr>
          <w:ilvl w:val="0"/>
          <w:numId w:val="1010"/>
        </w:numPr>
        <w:pStyle w:val="Compact"/>
      </w:pPr>
      <w:r>
        <w:t xml:space="preserve">estoque, almoxarifado ou controle de materiais;</w:t>
      </w:r>
    </w:p>
    <w:p>
      <w:pPr>
        <w:numPr>
          <w:ilvl w:val="0"/>
          <w:numId w:val="1010"/>
        </w:numPr>
        <w:pStyle w:val="Compact"/>
      </w:pPr>
      <w:r>
        <w:t xml:space="preserve">varejo regulado;</w:t>
      </w:r>
    </w:p>
    <w:p>
      <w:pPr>
        <w:numPr>
          <w:ilvl w:val="0"/>
          <w:numId w:val="1010"/>
        </w:numPr>
        <w:pStyle w:val="Compact"/>
      </w:pPr>
      <w:r>
        <w:t xml:space="preserve">atendimento ao cliente;</w:t>
      </w:r>
    </w:p>
    <w:p>
      <w:pPr>
        <w:numPr>
          <w:ilvl w:val="0"/>
          <w:numId w:val="1010"/>
        </w:numPr>
        <w:pStyle w:val="Compact"/>
      </w:pPr>
      <w:r>
        <w:t xml:space="preserve">seguro ou processamento de sinistros;</w:t>
      </w:r>
    </w:p>
    <w:p>
      <w:pPr>
        <w:numPr>
          <w:ilvl w:val="0"/>
          <w:numId w:val="1010"/>
        </w:numPr>
        <w:pStyle w:val="Compact"/>
      </w:pPr>
      <w:r>
        <w:t xml:space="preserve">apoio laboratorial ou clínico;</w:t>
      </w:r>
    </w:p>
    <w:p>
      <w:pPr>
        <w:numPr>
          <w:ilvl w:val="0"/>
          <w:numId w:val="1010"/>
        </w:numPr>
        <w:pStyle w:val="Compact"/>
      </w:pPr>
      <w:r>
        <w:t xml:space="preserve">suprimentos hospitalares ou apoio em processamento estéril;</w:t>
      </w:r>
    </w:p>
    <w:p>
      <w:pPr>
        <w:numPr>
          <w:ilvl w:val="0"/>
          <w:numId w:val="1010"/>
        </w:numPr>
        <w:pStyle w:val="Compact"/>
      </w:pPr>
      <w:r>
        <w:t xml:space="preserve">trabalho de entrada de dados que exija alta precisão; ou</w:t>
      </w:r>
    </w:p>
    <w:p>
      <w:pPr>
        <w:numPr>
          <w:ilvl w:val="0"/>
          <w:numId w:val="1010"/>
        </w:numPr>
        <w:pStyle w:val="Compact"/>
      </w:pPr>
      <w:r>
        <w:t xml:space="preserve">outras funções com privacidade, trilhas de auditoria, estoque controlado ou procedimentos de escalonamento.</w:t>
      </w:r>
    </w:p>
    <w:p>
      <w:pPr>
        <w:pStyle w:val="FirstParagraph"/>
      </w:pPr>
      <w:r>
        <w:t xml:space="preserve">Descreva o que você realmente fez. Não alegue processamento de prescrições, manipulação, técnica estéril, administração de vacinas, acesso a substâncias controladas, certificação, registro ou experiência em sistemas de farmácia se isso não for verdadeiro e comprovável.</w:t>
      </w:r>
    </w:p>
    <w:bookmarkEnd w:id="51"/>
    <w:bookmarkStart w:id="52" w:name="progressão-profissional"/>
    <w:p>
      <w:pPr>
        <w:pStyle w:val="Heading2"/>
      </w:pPr>
      <w:r>
        <w:t xml:space="preserve">Progressão profissional</w:t>
      </w:r>
    </w:p>
    <w:p>
      <w:pPr>
        <w:pStyle w:val="FirstParagraph"/>
      </w:pPr>
      <w:r>
        <w:t xml:space="preserve">Com treinamento, experiência e autorização adicionais, técnicos em farmácia podem avançar para técnico sênior, técnico líder, histórico de medicamentos, farmácia especializada, automação, estoque, compras, hospitalar, manipulação estéril, medicamentos perigosos, farmácia nuclear, treinamento, qualidade ou supervisão.</w:t>
      </w:r>
    </w:p>
    <w:p>
      <w:pPr>
        <w:pStyle w:val="BodyText"/>
      </w:pPr>
      <w:r>
        <w:t xml:space="preserve">Funções avançadas podem exigir certificação adicional, qualificação do empregador, aprovação regulatória, treinamento especializado, competência em sala limpa, controles de medicamentos perigosos ou outros requisitos. Verifique a função exata antes de pagar por treinamento.</w:t>
      </w:r>
    </w:p>
    <w:bookmarkEnd w:id="52"/>
    <w:bookmarkStart w:id="53" w:name="X12f35f29a0e75360bac57ee93323a148d86c309"/>
    <w:p>
      <w:pPr>
        <w:pStyle w:val="Heading2"/>
      </w:pPr>
      <w:r>
        <w:t xml:space="preserve">Evite golpes e ofertas fracas de treinamento</w:t>
      </w:r>
    </w:p>
    <w:p>
      <w:pPr>
        <w:pStyle w:val="FirstParagraph"/>
      </w:pPr>
      <w:r>
        <w:t xml:space="preserve">Tenha cautela quando uma escola, recrutador, empregador ou vendedor de treinamento:</w:t>
      </w:r>
    </w:p>
    <w:p>
      <w:pPr>
        <w:numPr>
          <w:ilvl w:val="0"/>
          <w:numId w:val="1011"/>
        </w:numPr>
        <w:pStyle w:val="Compact"/>
      </w:pPr>
      <w:r>
        <w:t xml:space="preserve">garante licença, registro, certificação, emprego ou salário específico;</w:t>
      </w:r>
    </w:p>
    <w:p>
      <w:pPr>
        <w:numPr>
          <w:ilvl w:val="0"/>
          <w:numId w:val="1011"/>
        </w:numPr>
        <w:pStyle w:val="Compact"/>
      </w:pPr>
      <w:r>
        <w:t xml:space="preserve">afirma que uma credencial privada é legalmente obrigatória em todos os lugares;</w:t>
      </w:r>
    </w:p>
    <w:p>
      <w:pPr>
        <w:numPr>
          <w:ilvl w:val="0"/>
          <w:numId w:val="1011"/>
        </w:numPr>
        <w:pStyle w:val="Compact"/>
      </w:pPr>
      <w:r>
        <w:t xml:space="preserve">esconde custo total de mensalidade, taxas de exames, custos de antecedentes, condições de estágio, regras de reembolso ou encargos de financiamento;</w:t>
      </w:r>
    </w:p>
    <w:p>
      <w:pPr>
        <w:numPr>
          <w:ilvl w:val="0"/>
          <w:numId w:val="1011"/>
        </w:numPr>
        <w:pStyle w:val="Compact"/>
      </w:pPr>
      <w:r>
        <w:t xml:space="preserve">não consegue mostrar se o programa atende aos requisitos atuais do estado ou província-alvo;</w:t>
      </w:r>
    </w:p>
    <w:p>
      <w:pPr>
        <w:numPr>
          <w:ilvl w:val="0"/>
          <w:numId w:val="1011"/>
        </w:numPr>
        <w:pStyle w:val="Compact"/>
      </w:pPr>
      <w:r>
        <w:t xml:space="preserve">promete acesso a sistemas ou medicamentos reais de farmácia sem supervisão apropriada;</w:t>
      </w:r>
    </w:p>
    <w:p>
      <w:pPr>
        <w:numPr>
          <w:ilvl w:val="0"/>
          <w:numId w:val="1011"/>
        </w:numPr>
        <w:pStyle w:val="Compact"/>
      </w:pPr>
      <w:r>
        <w:t xml:space="preserve">pede pagamento por uma oferta de emprego usando cartões-presente, criptomoeda, transferência bancária ou métodos incomuns; ou</w:t>
      </w:r>
    </w:p>
    <w:p>
      <w:pPr>
        <w:numPr>
          <w:ilvl w:val="0"/>
          <w:numId w:val="1011"/>
        </w:numPr>
        <w:pStyle w:val="Compact"/>
      </w:pPr>
      <w:r>
        <w:t xml:space="preserve">solicita informação sensível de identidade, prescrição ou bancária antes que você tenha verificado a organização.</w:t>
      </w:r>
    </w:p>
    <w:p>
      <w:pPr>
        <w:pStyle w:val="FirstParagraph"/>
      </w:pPr>
      <w:r>
        <w:t xml:space="preserve">Verifique requisitos com o regulador, agência pública de força de trabalho, fontes de aprovação/acreditação escolar quando aplicável e empregadores reais.</w:t>
      </w:r>
    </w:p>
    <w:bookmarkEnd w:id="53"/>
    <w:bookmarkStart w:id="54" w:name="quando-pausar-antes-de-gastar-dinheiro"/>
    <w:p>
      <w:pPr>
        <w:pStyle w:val="Heading2"/>
      </w:pPr>
      <w:r>
        <w:t xml:space="preserve">Quando pausar antes de gastar dinheiro</w:t>
      </w:r>
    </w:p>
    <w:p>
      <w:pPr>
        <w:pStyle w:val="FirstParagraph"/>
      </w:pPr>
      <w:r>
        <w:t xml:space="preserve">Pause ou adie a matrícula quando:</w:t>
      </w:r>
    </w:p>
    <w:p>
      <w:pPr>
        <w:numPr>
          <w:ilvl w:val="0"/>
          <w:numId w:val="1012"/>
        </w:numPr>
        <w:pStyle w:val="Compact"/>
      </w:pPr>
      <w:r>
        <w:t xml:space="preserve">você ainda não verificou os requisitos de registro ou licenciamento da jurisdição-alvo;</w:t>
      </w:r>
    </w:p>
    <w:p>
      <w:pPr>
        <w:numPr>
          <w:ilvl w:val="0"/>
          <w:numId w:val="1012"/>
        </w:numPr>
        <w:pStyle w:val="Compact"/>
      </w:pPr>
      <w:r>
        <w:t xml:space="preserve">empregadores locais não pedem a credencial que você está considerando;</w:t>
      </w:r>
    </w:p>
    <w:p>
      <w:pPr>
        <w:numPr>
          <w:ilvl w:val="0"/>
          <w:numId w:val="1012"/>
        </w:numPr>
        <w:pStyle w:val="Compact"/>
      </w:pPr>
      <w:r>
        <w:t xml:space="preserve">o programa não consegue explicar elegibilidade para exames ou requisitos de prática supervisionada;</w:t>
      </w:r>
    </w:p>
    <w:p>
      <w:pPr>
        <w:numPr>
          <w:ilvl w:val="0"/>
          <w:numId w:val="1012"/>
        </w:numPr>
        <w:pStyle w:val="Compact"/>
      </w:pPr>
      <w:r>
        <w:t xml:space="preserve">o provedor não fornece por escrito o custo total e regras de reembolso;</w:t>
      </w:r>
    </w:p>
    <w:p>
      <w:pPr>
        <w:numPr>
          <w:ilvl w:val="0"/>
          <w:numId w:val="1012"/>
        </w:numPr>
        <w:pStyle w:val="Compact"/>
      </w:pPr>
      <w:r>
        <w:t xml:space="preserve">treinamento público ou pago por empregadores pode cobrir o mesmo caminho;</w:t>
      </w:r>
    </w:p>
    <w:p>
      <w:pPr>
        <w:numPr>
          <w:ilvl w:val="0"/>
          <w:numId w:val="1012"/>
        </w:numPr>
        <w:pStyle w:val="Compact"/>
      </w:pPr>
      <w:r>
        <w:t xml:space="preserve">o reconhecimento da escola ou programa não pode ser verificado; ou</w:t>
      </w:r>
    </w:p>
    <w:p>
      <w:pPr>
        <w:numPr>
          <w:ilvl w:val="0"/>
          <w:numId w:val="1012"/>
        </w:numPr>
        <w:pStyle w:val="Compact"/>
      </w:pPr>
      <w:r>
        <w:t xml:space="preserve">o financiamento criaria uma dívida que você não conseguiria pagar confortavelmente.</w:t>
      </w:r>
    </w:p>
    <w:bookmarkEnd w:id="54"/>
    <w:bookmarkStart w:id="74" w:name="fontes-atuais"/>
    <w:p>
      <w:pPr>
        <w:pStyle w:val="Heading2"/>
      </w:pPr>
      <w:r>
        <w:t xml:space="preserve">Fontes atuais</w:t>
      </w:r>
    </w:p>
    <w:p>
      <w:pPr>
        <w:pStyle w:val="FirstParagraph"/>
      </w:pPr>
      <w:r>
        <w:t xml:space="preserve">Fontes oficiais/públicas:</w:t>
      </w:r>
    </w:p>
    <w:p>
      <w:pPr>
        <w:numPr>
          <w:ilvl w:val="0"/>
          <w:numId w:val="1013"/>
        </w:numPr>
        <w:pStyle w:val="Compact"/>
      </w:pPr>
      <w:r>
        <w:t xml:space="preserve">O*NET OnLine — Pharmacy Technicians:</w:t>
      </w:r>
      <w:r>
        <w:t xml:space="preserve"> </w:t>
      </w:r>
      <w:hyperlink r:id="rId55">
        <w:r>
          <w:rPr>
            <w:rStyle w:val="Hyperlink"/>
          </w:rPr>
          <w:t xml:space="preserve">https://www.onetonline.org/link/summary/29-2052.00</w:t>
        </w:r>
      </w:hyperlink>
    </w:p>
    <w:p>
      <w:pPr>
        <w:numPr>
          <w:ilvl w:val="0"/>
          <w:numId w:val="1013"/>
        </w:numPr>
        <w:pStyle w:val="Compact"/>
      </w:pPr>
      <w:r>
        <w:t xml:space="preserve">O*NET/BLS national wages:</w:t>
      </w:r>
      <w:r>
        <w:t xml:space="preserve"> </w:t>
      </w:r>
      <w:hyperlink r:id="rId56">
        <w:r>
          <w:rPr>
            <w:rStyle w:val="Hyperlink"/>
          </w:rPr>
          <w:t xml:space="preserve">https://www.onetonline.org/link/localwages/29-2052.00</w:t>
        </w:r>
      </w:hyperlink>
    </w:p>
    <w:p>
      <w:pPr>
        <w:numPr>
          <w:ilvl w:val="0"/>
          <w:numId w:val="1013"/>
        </w:numPr>
        <w:pStyle w:val="Compact"/>
      </w:pPr>
      <w:r>
        <w:t xml:space="preserve">O*NET/BLS employment trends:</w:t>
      </w:r>
      <w:r>
        <w:t xml:space="preserve"> </w:t>
      </w:r>
      <w:hyperlink r:id="rId57">
        <w:r>
          <w:rPr>
            <w:rStyle w:val="Hyperlink"/>
          </w:rPr>
          <w:t xml:space="preserve">https://www.onetonline.org/link/localtrends/29-2052.00</w:t>
        </w:r>
      </w:hyperlink>
    </w:p>
    <w:p>
      <w:pPr>
        <w:numPr>
          <w:ilvl w:val="0"/>
          <w:numId w:val="1013"/>
        </w:numPr>
        <w:pStyle w:val="Compact"/>
      </w:pPr>
      <w:r>
        <w:t xml:space="preserve">U.S. Bureau of Labor Statistics — Pharmacy Technicians:</w:t>
      </w:r>
      <w:r>
        <w:t xml:space="preserve"> </w:t>
      </w:r>
      <w:hyperlink r:id="rId58">
        <w:r>
          <w:rPr>
            <w:rStyle w:val="Hyperlink"/>
          </w:rPr>
          <w:t xml:space="preserve">https://www.bls.gov/ooh/healthcare/pharmacy-technicians.htm</w:t>
        </w:r>
      </w:hyperlink>
    </w:p>
    <w:p>
      <w:pPr>
        <w:numPr>
          <w:ilvl w:val="0"/>
          <w:numId w:val="1013"/>
        </w:numPr>
        <w:pStyle w:val="Compact"/>
      </w:pPr>
      <w:r>
        <w:t xml:space="preserve">CareerOneStop licensing locator:</w:t>
      </w:r>
      <w:r>
        <w:t xml:space="preserve"> </w:t>
      </w:r>
      <w:hyperlink r:id="rId59">
        <w:r>
          <w:rPr>
            <w:rStyle w:val="Hyperlink"/>
          </w:rPr>
          <w:t xml:space="preserve">https://www.careeronestop.org/Toolkit/Training/find-licenses.aspx</w:t>
        </w:r>
      </w:hyperlink>
    </w:p>
    <w:p>
      <w:pPr>
        <w:numPr>
          <w:ilvl w:val="0"/>
          <w:numId w:val="1013"/>
        </w:numPr>
        <w:pStyle w:val="Compact"/>
      </w:pPr>
      <w:r>
        <w:t xml:space="preserve">CareerOneStop certification locator:</w:t>
      </w:r>
      <w:r>
        <w:t xml:space="preserve"> </w:t>
      </w:r>
      <w:hyperlink r:id="rId60">
        <w:r>
          <w:rPr>
            <w:rStyle w:val="Hyperlink"/>
          </w:rPr>
          <w:t xml:space="preserve">https://www.careeronestop.org/Toolkit/Training/find-certifications.aspx</w:t>
        </w:r>
      </w:hyperlink>
    </w:p>
    <w:p>
      <w:pPr>
        <w:numPr>
          <w:ilvl w:val="0"/>
          <w:numId w:val="1013"/>
        </w:numPr>
        <w:pStyle w:val="Compact"/>
      </w:pPr>
      <w:r>
        <w:t xml:space="preserve">Apprenticeship.gov — Career Seekers:</w:t>
      </w:r>
      <w:r>
        <w:t xml:space="preserve"> </w:t>
      </w:r>
      <w:hyperlink r:id="rId61">
        <w:r>
          <w:rPr>
            <w:rStyle w:val="Hyperlink"/>
          </w:rPr>
          <w:t xml:space="preserve">https://www.apprenticeship.gov/career-seekers</w:t>
        </w:r>
      </w:hyperlink>
    </w:p>
    <w:p>
      <w:pPr>
        <w:numPr>
          <w:ilvl w:val="0"/>
          <w:numId w:val="1013"/>
        </w:numPr>
        <w:pStyle w:val="Compact"/>
      </w:pPr>
      <w:r>
        <w:t xml:space="preserve">CareerOneStop WIOA training finder:</w:t>
      </w:r>
      <w:r>
        <w:t xml:space="preserve"> </w:t>
      </w:r>
      <w:hyperlink r:id="rId62">
        <w:r>
          <w:rPr>
            <w:rStyle w:val="Hyperlink"/>
          </w:rPr>
          <w:t xml:space="preserve">https://www.careeronestop.org/LocalHelp/EmploymentAndTraining/find-WIOA-training-programs.aspx</w:t>
        </w:r>
      </w:hyperlink>
    </w:p>
    <w:p>
      <w:pPr>
        <w:numPr>
          <w:ilvl w:val="0"/>
          <w:numId w:val="1013"/>
        </w:numPr>
        <w:pStyle w:val="Compact"/>
      </w:pPr>
      <w:r>
        <w:t xml:space="preserve">Federal Student Aid FAFSA guidance:</w:t>
      </w:r>
      <w:r>
        <w:t xml:space="preserve"> </w:t>
      </w:r>
      <w:hyperlink r:id="rId63">
        <w:r>
          <w:rPr>
            <w:rStyle w:val="Hyperlink"/>
          </w:rPr>
          <w:t xml:space="preserve">https://studentaid.gov/articles/fafsa-student-steps/</w:t>
        </w:r>
      </w:hyperlink>
    </w:p>
    <w:p>
      <w:pPr>
        <w:numPr>
          <w:ilvl w:val="0"/>
          <w:numId w:val="1013"/>
        </w:numPr>
        <w:pStyle w:val="Compact"/>
      </w:pPr>
      <w:r>
        <w:t xml:space="preserve">Government of Canada Job Bank — Pharmacy Technician summary:</w:t>
      </w:r>
      <w:r>
        <w:t xml:space="preserve"> </w:t>
      </w:r>
      <w:hyperlink r:id="rId64">
        <w:r>
          <w:rPr>
            <w:rStyle w:val="Hyperlink"/>
          </w:rPr>
          <w:t xml:space="preserve">https://www.jobbank.gc.ca/marketreport/summary-occupation/25660/ca</w:t>
        </w:r>
      </w:hyperlink>
    </w:p>
    <w:p>
      <w:pPr>
        <w:numPr>
          <w:ilvl w:val="0"/>
          <w:numId w:val="1013"/>
        </w:numPr>
        <w:pStyle w:val="Compact"/>
      </w:pPr>
      <w:r>
        <w:t xml:space="preserve">Government of Canada Job Bank — requirements:</w:t>
      </w:r>
      <w:r>
        <w:t xml:space="preserve"> </w:t>
      </w:r>
      <w:hyperlink r:id="rId65">
        <w:r>
          <w:rPr>
            <w:rStyle w:val="Hyperlink"/>
          </w:rPr>
          <w:t xml:space="preserve">https://www.jobbank.gc.ca/marketreport/requirements/25660/ca</w:t>
        </w:r>
      </w:hyperlink>
    </w:p>
    <w:p>
      <w:pPr>
        <w:numPr>
          <w:ilvl w:val="0"/>
          <w:numId w:val="1013"/>
        </w:numPr>
        <w:pStyle w:val="Compact"/>
      </w:pPr>
      <w:r>
        <w:t xml:space="preserve">Government of Canada Job Bank — wages:</w:t>
      </w:r>
      <w:r>
        <w:t xml:space="preserve"> </w:t>
      </w:r>
      <w:hyperlink r:id="rId66">
        <w:r>
          <w:rPr>
            <w:rStyle w:val="Hyperlink"/>
          </w:rPr>
          <w:t xml:space="preserve">https://www.jobbank.gc.ca/marketreport/wages-occupation/25660/ca</w:t>
        </w:r>
      </w:hyperlink>
    </w:p>
    <w:p>
      <w:pPr>
        <w:numPr>
          <w:ilvl w:val="0"/>
          <w:numId w:val="1013"/>
        </w:numPr>
        <w:pStyle w:val="Compact"/>
      </w:pPr>
      <w:r>
        <w:t xml:space="preserve">Canada Student Grants and Loans:</w:t>
      </w:r>
      <w:r>
        <w:t xml:space="preserve"> </w:t>
      </w:r>
      <w:hyperlink r:id="rId67">
        <w:r>
          <w:rPr>
            <w:rStyle w:val="Hyperlink"/>
          </w:rPr>
          <w:t xml:space="preserve">https://www.canada.ca/en/services/benefits/education/student-aid/grants-loans.html</w:t>
        </w:r>
      </w:hyperlink>
    </w:p>
    <w:p>
      <w:pPr>
        <w:numPr>
          <w:ilvl w:val="0"/>
          <w:numId w:val="1013"/>
        </w:numPr>
        <w:pStyle w:val="Compact"/>
      </w:pPr>
      <w:r>
        <w:t xml:space="preserve">SENA Observatorio — Auxiliares en servicios farmacéuticos:</w:t>
      </w:r>
      <w:r>
        <w:t xml:space="preserve"> </w:t>
      </w:r>
      <w:hyperlink r:id="rId68">
        <w:r>
          <w:rPr>
            <w:rStyle w:val="Hyperlink"/>
          </w:rPr>
          <w:t xml:space="preserve">https://observatorio.sena.edu.co/Clasificacion/CnoDetalle?tags=3315</w:t>
        </w:r>
      </w:hyperlink>
    </w:p>
    <w:p>
      <w:pPr>
        <w:numPr>
          <w:ilvl w:val="0"/>
          <w:numId w:val="1013"/>
        </w:numPr>
        <w:pStyle w:val="Compact"/>
      </w:pPr>
      <w:r>
        <w:t xml:space="preserve">SENA Betowa — Servicios Farmacéuticos:</w:t>
      </w:r>
      <w:r>
        <w:t xml:space="preserve"> </w:t>
      </w:r>
      <w:hyperlink r:id="rId69">
        <w:r>
          <w:rPr>
            <w:rStyle w:val="Hyperlink"/>
          </w:rPr>
          <w:t xml:space="preserve">https://betowa.sena.edu.co/oferta/servicios-farmaceuticos?modality=P&amp;programId=99375</w:t>
        </w:r>
      </w:hyperlink>
    </w:p>
    <w:p>
      <w:pPr>
        <w:numPr>
          <w:ilvl w:val="0"/>
          <w:numId w:val="1013"/>
        </w:numPr>
        <w:pStyle w:val="Compact"/>
      </w:pPr>
      <w:r>
        <w:t xml:space="preserve">Colombia pharmaceutical-service regulatory compilation:</w:t>
      </w:r>
      <w:r>
        <w:t xml:space="preserve"> </w:t>
      </w:r>
      <w:hyperlink r:id="rId70">
        <w:r>
          <w:rPr>
            <w:rStyle w:val="Hyperlink"/>
          </w:rPr>
          <w:t xml:space="preserve">https://normograma.sena.edu.co/compilacion/docs/decreto_0780_2016_pr024.htm</w:t>
        </w:r>
      </w:hyperlink>
    </w:p>
    <w:p>
      <w:pPr>
        <w:numPr>
          <w:ilvl w:val="0"/>
          <w:numId w:val="1013"/>
        </w:numPr>
        <w:pStyle w:val="Compact"/>
      </w:pPr>
      <w:r>
        <w:t xml:space="preserve">OIT/Cinterfor:</w:t>
      </w:r>
      <w:r>
        <w:t xml:space="preserve"> </w:t>
      </w:r>
      <w:hyperlink r:id="rId71">
        <w:r>
          <w:rPr>
            <w:rStyle w:val="Hyperlink"/>
          </w:rPr>
          <w:t xml:space="preserve">https://www.oitcinterfor.org/</w:t>
        </w:r>
      </w:hyperlink>
    </w:p>
    <w:p>
      <w:pPr>
        <w:numPr>
          <w:ilvl w:val="0"/>
          <w:numId w:val="1013"/>
        </w:numPr>
        <w:pStyle w:val="Compact"/>
      </w:pPr>
      <w:r>
        <w:t xml:space="preserve">OIT/Cinterfor institutional network:</w:t>
      </w:r>
      <w:r>
        <w:t xml:space="preserve"> </w:t>
      </w:r>
      <w:hyperlink r:id="rId72">
        <w:r>
          <w:rPr>
            <w:rStyle w:val="Hyperlink"/>
          </w:rPr>
          <w:t xml:space="preserve">https://www.oitcinterfor.org/red-institucional</w:t>
        </w:r>
      </w:hyperlink>
    </w:p>
    <w:p>
      <w:pPr>
        <w:pStyle w:val="FirstParagraph"/>
      </w:pPr>
      <w:r>
        <w:t xml:space="preserve">Fonte salarial suplementar não governamental:</w:t>
      </w:r>
    </w:p>
    <w:p>
      <w:pPr>
        <w:numPr>
          <w:ilvl w:val="0"/>
          <w:numId w:val="1014"/>
        </w:numPr>
        <w:pStyle w:val="Compact"/>
      </w:pPr>
      <w:r>
        <w:t xml:space="preserve">Indeed — Pharmacy Technician salary:</w:t>
      </w:r>
      <w:r>
        <w:t xml:space="preserve"> </w:t>
      </w:r>
      <w:hyperlink r:id="rId73">
        <w:r>
          <w:rPr>
            <w:rStyle w:val="Hyperlink"/>
          </w:rPr>
          <w:t xml:space="preserve">https://www.indeed.com/career/pharmacy-technician/salaries</w:t>
        </w:r>
      </w:hyperlink>
    </w:p>
    <w:bookmarkEnd w:id="74"/>
    <w:bookmarkStart w:id="75" w:name="nota-sobre-fontes-e-revisão"/>
    <w:p>
      <w:pPr>
        <w:pStyle w:val="Heading2"/>
      </w:pPr>
      <w:r>
        <w:t xml:space="preserve">Nota sobre fontes e revisão</w:t>
      </w:r>
    </w:p>
    <w:p>
      <w:pPr>
        <w:pStyle w:val="FirstParagraph"/>
      </w:pPr>
      <w:r>
        <w:t xml:space="preserve">Este guia usa pesquisa de fontes atuais registrada em 18 de agosto de 2026. Salários, registro, certificação, disponibilidade de treinamento, regras dos reguladores, escopo de prática, requisitos de supervisão, tecnologia farmacêutica, financiamento e condições locais de contratação podem mudar. Verifique novamente o regulador atual, fontes oficiais e vagas locais antes de agir.</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afirma certificação humana independente, revisão profissional farmacêutica ou médica, revisão jurídica/regulatória, tradução profissional certificada, certificação de acessibilidade, acreditação, garantia de licença ou registro, garantia de financiamento, garantia de emprego ou garantia de renda.</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betowa.sena.edu.co/oferta/servicios-farmaceuticos?modality=P&amp;programId=99375" TargetMode="External" /><Relationship Type="http://schemas.openxmlformats.org/officeDocument/2006/relationships/hyperlink" Id="rId70" Target="https://normograma.sena.edu.co/compilacion/docs/decreto_0780_2016_pr024.htm" TargetMode="External" /><Relationship Type="http://schemas.openxmlformats.org/officeDocument/2006/relationships/hyperlink" Id="rId68" Target="https://observatorio.sena.edu.co/Clasificacion/CnoDetalle?tags=3315" TargetMode="External" /><Relationship Type="http://schemas.openxmlformats.org/officeDocument/2006/relationships/hyperlink" Id="rId63" Target="https://studentaid.gov/articles/fafsa-student-steps/" TargetMode="External" /><Relationship Type="http://schemas.openxmlformats.org/officeDocument/2006/relationships/hyperlink" Id="rId61" Target="https://www.apprenticeship.gov/career-seekers" TargetMode="External" /><Relationship Type="http://schemas.openxmlformats.org/officeDocument/2006/relationships/hyperlink" Id="rId58" Target="https://www.bls.gov/ooh/healthcare/pharmacy-technicians.htm" TargetMode="External" /><Relationship Type="http://schemas.openxmlformats.org/officeDocument/2006/relationships/hyperlink" Id="rId67" Target="https://www.canada.ca/en/services/benefits/education/student-aid/grants-loans.html" TargetMode="External" /><Relationship Type="http://schemas.openxmlformats.org/officeDocument/2006/relationships/hyperlink" Id="rId62" Target="https://www.careeronestop.org/LocalHelp/EmploymentAndTraining/find-WIOA-training-programs.aspx" TargetMode="External" /><Relationship Type="http://schemas.openxmlformats.org/officeDocument/2006/relationships/hyperlink" Id="rId60" Target="https://www.careeronestop.org/Toolkit/Training/find-certifications.aspx" TargetMode="External" /><Relationship Type="http://schemas.openxmlformats.org/officeDocument/2006/relationships/hyperlink" Id="rId59" Target="https://www.careeronestop.org/Toolkit/Training/find-licenses.aspx" TargetMode="External" /><Relationship Type="http://schemas.openxmlformats.org/officeDocument/2006/relationships/hyperlink" Id="rId73" Target="https://www.indeed.com/career/pharmacy-technician/salaries" TargetMode="External" /><Relationship Type="http://schemas.openxmlformats.org/officeDocument/2006/relationships/hyperlink" Id="rId65" Target="https://www.jobbank.gc.ca/marketreport/requirements/25660/ca" TargetMode="External" /><Relationship Type="http://schemas.openxmlformats.org/officeDocument/2006/relationships/hyperlink" Id="rId64" Target="https://www.jobbank.gc.ca/marketreport/summary-occupation/25660/ca" TargetMode="External" /><Relationship Type="http://schemas.openxmlformats.org/officeDocument/2006/relationships/hyperlink" Id="rId66" Target="https://www.jobbank.gc.ca/marketreport/wages-occupation/25660/ca" TargetMode="External" /><Relationship Type="http://schemas.openxmlformats.org/officeDocument/2006/relationships/hyperlink" Id="rId71" Target="https://www.oitcinterfor.org/" TargetMode="External" /><Relationship Type="http://schemas.openxmlformats.org/officeDocument/2006/relationships/hyperlink" Id="rId72" Target="https://www.oitcinterfor.org/red-institucional" TargetMode="External" /><Relationship Type="http://schemas.openxmlformats.org/officeDocument/2006/relationships/hyperlink" Id="rId57" Target="https://www.onetonline.org/link/localtrends/29-2052.00" TargetMode="External" /><Relationship Type="http://schemas.openxmlformats.org/officeDocument/2006/relationships/hyperlink" Id="rId56" Target="https://www.onetonline.org/link/localwages/29-2052.00" TargetMode="External" /><Relationship Type="http://schemas.openxmlformats.org/officeDocument/2006/relationships/hyperlink" Id="rId55" Target="https://www.onetonline.org/link/summary/29-2052.00" TargetMode="External" /></Relationships>
</file>

<file path=word/_rels/footnotes.xml.rels><?xml version="1.0" encoding="UTF-8"?><Relationships xmlns="http://schemas.openxmlformats.org/package/2006/relationships"><Relationship Type="http://schemas.openxmlformats.org/officeDocument/2006/relationships/hyperlink" Id="rId69" Target="https://betowa.sena.edu.co/oferta/servicios-farmaceuticos?modality=P&amp;programId=99375" TargetMode="External" /><Relationship Type="http://schemas.openxmlformats.org/officeDocument/2006/relationships/hyperlink" Id="rId70" Target="https://normograma.sena.edu.co/compilacion/docs/decreto_0780_2016_pr024.htm" TargetMode="External" /><Relationship Type="http://schemas.openxmlformats.org/officeDocument/2006/relationships/hyperlink" Id="rId68" Target="https://observatorio.sena.edu.co/Clasificacion/CnoDetalle?tags=3315" TargetMode="External" /><Relationship Type="http://schemas.openxmlformats.org/officeDocument/2006/relationships/hyperlink" Id="rId63" Target="https://studentaid.gov/articles/fafsa-student-steps/" TargetMode="External" /><Relationship Type="http://schemas.openxmlformats.org/officeDocument/2006/relationships/hyperlink" Id="rId61" Target="https://www.apprenticeship.gov/career-seekers" TargetMode="External" /><Relationship Type="http://schemas.openxmlformats.org/officeDocument/2006/relationships/hyperlink" Id="rId58" Target="https://www.bls.gov/ooh/healthcare/pharmacy-technicians.htm" TargetMode="External" /><Relationship Type="http://schemas.openxmlformats.org/officeDocument/2006/relationships/hyperlink" Id="rId67" Target="https://www.canada.ca/en/services/benefits/education/student-aid/grants-loans.html" TargetMode="External" /><Relationship Type="http://schemas.openxmlformats.org/officeDocument/2006/relationships/hyperlink" Id="rId62" Target="https://www.careeronestop.org/LocalHelp/EmploymentAndTraining/find-WIOA-training-programs.aspx" TargetMode="External" /><Relationship Type="http://schemas.openxmlformats.org/officeDocument/2006/relationships/hyperlink" Id="rId60" Target="https://www.careeronestop.org/Toolkit/Training/find-certifications.aspx" TargetMode="External" /><Relationship Type="http://schemas.openxmlformats.org/officeDocument/2006/relationships/hyperlink" Id="rId59" Target="https://www.careeronestop.org/Toolkit/Training/find-licenses.aspx" TargetMode="External" /><Relationship Type="http://schemas.openxmlformats.org/officeDocument/2006/relationships/hyperlink" Id="rId73" Target="https://www.indeed.com/career/pharmacy-technician/salaries" TargetMode="External" /><Relationship Type="http://schemas.openxmlformats.org/officeDocument/2006/relationships/hyperlink" Id="rId65" Target="https://www.jobbank.gc.ca/marketreport/requirements/25660/ca" TargetMode="External" /><Relationship Type="http://schemas.openxmlformats.org/officeDocument/2006/relationships/hyperlink" Id="rId64" Target="https://www.jobbank.gc.ca/marketreport/summary-occupation/25660/ca" TargetMode="External" /><Relationship Type="http://schemas.openxmlformats.org/officeDocument/2006/relationships/hyperlink" Id="rId66" Target="https://www.jobbank.gc.ca/marketreport/wages-occupation/25660/ca" TargetMode="External" /><Relationship Type="http://schemas.openxmlformats.org/officeDocument/2006/relationships/hyperlink" Id="rId71" Target="https://www.oitcinterfor.org/" TargetMode="External" /><Relationship Type="http://schemas.openxmlformats.org/officeDocument/2006/relationships/hyperlink" Id="rId72" Target="https://www.oitcinterfor.org/red-institucional" TargetMode="External" /><Relationship Type="http://schemas.openxmlformats.org/officeDocument/2006/relationships/hyperlink" Id="rId57" Target="https://www.onetonline.org/link/localtrends/29-2052.00" TargetMode="External" /><Relationship Type="http://schemas.openxmlformats.org/officeDocument/2006/relationships/hyperlink" Id="rId56" Target="https://www.onetonline.org/link/localwages/29-2052.00" TargetMode="External" /><Relationship Type="http://schemas.openxmlformats.org/officeDocument/2006/relationships/hyperlink" Id="rId55" Target="https://www.onetonline.org/link/summary/29-2052.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2026-08-19T03:59:30Z</dcterms:created>
  <dcterms:modified xsi:type="dcterms:W3CDTF">2026-08-19T03:59:30Z</dcterms:modified>
</cp:coreProperties>
</file>

<file path=docProps/custom.xml><?xml version="1.0" encoding="utf-8"?>
<Properties xmlns="http://schemas.openxmlformats.org/officeDocument/2006/custom-properties" xmlns:vt="http://schemas.openxmlformats.org/officeDocument/2006/docPropsVTypes"/>
</file>