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guía-47--técnico-en-farmacia"/>
    <w:p>
      <w:pPr>
        <w:pStyle w:val="Heading1"/>
      </w:pPr>
      <w:r>
        <w:t xml:space="preserve">Guía 47 — Técnico en farmacia</w:t>
      </w:r>
    </w:p>
    <w:p>
      <w:pPr>
        <w:pStyle w:val="FirstParagraph"/>
      </w:pPr>
      <w:r>
        <w:rPr>
          <w:bCs/>
          <w:b/>
        </w:rPr>
        <w:t xml:space="preserve">Maestro de trabajo controlado en español latinoamericano neutro (es-419) — versión 2.0</w:t>
      </w:r>
      <w:r>
        <w:br/>
      </w:r>
      <w:r>
        <w:rPr>
          <w:bCs/>
          <w:b/>
        </w:rPr>
        <w:t xml:space="preserve">Fecha de revisión:</w:t>
      </w:r>
      <w:r>
        <w:t xml:space="preserve"> </w:t>
      </w:r>
      <w:r>
        <w:t xml:space="preserve">18 de agosto de 2026</w:t>
      </w:r>
      <w:r>
        <w:br/>
      </w:r>
      <w:r>
        <w:rPr>
          <w:bCs/>
          <w:b/>
        </w:rPr>
        <w:t xml:space="preserve">Licencia:</w:t>
      </w:r>
      <w:r>
        <w:t xml:space="preserve"> </w:t>
      </w:r>
      <w:r>
        <w:t xml:space="preserve">CC BY-NC-SA 4.0</w:t>
      </w:r>
    </w:p>
    <w:bookmarkStart w:id="20" w:name="qué-es-este-trabajo"/>
    <w:p>
      <w:pPr>
        <w:pStyle w:val="Heading2"/>
      </w:pPr>
      <w:r>
        <w:t xml:space="preserve">Qué es este trabajo</w:t>
      </w:r>
    </w:p>
    <w:p>
      <w:pPr>
        <w:pStyle w:val="FirstParagraph"/>
      </w:pPr>
      <w:r>
        <w:t xml:space="preserve">Los técnicos en farmacia apoyan a farmacéuticos y equipos de farmacia con el procesamiento de recetas, preparación de medicamentos, inventario, registros, atención al cliente, flujos de seguros o pagos y otras operaciones técnicas de farmacia. El alcance legal exacto varía según la jurisdicción, el empleador, el entorno, la credencial, el modelo de supervisión y la tarea.</w:t>
      </w:r>
    </w:p>
    <w:p>
      <w:pPr>
        <w:pStyle w:val="BodyText"/>
      </w:pPr>
      <w:r>
        <w:t xml:space="preserve">En Estados Unidos, la referencia ocupacional principal es</w:t>
      </w:r>
      <w:r>
        <w:t xml:space="preserve"> </w:t>
      </w:r>
      <w:r>
        <w:rPr>
          <w:bCs/>
          <w:b/>
        </w:rPr>
        <w:t xml:space="preserve">Pharmacy Technicians — O*NET/SOC 29-2052.00</w:t>
      </w:r>
      <w:r>
        <w:t xml:space="preserve">. O*NET describe a los técnicos como trabajadores que preparan medicamentos bajo la dirección de un farmacéutico. La Oficina de Estadísticas Laborales de EE. UU. indica que los técnicos en farmacia ayudan a los farmacéuticos a dispensar medicamentos con receta a pacientes o profesionales de la salud y, por lo general, trabajan bajo supervisión farmacéutica.</w:t>
      </w:r>
    </w:p>
    <w:p>
      <w:pPr>
        <w:pStyle w:val="BodyText"/>
      </w:pPr>
      <w:r>
        <w:t xml:space="preserve">Los empleadores pueden usar títulos como técnico en farmacia, pharmacy tech, técnico certificado en farmacia, técnico registrado en farmacia, técnico de farmacia hospitalaria, técnico ambulatorio, técnico de historial de medicamentos, técnico de preparación magistral, técnico de farmacia especializada o técnico de operaciones de farmacia. Títulos similares pueden tener requisitos legales y responsabilidades muy diferentes.</w:t>
      </w:r>
    </w:p>
    <w:p>
      <w:pPr>
        <w:pStyle w:val="BodyText"/>
      </w:pPr>
      <w:r>
        <w:t xml:space="preserve">Esta guía es para exploración y preparación profesional. No es instrucción para ejercer farmacia, consejo médico, consejo de prescripción, procedimiento de preparación magistral, instrucción para administrar vacunas, procedimiento sobre sustancias controladas, asesoría legal o regulatoria ni autorización para realizar un acto regulado.</w:t>
      </w:r>
    </w:p>
    <w:bookmarkEnd w:id="20"/>
    <w:bookmarkStart w:id="21" w:name="Xc1e255cffb583df4adf29195c63d64482d9e59d"/>
    <w:p>
      <w:pPr>
        <w:pStyle w:val="Heading2"/>
      </w:pPr>
      <w:r>
        <w:t xml:space="preserve">Qué pueden hacer los técnicos en farmacia</w:t>
      </w:r>
    </w:p>
    <w:p>
      <w:pPr>
        <w:pStyle w:val="FirstParagraph"/>
      </w:pPr>
      <w:r>
        <w:t xml:space="preserve">Según la jurisdicción, el entorno, la formación, los procedimientos del empleador y la supervisión, el trabajo puede incluir:</w:t>
      </w:r>
    </w:p>
    <w:p>
      <w:pPr>
        <w:numPr>
          <w:ilvl w:val="0"/>
          <w:numId w:val="1001"/>
        </w:numPr>
        <w:pStyle w:val="Compact"/>
      </w:pPr>
      <w:r>
        <w:t xml:space="preserve">recibir información de una receta y comprobar que estén presentes los campos requeridos antes de enviarla por el flujo de trabajo aprobado de la farmacia;</w:t>
      </w:r>
    </w:p>
    <w:p>
      <w:pPr>
        <w:numPr>
          <w:ilvl w:val="0"/>
          <w:numId w:val="1001"/>
        </w:numPr>
        <w:pStyle w:val="Compact"/>
      </w:pPr>
      <w:r>
        <w:t xml:space="preserve">ingresar información de recetas, pacientes, seguros, prescriptores y medicamentos en sistemas de farmacia autorizados;</w:t>
      </w:r>
    </w:p>
    <w:p>
      <w:pPr>
        <w:numPr>
          <w:ilvl w:val="0"/>
          <w:numId w:val="1001"/>
        </w:numPr>
        <w:pStyle w:val="Compact"/>
      </w:pPr>
      <w:r>
        <w:t xml:space="preserve">contar, medir, empacar y etiquetar medicamentos dentro de procedimientos autorizados;</w:t>
      </w:r>
    </w:p>
    <w:p>
      <w:pPr>
        <w:numPr>
          <w:ilvl w:val="0"/>
          <w:numId w:val="1001"/>
        </w:numPr>
        <w:pStyle w:val="Compact"/>
      </w:pPr>
      <w:r>
        <w:t xml:space="preserve">organizar y reponer inventario y reportar faltantes, existencias dañadas, retiros del mercado, problemas de almacenamiento o discrepancias;</w:t>
      </w:r>
    </w:p>
    <w:p>
      <w:pPr>
        <w:numPr>
          <w:ilvl w:val="0"/>
          <w:numId w:val="1001"/>
        </w:numPr>
        <w:pStyle w:val="Compact"/>
      </w:pPr>
      <w:r>
        <w:t xml:space="preserve">procesar transacciones de pago y seguros dentro de las responsabilidades asignadas;</w:t>
      </w:r>
    </w:p>
    <w:p>
      <w:pPr>
        <w:numPr>
          <w:ilvl w:val="0"/>
          <w:numId w:val="1001"/>
        </w:numPr>
        <w:pStyle w:val="Compact"/>
      </w:pPr>
      <w:r>
        <w:t xml:space="preserve">atender llamadas y derivar preguntas clínicas o sobre uso de medicamentos a un farmacéutico u otro profesional autorizado;</w:t>
      </w:r>
    </w:p>
    <w:p>
      <w:pPr>
        <w:numPr>
          <w:ilvl w:val="0"/>
          <w:numId w:val="1001"/>
        </w:numPr>
        <w:pStyle w:val="Compact"/>
      </w:pPr>
      <w:r>
        <w:t xml:space="preserve">recibir, almacenar, seleccionar, preparar para despacho o distribuir medicamentos y suministros médicos conforme a procedimientos aprobados;</w:t>
      </w:r>
    </w:p>
    <w:p>
      <w:pPr>
        <w:numPr>
          <w:ilvl w:val="0"/>
          <w:numId w:val="1001"/>
        </w:numPr>
        <w:pStyle w:val="Compact"/>
      </w:pPr>
      <w:r>
        <w:t xml:space="preserve">mantener registros, trazas de auditoría, inventarios, registros de entregas y documentación de calidad requeridos;</w:t>
      </w:r>
    </w:p>
    <w:p>
      <w:pPr>
        <w:numPr>
          <w:ilvl w:val="0"/>
          <w:numId w:val="1001"/>
        </w:numPr>
        <w:pStyle w:val="Compact"/>
      </w:pPr>
      <w:r>
        <w:t xml:space="preserve">ayudar con sistemas automatizados de dispensación u otra tecnología de farmacia después de recibir capacitación y autorización;</w:t>
      </w:r>
    </w:p>
    <w:p>
      <w:pPr>
        <w:numPr>
          <w:ilvl w:val="0"/>
          <w:numId w:val="1001"/>
        </w:numPr>
        <w:pStyle w:val="Compact"/>
      </w:pPr>
      <w:r>
        <w:t xml:space="preserve">apoyar historial de medicamentos, farmacia especializada, distribución hospitalaria u otras funciones avanzadas cuando esté calificado; y</w:t>
      </w:r>
    </w:p>
    <w:p>
      <w:pPr>
        <w:numPr>
          <w:ilvl w:val="0"/>
          <w:numId w:val="1001"/>
        </w:numPr>
        <w:pStyle w:val="Compact"/>
      </w:pPr>
      <w:r>
        <w:t xml:space="preserve">detenerse y escalar cuando haya incertidumbre sobre la información, identidad, selección del medicamento, cantidad, almacenamiento, autorización o estado del sistema.</w:t>
      </w:r>
    </w:p>
    <w:p>
      <w:pPr>
        <w:pStyle w:val="FirstParagraph"/>
      </w:pPr>
      <w:r>
        <w:t xml:space="preserve">BLS señala que, en algunos estados de EE. UU., técnicos capacitados pueden preparar o mezclar determinados medicamentos, contactar prescriptores sobre autorizaciones de resurtido o administrar vacunas bajo supervisión de un farmacéutico. Son ejemplos de alcance dependiente de la jurisdicción; no son permisos universales.</w:t>
      </w:r>
    </w:p>
    <w:bookmarkEnd w:id="21"/>
    <w:bookmarkStart w:id="22" w:name="Xa53200e48b1f2349724a081e4ec33cd0b4317ee"/>
    <w:p>
      <w:pPr>
        <w:pStyle w:val="Heading2"/>
      </w:pPr>
      <w:r>
        <w:t xml:space="preserve">Qué no deciden de manera independiente los técnicos en farmacia</w:t>
      </w:r>
    </w:p>
    <w:p>
      <w:pPr>
        <w:pStyle w:val="FirstParagraph"/>
      </w:pPr>
      <w:r>
        <w:t xml:space="preserve">El rol de técnico no crea autoridad independiente para diagnosticar, prescribir, seleccionar una terapia, cambiar un medicamento o dosis prescritos, decidir si un medicamento es clínicamente apropiado, brindar asesoría reservada al farmacéutico, realizar una verificación clínica final, autorizar un resurtido fuera de las reglas de la jurisdicción, omitir una salvaguarda sobre sustancias controladas u ocultar un error de medicación.</w:t>
      </w:r>
    </w:p>
    <w:p>
      <w:pPr>
        <w:pStyle w:val="BodyText"/>
      </w:pPr>
      <w:r>
        <w:t xml:space="preserve">Si un paciente pregunta si un medicamento es seguro, si dos medicamentos pueden tomarse juntos, si debe cambiarse una dosis, si un efecto secundario es peligroso, si debe suspenderse un medicamento o cuál tratamiento es mejor, derive la pregunta al farmacéutico u otro profesional clínico autorizado conforme al proceso del empleador.</w:t>
      </w:r>
    </w:p>
    <w:p>
      <w:pPr>
        <w:pStyle w:val="BodyText"/>
      </w:pPr>
      <w:r>
        <w:t xml:space="preserve">No se presente como farmacéutico, prescriptor, regulador de farmacia, técnico certificado, técnico registrado, especialista en preparación estéril, administrador de vacunas u otra función con credencial si no posee realmente la credencial requerida y la autorización vigente.</w:t>
      </w:r>
    </w:p>
    <w:bookmarkEnd w:id="22"/>
    <w:bookmarkStart w:id="23" w:name="X5dd7953d74e2d7135c011ceaf2121d88653e38c"/>
    <w:p>
      <w:pPr>
        <w:pStyle w:val="Heading2"/>
      </w:pPr>
      <w:r>
        <w:t xml:space="preserve">La exactitud y la identificación del paciente son lo primero</w:t>
      </w:r>
    </w:p>
    <w:p>
      <w:pPr>
        <w:pStyle w:val="FirstParagraph"/>
      </w:pPr>
      <w:r>
        <w:t xml:space="preserve">El trabajo de farmacia exige gran atención al detalle. Seleccionar al paciente, medicamento, concentración, forma farmacéutica, cantidad, etiqueta, instrucciones, vía, presentación o condición de almacenamiento incorrectos puede causar daño grave.</w:t>
      </w:r>
    </w:p>
    <w:p>
      <w:pPr>
        <w:pStyle w:val="BodyText"/>
      </w:pPr>
      <w:r>
        <w:t xml:space="preserve">Siga los controles aprobados de la farmacia para identificación, códigos de barras, selección de producto, verificación, documentación y escalamiento. No dependa de la memoria, el color del envase, la ubicación en el estante, una fotografía, un sitio web no oficial o una respuesta de IA cuando se requiera el sistema aprobado o la revisión del farmacéutico.</w:t>
      </w:r>
    </w:p>
    <w:p>
      <w:pPr>
        <w:pStyle w:val="BodyText"/>
      </w:pPr>
      <w:r>
        <w:t xml:space="preserve">Deténgase y escale cuando:</w:t>
      </w:r>
    </w:p>
    <w:p>
      <w:pPr>
        <w:numPr>
          <w:ilvl w:val="0"/>
          <w:numId w:val="1002"/>
        </w:numPr>
        <w:pStyle w:val="Compact"/>
      </w:pPr>
      <w:r>
        <w:t xml:space="preserve">la identidad del paciente sea incierta o varios perfiles parezcan coincidir;</w:t>
      </w:r>
    </w:p>
    <w:p>
      <w:pPr>
        <w:numPr>
          <w:ilvl w:val="0"/>
          <w:numId w:val="1002"/>
        </w:numPr>
        <w:pStyle w:val="Compact"/>
      </w:pPr>
      <w:r>
        <w:t xml:space="preserve">una receta esté incompleta, sea contradictoria, esté dañada, ilegible, vencida o fuera del flujo normal;</w:t>
      </w:r>
    </w:p>
    <w:p>
      <w:pPr>
        <w:numPr>
          <w:ilvl w:val="0"/>
          <w:numId w:val="1002"/>
        </w:numPr>
        <w:pStyle w:val="Compact"/>
      </w:pPr>
      <w:r>
        <w:t xml:space="preserve">el producto, concentración, forma farmacéutica, tamaño del envase, cantidad, instrucciones, información del prescriptor, información de alergias o registro del seguro entre en conflicto con otra fuente;</w:t>
      </w:r>
    </w:p>
    <w:p>
      <w:pPr>
        <w:numPr>
          <w:ilvl w:val="0"/>
          <w:numId w:val="1002"/>
        </w:numPr>
        <w:pStyle w:val="Compact"/>
      </w:pPr>
      <w:r>
        <w:t xml:space="preserve">un medicamento o envase luzca distinto a lo indicado por el sistema o la orden de trabajo;</w:t>
      </w:r>
    </w:p>
    <w:p>
      <w:pPr>
        <w:numPr>
          <w:ilvl w:val="0"/>
          <w:numId w:val="1002"/>
        </w:numPr>
        <w:pStyle w:val="Compact"/>
      </w:pPr>
      <w:r>
        <w:t xml:space="preserve">un código de barras, número de lote, fecha de vencimiento, registro de almacenamiento, alarma de refrigerador/congelador, aviso de retiro o conteo de inventario sea inconsistente;</w:t>
      </w:r>
    </w:p>
    <w:p>
      <w:pPr>
        <w:numPr>
          <w:ilvl w:val="0"/>
          <w:numId w:val="1002"/>
        </w:numPr>
        <w:pStyle w:val="Compact"/>
      </w:pPr>
      <w:r>
        <w:t xml:space="preserve">un conteo de sustancias controladas o una traza de auditoría no concuerde;</w:t>
      </w:r>
    </w:p>
    <w:p>
      <w:pPr>
        <w:numPr>
          <w:ilvl w:val="0"/>
          <w:numId w:val="1002"/>
        </w:numPr>
        <w:pStyle w:val="Compact"/>
      </w:pPr>
      <w:r>
        <w:t xml:space="preserve">un paso de preparación, empaque, etiquetado o uso de equipo esté fuera de su capacitación o procedimiento;</w:t>
      </w:r>
    </w:p>
    <w:p>
      <w:pPr>
        <w:numPr>
          <w:ilvl w:val="0"/>
          <w:numId w:val="1002"/>
        </w:numPr>
        <w:pStyle w:val="Compact"/>
      </w:pPr>
      <w:r>
        <w:t xml:space="preserve">un paciente o prescriptor solicite una decisión clínica fuera de su función; o</w:t>
      </w:r>
    </w:p>
    <w:p>
      <w:pPr>
        <w:numPr>
          <w:ilvl w:val="0"/>
          <w:numId w:val="1002"/>
        </w:numPr>
        <w:pStyle w:val="Compact"/>
      </w:pPr>
      <w:r>
        <w:t xml:space="preserve">la presión de producción entre en conflicto con la exactitud, privacidad, seguridad o requisitos legales.</w:t>
      </w:r>
    </w:p>
    <w:p>
      <w:pPr>
        <w:pStyle w:val="FirstParagraph"/>
      </w:pPr>
      <w:r>
        <w:t xml:space="preserve">Nunca invente, complete retrospectivamente, copie hacia adelante, normalice silenciosamente ni altere datos de recetas o pacientes para lograr que una transacción sea aceptada.</w:t>
      </w:r>
    </w:p>
    <w:bookmarkEnd w:id="23"/>
    <w:bookmarkStart w:id="24" w:name="Xfa17f9fe83c5435b9099264b99a873df490ce9f"/>
    <w:p>
      <w:pPr>
        <w:pStyle w:val="Heading2"/>
      </w:pPr>
      <w:r>
        <w:t xml:space="preserve">Almacenamiento de medicamentos, retiros e inventario</w:t>
      </w:r>
    </w:p>
    <w:p>
      <w:pPr>
        <w:pStyle w:val="FirstParagraph"/>
      </w:pPr>
      <w:r>
        <w:t xml:space="preserve">Los técnicos en farmacia pueden ayudar a recibir, almacenar, rotar, monitorear y conciliar inventario de medicamentos. Siga el etiquetado del fabricante, la política de la farmacia, los sistemas aprobados de monitoreo de temperatura, los requisitos para sustancias controladas, los procedimientos de retiro/cuarentena y las instrucciones del supervisor.</w:t>
      </w:r>
    </w:p>
    <w:p>
      <w:pPr>
        <w:pStyle w:val="BodyText"/>
      </w:pPr>
      <w:r>
        <w:t xml:space="preserve">No improvise un rango de temperatura, periodo de estabilidad, fecha de vencimiento, fecha límite de uso, decisión de cuarentena, disposición de un retiro, ajuste de sustancias controladas o proceso de desecho. Si un envío llega caliente, frío, dañado, abierto, mojado, mal etiquetado, incompleto, excedente, vencido, retirado o de cualquier otra manera dudoso, aíslelo o reténgalo únicamente como lo indique el procedimiento aprobado y escale de inmediato.</w:t>
      </w:r>
    </w:p>
    <w:p>
      <w:pPr>
        <w:pStyle w:val="BodyText"/>
      </w:pPr>
      <w:r>
        <w:t xml:space="preserve">Los sistemas de inventario son registros de medicamentos reales y sus movimientos. No haga un ajuste de software simplemente para forzar que el conteo electrónico coincida con el estante. Investigue y documente las discrepancias mediante el proceso aprobado.</w:t>
      </w:r>
    </w:p>
    <w:bookmarkEnd w:id="24"/>
    <w:bookmarkStart w:id="25" w:name="Xd0017410e3198ce782929483e769684ac5b32c3"/>
    <w:p>
      <w:pPr>
        <w:pStyle w:val="Heading2"/>
      </w:pPr>
      <w:r>
        <w:t xml:space="preserve">Límites de la preparación magistral y avanzada</w:t>
      </w:r>
    </w:p>
    <w:p>
      <w:pPr>
        <w:pStyle w:val="FirstParagraph"/>
      </w:pPr>
      <w:r>
        <w:t xml:space="preserve">Algunos puestos de técnico incluyen preparación no estéril o estéril, preparación de medicamentos peligrosos, productos intravenosos, apoyo en quimioterapia, farmacia nuclear u otro trabajo especializado. Estas funciones requieren capacitación adicional, evaluación de competencias, instalaciones, equipos, procedimientos, supervisión y autorización legal que varían según la jurisdicción y el empleador.</w:t>
      </w:r>
    </w:p>
    <w:p>
      <w:pPr>
        <w:pStyle w:val="BodyText"/>
      </w:pPr>
      <w:r>
        <w:t xml:space="preserve">Esta guía no enseña fórmulas de preparación, técnica aséptica, calificación de salas limpias, manipulación de medicamentos peligrosos, fechas límite de uso, estabilidad, esterilización, dilución, ajuste de concentraciones, preparación de infusiones, preparación de vacunas ni otros procedimientos especializados.</w:t>
      </w:r>
    </w:p>
    <w:p>
      <w:pPr>
        <w:pStyle w:val="BodyText"/>
      </w:pPr>
      <w:r>
        <w:t xml:space="preserve">No realice una preparación especializada porque vio un video, completó un curso informal o recibió instrucciones de una herramienta de IA. Use únicamente el programa aprobado por el empleador, instructores calificados, procedimientos vigentes y el proceso de competencia correspondiente.</w:t>
      </w:r>
    </w:p>
    <w:bookmarkEnd w:id="25"/>
    <w:bookmarkStart w:id="26" w:name="X65d83a504a16bc3fdefede354e25fc0574a94cc"/>
    <w:p>
      <w:pPr>
        <w:pStyle w:val="Heading2"/>
      </w:pPr>
      <w:r>
        <w:t xml:space="preserve">Medicamentos peligrosos, objetos cortopunzantes, exposición y prevención de infecciones</w:t>
      </w:r>
    </w:p>
    <w:p>
      <w:pPr>
        <w:pStyle w:val="FirstParagraph"/>
      </w:pPr>
      <w:r>
        <w:t xml:space="preserve">Los entornos de farmacia pueden implicar medicamentos peligrosos, objetos cortopunzantes, envases rotos, derrames, exposición biológica, desinfectantes y otros riesgos. Siga el plan de control de exposiciones del empleador, el sistema de comunicación de peligros, los controles de ingeniería, requisitos de EPP, procedimientos de derrames, reglas de objetos cortopunzantes, programa de prevención de infecciones y proceso de reporte de emergencias.</w:t>
      </w:r>
    </w:p>
    <w:p>
      <w:pPr>
        <w:pStyle w:val="BodyText"/>
      </w:pPr>
      <w:r>
        <w:t xml:space="preserve">No recoja un vial roto, limpie un derrame de medicamento peligroso, reutilice una aguja u objeto cortopunzante, vuelva a tapar una aguja en contra de la política, seleccione EPP a partir de una lista de internet ni intente una descontaminación improvisada. Reporte de inmediato exposiciones, pinchazos, paquetes rotos, derrames, síntomas o fallas de controles mediante el proceso aprobado.</w:t>
      </w:r>
    </w:p>
    <w:bookmarkEnd w:id="26"/>
    <w:bookmarkStart w:id="27" w:name="X7d88bb79f155bb57d29a64fdb45025bcdf14290"/>
    <w:p>
      <w:pPr>
        <w:pStyle w:val="Heading2"/>
      </w:pPr>
      <w:r>
        <w:t xml:space="preserve">Sustancias controladas y prevención del desvío</w:t>
      </w:r>
    </w:p>
    <w:p>
      <w:pPr>
        <w:pStyle w:val="FirstParagraph"/>
      </w:pPr>
      <w:r>
        <w:t xml:space="preserve">Las sustancias controladas requieren seguridad física estricta, control de acceso, inventario, registros, revisión de discrepancias y reporte conforme a la ley aplicable y la política del empleador.</w:t>
      </w:r>
    </w:p>
    <w:p>
      <w:pPr>
        <w:pStyle w:val="BodyText"/>
      </w:pPr>
      <w:r>
        <w:t xml:space="preserve">Use únicamente sus credenciales asignadas y el acceso autorizado. Nunca comparta contraseñas, llaves, credenciales físicas, códigos de caja fuerte, firmas, funciones de testigo, cuentas de inventario ni sesiones del sistema. No retire medicamentos para documentarlos más tarde, tome prestado del inventario, firme previamente un conteo, oculte un faltante, altere un registro ni evite un requisito de testigo o auditoría.</w:t>
      </w:r>
    </w:p>
    <w:p>
      <w:pPr>
        <w:pStyle w:val="BodyText"/>
      </w:pPr>
      <w:r>
        <w:t xml:space="preserve">Si un conteo, transacción, sello, paquete, bóveda, entrega, devolución, registro de desecho o actividad de usuario relacionada con sustancias controladas parece incorrecta, deténgase y escale. No “corrija” el registro por su cuenta.</w:t>
      </w:r>
    </w:p>
    <w:bookmarkEnd w:id="27"/>
    <w:bookmarkStart w:id="28" w:name="Xae3c262ddbf4fd41429729c1c97b8ab028872ec"/>
    <w:p>
      <w:pPr>
        <w:pStyle w:val="Heading2"/>
      </w:pPr>
      <w:r>
        <w:t xml:space="preserve">Privacidad, ciberseguridad e integridad de datos</w:t>
      </w:r>
    </w:p>
    <w:p>
      <w:pPr>
        <w:pStyle w:val="FirstParagraph"/>
      </w:pPr>
      <w:r>
        <w:t xml:space="preserve">Los sistemas de farmacia pueden contener nombres, direcciones, fechas de nacimiento, historiales de recetas, diagnósticos, información de seguros, detalles de pago, información de prescriptores, registros de sustancias controladas, inventario y trazas de auditoría.</w:t>
      </w:r>
    </w:p>
    <w:p>
      <w:pPr>
        <w:pStyle w:val="BodyText"/>
      </w:pPr>
      <w:r>
        <w:t xml:space="preserve">Use únicamente dispositivos, aplicaciones, cuentas, almacenamiento, canales de comunicación y métodos de intercambio de datos aprobados por el empleador. Bloquee la pantalla cuando no esté atendida. Proteja credenciales físicas y de acceso. Verifique destinatarios antes de enviar información protegida. Reporte de inmediato mensajes enviados a la persona equivocada, dispositivos perdidos, inicios de sesión sospechosos, phishing, acceso no autorizado o exposición de información de pacientes.</w:t>
      </w:r>
    </w:p>
    <w:p>
      <w:pPr>
        <w:pStyle w:val="BodyText"/>
      </w:pPr>
      <w:r>
        <w:t xml:space="preserve">No pegue detalles de recetas, perfiles de pacientes, historiales de medicamentos, información de seguros, identificadores, registros de sustancias controladas, registros de preparación o capturas internas de farmacia en un servicio público de IA, salvo que el empleador haya aprobado explícitamente el sistema y el uso de datos esté autorizado y protegido.</w:t>
      </w:r>
    </w:p>
    <w:bookmarkEnd w:id="28"/>
    <w:bookmarkStart w:id="29" w:name="X7e3445703530a31a7786c2ba28e4b5325bf9f0b"/>
    <w:p>
      <w:pPr>
        <w:pStyle w:val="Heading2"/>
      </w:pPr>
      <w:r>
        <w:t xml:space="preserve">Uso responsable de IA en el trabajo de farmacia</w:t>
      </w:r>
    </w:p>
    <w:p>
      <w:pPr>
        <w:pStyle w:val="FirstParagraph"/>
      </w:pPr>
      <w:r>
        <w:t xml:space="preserve">Las herramientas de IA pueden ser útiles para aprendizaje no sensible, por ejemplo, explicar terminología general, crear preguntas de práctica para entrevistas, generar tarjetas de estudio con material público o ayudar a redactar una lista neutral de capacitación.</w:t>
      </w:r>
    </w:p>
    <w:p>
      <w:pPr>
        <w:pStyle w:val="BodyText"/>
      </w:pPr>
      <w:r>
        <w:t xml:space="preserve">La IA no debe convertirse en la fuente de verdad para operaciones reales de farmacia. No use IA para inventar o alterar:</w:t>
      </w:r>
    </w:p>
    <w:p>
      <w:pPr>
        <w:numPr>
          <w:ilvl w:val="0"/>
          <w:numId w:val="1003"/>
        </w:numPr>
        <w:pStyle w:val="Compact"/>
      </w:pPr>
      <w:r>
        <w:t xml:space="preserve">identidades de pacientes o prescriptores;</w:t>
      </w:r>
    </w:p>
    <w:p>
      <w:pPr>
        <w:numPr>
          <w:ilvl w:val="0"/>
          <w:numId w:val="1003"/>
        </w:numPr>
        <w:pStyle w:val="Compact"/>
      </w:pPr>
      <w:r>
        <w:t xml:space="preserve">información de recetas;</w:t>
      </w:r>
    </w:p>
    <w:p>
      <w:pPr>
        <w:numPr>
          <w:ilvl w:val="0"/>
          <w:numId w:val="1003"/>
        </w:numPr>
        <w:pStyle w:val="Compact"/>
      </w:pPr>
      <w:r>
        <w:t xml:space="preserve">medicamento, concentración, forma farmacéutica, cantidad, vía o instrucciones;</w:t>
      </w:r>
    </w:p>
    <w:p>
      <w:pPr>
        <w:numPr>
          <w:ilvl w:val="0"/>
          <w:numId w:val="1003"/>
        </w:numPr>
        <w:pStyle w:val="Compact"/>
      </w:pPr>
      <w:r>
        <w:t xml:space="preserve">información sobre alergias o interacciones;</w:t>
      </w:r>
    </w:p>
    <w:p>
      <w:pPr>
        <w:numPr>
          <w:ilvl w:val="0"/>
          <w:numId w:val="1003"/>
        </w:numPr>
        <w:pStyle w:val="Compact"/>
      </w:pPr>
      <w:r>
        <w:t xml:space="preserve">cálculos de dosis usados para dispensación real;</w:t>
      </w:r>
    </w:p>
    <w:p>
      <w:pPr>
        <w:numPr>
          <w:ilvl w:val="0"/>
          <w:numId w:val="1003"/>
        </w:numPr>
        <w:pStyle w:val="Compact"/>
      </w:pPr>
      <w:r>
        <w:t xml:space="preserve">fórmulas de preparación, concentraciones, estabilidad o fechas límite de uso;</w:t>
      </w:r>
    </w:p>
    <w:p>
      <w:pPr>
        <w:numPr>
          <w:ilvl w:val="0"/>
          <w:numId w:val="1003"/>
        </w:numPr>
        <w:pStyle w:val="Compact"/>
      </w:pPr>
      <w:r>
        <w:t xml:space="preserve">registros de sustancias controladas;</w:t>
      </w:r>
    </w:p>
    <w:p>
      <w:pPr>
        <w:numPr>
          <w:ilvl w:val="0"/>
          <w:numId w:val="1003"/>
        </w:numPr>
        <w:pStyle w:val="Compact"/>
      </w:pPr>
      <w:r>
        <w:t xml:space="preserve">reclamaciones de seguros o información de autorización previa;</w:t>
      </w:r>
    </w:p>
    <w:p>
      <w:pPr>
        <w:numPr>
          <w:ilvl w:val="0"/>
          <w:numId w:val="1003"/>
        </w:numPr>
        <w:pStyle w:val="Compact"/>
      </w:pPr>
      <w:r>
        <w:t xml:space="preserve">números de lote, fechas de vencimiento, temperaturas, estado de retiros o correcciones de inventario; ni</w:t>
      </w:r>
    </w:p>
    <w:p>
      <w:pPr>
        <w:numPr>
          <w:ilvl w:val="0"/>
          <w:numId w:val="1003"/>
        </w:numPr>
        <w:pStyle w:val="Compact"/>
      </w:pPr>
      <w:r>
        <w:t xml:space="preserve">decisiones finales de verificación o asesoría.</w:t>
      </w:r>
    </w:p>
    <w:p>
      <w:pPr>
        <w:pStyle w:val="FirstParagraph"/>
      </w:pPr>
      <w:r>
        <w:t xml:space="preserve">Verifique toda la información operativa mediante el sistema autorizado de la farmacia, el procedimiento vigente, el farmacéutico, prescriptor, información del fabricante, regulador u otra fuente aprobada apropiada para la decisión.</w:t>
      </w:r>
    </w:p>
    <w:bookmarkEnd w:id="29"/>
    <w:bookmarkStart w:id="30" w:name="habilidades-que-valoran-los-empleadores"/>
    <w:p>
      <w:pPr>
        <w:pStyle w:val="Heading2"/>
      </w:pPr>
      <w:r>
        <w:t xml:space="preserve">Habilidades que valoran los empleadores</w:t>
      </w:r>
    </w:p>
    <w:p>
      <w:pPr>
        <w:pStyle w:val="FirstParagraph"/>
      </w:pPr>
      <w:r>
        <w:t xml:space="preserve">Los empleadores suelen valorar:</w:t>
      </w:r>
    </w:p>
    <w:p>
      <w:pPr>
        <w:numPr>
          <w:ilvl w:val="0"/>
          <w:numId w:val="1004"/>
        </w:numPr>
        <w:pStyle w:val="Compact"/>
      </w:pPr>
      <w:r>
        <w:t xml:space="preserve">lectura cuidadosa de recetas, etiquetas, órdenes de trabajo, alertas y procedimientos;</w:t>
      </w:r>
    </w:p>
    <w:p>
      <w:pPr>
        <w:numPr>
          <w:ilvl w:val="0"/>
          <w:numId w:val="1004"/>
        </w:numPr>
        <w:pStyle w:val="Compact"/>
      </w:pPr>
      <w:r>
        <w:t xml:space="preserve">ingreso de datos y mantenimiento de registros precisos;</w:t>
      </w:r>
    </w:p>
    <w:p>
      <w:pPr>
        <w:numPr>
          <w:ilvl w:val="0"/>
          <w:numId w:val="1004"/>
        </w:numPr>
        <w:pStyle w:val="Compact"/>
      </w:pPr>
      <w:r>
        <w:t xml:space="preserve">matemáticas farmacéuticas básicas apropiadas para la función autorizada;</w:t>
      </w:r>
    </w:p>
    <w:p>
      <w:pPr>
        <w:numPr>
          <w:ilvl w:val="0"/>
          <w:numId w:val="1004"/>
        </w:numPr>
        <w:pStyle w:val="Compact"/>
      </w:pPr>
      <w:r>
        <w:t xml:space="preserve">atención a la identidad del paciente y selección del producto;</w:t>
      </w:r>
    </w:p>
    <w:p>
      <w:pPr>
        <w:numPr>
          <w:ilvl w:val="0"/>
          <w:numId w:val="1004"/>
        </w:numPr>
        <w:pStyle w:val="Compact"/>
      </w:pPr>
      <w:r>
        <w:t xml:space="preserve">disciplina de inventario y almacenamiento;</w:t>
      </w:r>
    </w:p>
    <w:p>
      <w:pPr>
        <w:numPr>
          <w:ilvl w:val="0"/>
          <w:numId w:val="1004"/>
        </w:numPr>
        <w:pStyle w:val="Compact"/>
      </w:pPr>
      <w:r>
        <w:t xml:space="preserve">comunicación clara con farmacéuticos, pacientes, prescriptores, aseguradoras y compañeros;</w:t>
      </w:r>
    </w:p>
    <w:p>
      <w:pPr>
        <w:numPr>
          <w:ilvl w:val="0"/>
          <w:numId w:val="1004"/>
        </w:numPr>
        <w:pStyle w:val="Compact"/>
      </w:pPr>
      <w:r>
        <w:t xml:space="preserve">atención al cliente y empatía;</w:t>
      </w:r>
    </w:p>
    <w:p>
      <w:pPr>
        <w:numPr>
          <w:ilvl w:val="0"/>
          <w:numId w:val="1004"/>
        </w:numPr>
        <w:pStyle w:val="Compact"/>
      </w:pPr>
      <w:r>
        <w:t xml:space="preserve">disposición para escalar preguntas clínicas en vez de adivinar;</w:t>
      </w:r>
    </w:p>
    <w:p>
      <w:pPr>
        <w:numPr>
          <w:ilvl w:val="0"/>
          <w:numId w:val="1004"/>
        </w:numPr>
        <w:pStyle w:val="Compact"/>
      </w:pPr>
      <w:r>
        <w:t xml:space="preserve">hábitos de privacidad y confidencialidad;</w:t>
      </w:r>
    </w:p>
    <w:p>
      <w:pPr>
        <w:numPr>
          <w:ilvl w:val="0"/>
          <w:numId w:val="1004"/>
        </w:numPr>
        <w:pStyle w:val="Compact"/>
      </w:pPr>
      <w:r>
        <w:t xml:space="preserve">comodidad con software de farmacia, sistemas de códigos de barras, dispensación automatizada, punto de venta y sistemas de seguros después de la capacitación del empleador;</w:t>
      </w:r>
    </w:p>
    <w:p>
      <w:pPr>
        <w:numPr>
          <w:ilvl w:val="0"/>
          <w:numId w:val="1004"/>
        </w:numPr>
        <w:pStyle w:val="Compact"/>
      </w:pPr>
      <w:r>
        <w:t xml:space="preserve">confiabilidad, puntualidad y trabajo en equipo; y</w:t>
      </w:r>
    </w:p>
    <w:p>
      <w:pPr>
        <w:numPr>
          <w:ilvl w:val="0"/>
          <w:numId w:val="1004"/>
        </w:numPr>
        <w:pStyle w:val="Compact"/>
      </w:pPr>
      <w:r>
        <w:t xml:space="preserve">trabajo calmado y metódico bajo interrupciones y presión de tiempo.</w:t>
      </w:r>
    </w:p>
    <w:p>
      <w:pPr>
        <w:pStyle w:val="FirstParagraph"/>
      </w:pPr>
      <w:r>
        <w:t xml:space="preserve">Ningún producto de software o certificación específica es universal para todos los puestos de técnico en farmacia. Revise vacantes actuales y los requisitos de su jurisdicción antes de pagar por capacitación.</w:t>
      </w:r>
    </w:p>
    <w:bookmarkEnd w:id="30"/>
    <w:bookmarkStart w:id="35" w:name="educación-y-vías-de-entrada"/>
    <w:p>
      <w:pPr>
        <w:pStyle w:val="Heading2"/>
      </w:pPr>
      <w:r>
        <w:t xml:space="preserve">Educación y vías de entrada</w:t>
      </w:r>
    </w:p>
    <w:bookmarkStart w:id="31" w:name="estados-unidos"/>
    <w:p>
      <w:pPr>
        <w:pStyle w:val="Heading3"/>
      </w:pPr>
      <w:r>
        <w:t xml:space="preserve">Estados Unidos</w:t>
      </w:r>
    </w:p>
    <w:p>
      <w:pPr>
        <w:pStyle w:val="FirstParagraph"/>
      </w:pPr>
      <w:r>
        <w:t xml:space="preserve">BLS indica que los técnicos en farmacia normalmente necesitan un</w:t>
      </w:r>
      <w:r>
        <w:t xml:space="preserve"> </w:t>
      </w:r>
      <w:r>
        <w:rPr>
          <w:bCs/>
          <w:b/>
        </w:rPr>
        <w:t xml:space="preserve">diploma de secundaria o equivalente</w:t>
      </w:r>
      <w:r>
        <w:t xml:space="preserve"> </w:t>
      </w:r>
      <w:r>
        <w:t xml:space="preserve">y pueden aprender mediante capacitación en el trabajo o completar un programa postsecundario de tecnología farmacéutica. La mayoría de los estados regulan de alguna manera a los técnicos en farmacia, y los requisitos estatales pueden incluir educación, capacitación, examen, tarifas, educación continua, verificación de antecedentes o edad mínima.</w:t>
      </w:r>
    </w:p>
    <w:p>
      <w:pPr>
        <w:pStyle w:val="BodyText"/>
      </w:pPr>
      <w:r>
        <w:t xml:space="preserve">Una secuencia práctica en EE. UU. es:</w:t>
      </w:r>
    </w:p>
    <w:p>
      <w:pPr>
        <w:numPr>
          <w:ilvl w:val="0"/>
          <w:numId w:val="1005"/>
        </w:numPr>
        <w:pStyle w:val="Compact"/>
      </w:pPr>
      <w:r>
        <w:t xml:space="preserve">Identificar el estado donde desea trabajar.</w:t>
      </w:r>
    </w:p>
    <w:p>
      <w:pPr>
        <w:numPr>
          <w:ilvl w:val="0"/>
          <w:numId w:val="1005"/>
        </w:numPr>
        <w:pStyle w:val="Compact"/>
      </w:pPr>
      <w:r>
        <w:t xml:space="preserve">Revisar los requisitos actuales de licencia o registro estatal antes de inscribirse en capacitación.</w:t>
      </w:r>
    </w:p>
    <w:p>
      <w:pPr>
        <w:numPr>
          <w:ilvl w:val="0"/>
          <w:numId w:val="1005"/>
        </w:numPr>
        <w:pStyle w:val="Compact"/>
      </w:pPr>
      <w:r>
        <w:t xml:space="preserve">Comparar vacantes locales para requisitos de educación, certificación, registro, horario y experiencia.</w:t>
      </w:r>
    </w:p>
    <w:p>
      <w:pPr>
        <w:numPr>
          <w:ilvl w:val="0"/>
          <w:numId w:val="1005"/>
        </w:numPr>
        <w:pStyle w:val="Compact"/>
      </w:pPr>
      <w:r>
        <w:t xml:space="preserve">Buscar capacitación pagada por el empleador, puestos de trainee, aprendizajes o programas postsecundarios aprobados.</w:t>
      </w:r>
    </w:p>
    <w:p>
      <w:pPr>
        <w:numPr>
          <w:ilvl w:val="0"/>
          <w:numId w:val="1005"/>
        </w:numPr>
        <w:pStyle w:val="Compact"/>
      </w:pPr>
      <w:r>
        <w:t xml:space="preserve">Desarrollar experiencia supervisada en flujo de recetas, identificación de pacientes, inventario, registros, atención al cliente y sistemas de farmacia.</w:t>
      </w:r>
    </w:p>
    <w:p>
      <w:pPr>
        <w:numPr>
          <w:ilvl w:val="0"/>
          <w:numId w:val="1005"/>
        </w:numPr>
        <w:pStyle w:val="Compact"/>
      </w:pPr>
      <w:r>
        <w:t xml:space="preserve">Buscar certificación solo después de verificar si el estado o los empleadores exigen o valoran esa credencial específica.</w:t>
      </w:r>
    </w:p>
    <w:p>
      <w:pPr>
        <w:pStyle w:val="FirstParagraph"/>
      </w:pPr>
      <w:r>
        <w:t xml:space="preserve">BLS señala que algunos empleadores pagan para que sus empleados presenten exámenes de certificación.</w:t>
      </w:r>
    </w:p>
    <w:bookmarkEnd w:id="31"/>
    <w:bookmarkStart w:id="32" w:name="canadá"/>
    <w:p>
      <w:pPr>
        <w:pStyle w:val="Heading3"/>
      </w:pPr>
      <w:r>
        <w:t xml:space="preserve">Canadá</w:t>
      </w:r>
    </w:p>
    <w:p>
      <w:pPr>
        <w:pStyle w:val="FirstParagraph"/>
      </w:pPr>
      <w:r>
        <w:t xml:space="preserve">Government of Canada Job Bank asigna Pharmacy Technician a</w:t>
      </w:r>
      <w:r>
        <w:t xml:space="preserve"> </w:t>
      </w:r>
      <w:r>
        <w:rPr>
          <w:bCs/>
          <w:b/>
        </w:rPr>
        <w:t xml:space="preserve">NOC 32124</w:t>
      </w:r>
      <w:r>
        <w:t xml:space="preserve">. Los requisitos nacionales vigentes indican que los técnicos en farmacia normalmente requieren un programa universitario/técnico de dos años para pharmacy technician, o un programa de dos a tres años en ciencias farmacéuticas junto con formación práctica supervisada.</w:t>
      </w:r>
    </w:p>
    <w:p>
      <w:pPr>
        <w:pStyle w:val="BodyText"/>
      </w:pPr>
      <w:r>
        <w:t xml:space="preserve">Job Bank indica que completar los</w:t>
      </w:r>
      <w:r>
        <w:t xml:space="preserve"> </w:t>
      </w:r>
      <w:r>
        <w:rPr>
          <w:bCs/>
          <w:b/>
        </w:rPr>
        <w:t xml:space="preserve">exámenes de certificación del Pharmacy Examining Board of Canada (PEBC) es obligatorio</w:t>
      </w:r>
      <w:r>
        <w:t xml:space="preserve"> </w:t>
      </w:r>
      <w:r>
        <w:t xml:space="preserve">para pharmacy technicians y que</w:t>
      </w:r>
      <w:r>
        <w:t xml:space="preserve"> </w:t>
      </w:r>
      <w:r>
        <w:rPr>
          <w:bCs/>
          <w:b/>
        </w:rPr>
        <w:t xml:space="preserve">el registro ante un organismo regulador es obligatorio en todas las provincias excepto Quebec</w:t>
      </w:r>
      <w:r>
        <w:t xml:space="preserve">.</w:t>
      </w:r>
    </w:p>
    <w:p>
      <w:pPr>
        <w:pStyle w:val="BodyText"/>
      </w:pPr>
      <w:r>
        <w:t xml:space="preserve">No suponga que un solo proceso nacional de solicitud cubre todas las provincias o Quebec. Verifique el regulador vigente, reconocimiento de estudios, ruta de exámenes, requisito de práctica supervisada, idioma, tarifas, jurisprudencia o nivelación y estado de registro de la provincia donde pretende trabajar.</w:t>
      </w:r>
    </w:p>
    <w:bookmarkEnd w:id="32"/>
    <w:bookmarkStart w:id="33" w:name="colombia"/>
    <w:p>
      <w:pPr>
        <w:pStyle w:val="Heading3"/>
      </w:pPr>
      <w:r>
        <w:t xml:space="preserve">Colombia</w:t>
      </w:r>
    </w:p>
    <w:p>
      <w:pPr>
        <w:pStyle w:val="FirstParagraph"/>
      </w:pPr>
      <w:r>
        <w:t xml:space="preserve">El sistema ocupacional del SENA identifica</w:t>
      </w:r>
      <w:r>
        <w:t xml:space="preserve"> </w:t>
      </w:r>
      <w:r>
        <w:rPr>
          <w:bCs/>
          <w:b/>
        </w:rPr>
        <w:t xml:space="preserve">CNO 3315 — Auxiliares en servicios farmacéuticos</w:t>
      </w:r>
      <w:r>
        <w:t xml:space="preserve">. La ocupación apoya recepción, almacenamiento, dispensación, distribución, inventario y actividades relacionadas del servicio farmacéutico bajo delegación y supervisión de profesionales del servicio farmacéutico.</w:t>
      </w:r>
    </w:p>
    <w:p>
      <w:pPr>
        <w:pStyle w:val="BodyText"/>
      </w:pPr>
      <w:r>
        <w:t xml:space="preserve">SENA Betowa actualmente lista</w:t>
      </w:r>
      <w:r>
        <w:t xml:space="preserve"> </w:t>
      </w:r>
      <w:r>
        <w:rPr>
          <w:bCs/>
          <w:b/>
        </w:rPr>
        <w:t xml:space="preserve">Servicios Farmacéuticos</w:t>
      </w:r>
      <w:r>
        <w:t xml:space="preserve"> </w:t>
      </w:r>
      <w:r>
        <w:t xml:space="preserve">como un programa de formación titulada</w:t>
      </w:r>
      <w:r>
        <w:t xml:space="preserve"> </w:t>
      </w:r>
      <w:r>
        <w:rPr>
          <w:bCs/>
          <w:b/>
        </w:rPr>
        <w:t xml:space="preserve">Técnico</w:t>
      </w:r>
      <w:r>
        <w:t xml:space="preserve"> </w:t>
      </w:r>
      <w:r>
        <w:t xml:space="preserve">de</w:t>
      </w:r>
      <w:r>
        <w:t xml:space="preserve"> </w:t>
      </w:r>
      <w:r>
        <w:rPr>
          <w:bCs/>
          <w:b/>
        </w:rPr>
        <w:t xml:space="preserve">2.640 horas</w:t>
      </w:r>
      <w:r>
        <w:t xml:space="preserve">, con edad mínima de</w:t>
      </w:r>
      <w:r>
        <w:t xml:space="preserve"> </w:t>
      </w:r>
      <w:r>
        <w:rPr>
          <w:bCs/>
          <w:b/>
        </w:rPr>
        <w:t xml:space="preserve">16+</w:t>
      </w:r>
      <w:r>
        <w:t xml:space="preserve"> </w:t>
      </w:r>
      <w:r>
        <w:t xml:space="preserve">y requisitos de ingreso declarados que incluyen educación básica de noveno grado y el proceso de admisión del SENA.</w:t>
      </w:r>
    </w:p>
    <w:p>
      <w:pPr>
        <w:pStyle w:val="BodyText"/>
      </w:pPr>
      <w:r>
        <w:t xml:space="preserve">La ruta Técnico/Auxiliar del SENA no es lo mismo que</w:t>
      </w:r>
      <w:r>
        <w:t xml:space="preserve"> </w:t>
      </w:r>
      <w:r>
        <w:rPr>
          <w:bCs/>
          <w:b/>
        </w:rPr>
        <w:t xml:space="preserve">Tecnólogo en Regencia de Farmacia</w:t>
      </w:r>
      <w:r>
        <w:t xml:space="preserve"> </w:t>
      </w:r>
      <w:r>
        <w:t xml:space="preserve">o</w:t>
      </w:r>
      <w:r>
        <w:t xml:space="preserve"> </w:t>
      </w:r>
      <w:r>
        <w:rPr>
          <w:bCs/>
          <w:b/>
        </w:rPr>
        <w:t xml:space="preserve">Químico Farmacéutico</w:t>
      </w:r>
      <w:r>
        <w:t xml:space="preserve">. La regulación colombiana del servicio farmacéutico asigna responsabilidades de dirección técnica según la complejidad del servicio y el tipo de establecimiento. No presente un programa técnico/auxiliar como autoridad para dirigir independientemente un servicio farmacéutico o realizar funciones reservadas a personal con otras cualificaciones.</w:t>
      </w:r>
    </w:p>
    <w:bookmarkEnd w:id="33"/>
    <w:bookmarkStart w:id="34" w:name="américa-latina-y-el-caribe"/>
    <w:p>
      <w:pPr>
        <w:pStyle w:val="Heading3"/>
      </w:pPr>
      <w:r>
        <w:t xml:space="preserve">América Latina y el Caribe</w:t>
      </w:r>
    </w:p>
    <w:p>
      <w:pPr>
        <w:pStyle w:val="FirstParagraph"/>
      </w:pPr>
      <w:r>
        <w:t xml:space="preserve">Los títulos y alcances legales varían ampliamente. Un</w:t>
      </w:r>
      <w:r>
        <w:t xml:space="preserve"> </w:t>
      </w:r>
      <w:r>
        <w:rPr>
          <w:rStyle w:val="VerbatimChar"/>
        </w:rPr>
        <w:t xml:space="preserve">técnico en farmacia</w:t>
      </w:r>
      <w:r>
        <w:t xml:space="preserve">,</w:t>
      </w:r>
      <w:r>
        <w:t xml:space="preserve"> </w:t>
      </w:r>
      <w:r>
        <w:rPr>
          <w:rStyle w:val="VerbatimChar"/>
        </w:rPr>
        <w:t xml:space="preserve">auxiliar de farmacia</w:t>
      </w:r>
      <w:r>
        <w:t xml:space="preserve">,</w:t>
      </w:r>
      <w:r>
        <w:t xml:space="preserve"> </w:t>
      </w:r>
      <w:r>
        <w:rPr>
          <w:rStyle w:val="VerbatimChar"/>
        </w:rPr>
        <w:t xml:space="preserve">servicios farmacéuticos</w:t>
      </w:r>
      <w:r>
        <w:t xml:space="preserve"> </w:t>
      </w:r>
      <w:r>
        <w:t xml:space="preserve">o una credencial de nombre similar en un país puede no tener el mismo reconocimiento o autoridad en otro.</w:t>
      </w:r>
    </w:p>
    <w:p>
      <w:pPr>
        <w:pStyle w:val="BodyText"/>
      </w:pPr>
      <w:r>
        <w:t xml:space="preserve">Use OIT/Cinterfor para identificar la institución pública de formación profesional correspondiente en su país y luego verifique el regulador sanitario/farmacéutico vigente, reconocimiento educativo, registro requerido, alcance permitido, modelo de supervisión y requisitos del empleador antes de inscribirse o aceptar trabajo.</w:t>
      </w:r>
    </w:p>
    <w:bookmarkEnd w:id="34"/>
    <w:bookmarkEnd w:id="35"/>
    <w:bookmarkStart w:id="36" w:name="Xbfe340f5e114b5e3dd6b452e4e36af50929f347"/>
    <w:p>
      <w:pPr>
        <w:pStyle w:val="Heading2"/>
      </w:pPr>
      <w:r>
        <w:t xml:space="preserve">Estrategia de aprendizaje gratuito primero y de bajo costo</w:t>
      </w:r>
    </w:p>
    <w:p>
      <w:pPr>
        <w:pStyle w:val="FirstParagraph"/>
      </w:pPr>
      <w:r>
        <w:t xml:space="preserve">No suponga que un certificado privado costoso sea el primer o mejor paso.</w:t>
      </w:r>
    </w:p>
    <w:p>
      <w:pPr>
        <w:numPr>
          <w:ilvl w:val="0"/>
          <w:numId w:val="1006"/>
        </w:numPr>
        <w:pStyle w:val="Compact"/>
      </w:pPr>
      <w:r>
        <w:t xml:space="preserve">Verifique los requisitos legales de la jurisdicción donde desea trabajar.</w:t>
      </w:r>
    </w:p>
    <w:p>
      <w:pPr>
        <w:numPr>
          <w:ilvl w:val="0"/>
          <w:numId w:val="1006"/>
        </w:numPr>
        <w:pStyle w:val="Compact"/>
      </w:pPr>
      <w:r>
        <w:t xml:space="preserve">Lea 15–20 vacantes actuales y registre requisitos repetidos de educación, registro, certificación, horario, experiencia y software.</w:t>
      </w:r>
    </w:p>
    <w:p>
      <w:pPr>
        <w:numPr>
          <w:ilvl w:val="0"/>
          <w:numId w:val="1006"/>
        </w:numPr>
        <w:pStyle w:val="Compact"/>
      </w:pPr>
      <w:r>
        <w:t xml:space="preserve">Revise primero rutas públicas de community college, escuelas técnicas, programas de fuerza laboral, SENA, provincias u otras opciones públicas.</w:t>
      </w:r>
    </w:p>
    <w:p>
      <w:pPr>
        <w:numPr>
          <w:ilvl w:val="0"/>
          <w:numId w:val="1006"/>
        </w:numPr>
        <w:pStyle w:val="Compact"/>
      </w:pPr>
      <w:r>
        <w:t xml:space="preserve">Pregunte a empleadores por capacitación pagada, puestos de trainee, ayuda para matrícula, reembolso de exámenes, reembolso de certificación, uniformes y crecimiento interno.</w:t>
      </w:r>
    </w:p>
    <w:p>
      <w:pPr>
        <w:numPr>
          <w:ilvl w:val="0"/>
          <w:numId w:val="1006"/>
        </w:numPr>
        <w:pStyle w:val="Compact"/>
      </w:pPr>
      <w:r>
        <w:t xml:space="preserve">Use recursos públicos de estudio para fortalecer terminología médica, matemáticas, comunicación, privacidad y atención al cliente sin pretender que estudiar crea autoridad legal.</w:t>
      </w:r>
    </w:p>
    <w:p>
      <w:pPr>
        <w:numPr>
          <w:ilvl w:val="0"/>
          <w:numId w:val="1006"/>
        </w:numPr>
        <w:pStyle w:val="Compact"/>
      </w:pPr>
      <w:r>
        <w:t xml:space="preserve">Pague capacitación privada solo después de confirmar costo total, reglas de reembolso, reconocimiento, condiciones de prácticas, elegibilidad para exámenes, aprobación estatal/provincial cuando corresponda y demanda real de empleadores.</w:t>
      </w:r>
    </w:p>
    <w:bookmarkEnd w:id="36"/>
    <w:bookmarkStart w:id="40" w:name="X4e6c1dec54e12a218c6e7e9714fbd66461b8a12"/>
    <w:p>
      <w:pPr>
        <w:pStyle w:val="Heading2"/>
      </w:pPr>
      <w:r>
        <w:t xml:space="preserve">Aprendizaje y formación basada en el trabajo</w:t>
      </w:r>
    </w:p>
    <w:bookmarkStart w:id="37" w:name="estados-unidos-1"/>
    <w:p>
      <w:pPr>
        <w:pStyle w:val="Heading3"/>
      </w:pPr>
      <w:r>
        <w:t xml:space="preserve">Estados Unidos</w:t>
      </w:r>
    </w:p>
    <w:p>
      <w:pPr>
        <w:pStyle w:val="FirstParagraph"/>
      </w:pPr>
      <w:r>
        <w:t xml:space="preserve">BLS confirma que la capacitación en el trabajo es una vía de entrada común. Use</w:t>
      </w:r>
      <w:r>
        <w:t xml:space="preserve"> </w:t>
      </w:r>
      <w:r>
        <w:rPr>
          <w:bCs/>
          <w:b/>
        </w:rPr>
        <w:t xml:space="preserve">Apprenticeship.gov</w:t>
      </w:r>
      <w:r>
        <w:t xml:space="preserve"> </w:t>
      </w:r>
      <w:r>
        <w:t xml:space="preserve">para buscar oportunidades vigentes de Registered Apprenticeship, pero la disponibilidad depende del empleador y la ubicación. La existencia de puestos de trainee o aprendizaje para técnico en farmacia en el mercado no significa que haya uno disponible en todas partes.</w:t>
      </w:r>
    </w:p>
    <w:bookmarkEnd w:id="37"/>
    <w:bookmarkStart w:id="38" w:name="canadá-1"/>
    <w:p>
      <w:pPr>
        <w:pStyle w:val="Heading3"/>
      </w:pPr>
      <w:r>
        <w:t xml:space="preserve">Canadá</w:t>
      </w:r>
    </w:p>
    <w:p>
      <w:pPr>
        <w:pStyle w:val="FirstParagraph"/>
      </w:pPr>
      <w:r>
        <w:t xml:space="preserve">La preparación canadiense normalmente incluye formación práctica supervisada dentro de rutas reconocidas de educación para pharmacy technician. Trate la colocación como formación supervisada bajo requisitos del programa y regulador, no como autoridad independiente para ejercer.</w:t>
      </w:r>
    </w:p>
    <w:bookmarkEnd w:id="38"/>
    <w:bookmarkStart w:id="39" w:name="colombia-1"/>
    <w:p>
      <w:pPr>
        <w:pStyle w:val="Heading3"/>
      </w:pPr>
      <w:r>
        <w:t xml:space="preserve">Colombia</w:t>
      </w:r>
    </w:p>
    <w:p>
      <w:pPr>
        <w:pStyle w:val="FirstParagraph"/>
      </w:pPr>
      <w:r>
        <w:t xml:space="preserve">El programa Técnico en Servicios Farmacéuticos del SENA incluye resultados de etapa práctica. Verifique cohorte vigente, lugar de impartición, modelo de etapa práctica, reglas de colocación con empleadores y requisitos de admisión en Betowa antes de planificar en torno a una fecha específica de inicio.</w:t>
      </w:r>
    </w:p>
    <w:bookmarkEnd w:id="39"/>
    <w:bookmarkEnd w:id="40"/>
    <w:bookmarkStart w:id="45" w:name="financiamiento-y-apoyo-del-empleador"/>
    <w:p>
      <w:pPr>
        <w:pStyle w:val="Heading2"/>
      </w:pPr>
      <w:r>
        <w:t xml:space="preserve">Financiamiento y apoyo del empleador</w:t>
      </w:r>
    </w:p>
    <w:bookmarkStart w:id="41" w:name="estados-unidos-2"/>
    <w:p>
      <w:pPr>
        <w:pStyle w:val="Heading3"/>
      </w:pPr>
      <w:r>
        <w:t xml:space="preserve">Estados Unidos</w:t>
      </w:r>
    </w:p>
    <w:p>
      <w:pPr>
        <w:pStyle w:val="FirstParagraph"/>
      </w:pPr>
      <w:r>
        <w:t xml:space="preserve">Los American Job Centers y CareerOneStop pueden ayudar a personas elegibles a explorar apoyo de formación</w:t>
      </w:r>
      <w:r>
        <w:t xml:space="preserve"> </w:t>
      </w:r>
      <w:r>
        <w:rPr>
          <w:bCs/>
          <w:b/>
        </w:rPr>
        <w:t xml:space="preserve">WIOA</w:t>
      </w:r>
      <w:r>
        <w:t xml:space="preserve"> </w:t>
      </w:r>
      <w:r>
        <w:t xml:space="preserve">y proveedores aprobados. El financiamiento depende de la persona, área local de fuerza laboral, proveedor y programa; no está garantizado.</w:t>
      </w:r>
    </w:p>
    <w:p>
      <w:pPr>
        <w:pStyle w:val="BodyText"/>
      </w:pPr>
      <w:r>
        <w:t xml:space="preserve">Estudiantes elegibles en instituciones/programas elegibles pueden acceder a subvenciones federales, Federal Work-Study y préstamos estudiantiles federales mediante el proceso</w:t>
      </w:r>
      <w:r>
        <w:t xml:space="preserve"> </w:t>
      </w:r>
      <w:r>
        <w:rPr>
          <w:bCs/>
          <w:b/>
        </w:rPr>
        <w:t xml:space="preserve">FAFSA</w:t>
      </w:r>
      <w:r>
        <w:t xml:space="preserve">. Un curso privado corto o paquete de preparación para examen no es automáticamente elegible para ayuda federal.</w:t>
      </w:r>
    </w:p>
    <w:bookmarkEnd w:id="41"/>
    <w:bookmarkStart w:id="42" w:name="canadá-2"/>
    <w:p>
      <w:pPr>
        <w:pStyle w:val="Heading3"/>
      </w:pPr>
      <w:r>
        <w:t xml:space="preserve">Canadá</w:t>
      </w:r>
    </w:p>
    <w:p>
      <w:pPr>
        <w:pStyle w:val="FirstParagraph"/>
      </w:pPr>
      <w:r>
        <w:t xml:space="preserve">Estudiantes postsecundarios elegibles pueden calificar para Canada Student Grants and Loans mediante sistemas federales, provinciales y territoriales. Verifique la designación real de la institución y programa, además de las reglas provinciales vigentes, antes de depender de esa ayuda.</w:t>
      </w:r>
    </w:p>
    <w:bookmarkEnd w:id="42"/>
    <w:bookmarkStart w:id="43" w:name="colombia-y-américa-latina"/>
    <w:p>
      <w:pPr>
        <w:pStyle w:val="Heading3"/>
      </w:pPr>
      <w:r>
        <w:t xml:space="preserve">Colombia y América Latina</w:t>
      </w:r>
    </w:p>
    <w:p>
      <w:pPr>
        <w:pStyle w:val="FirstParagraph"/>
      </w:pPr>
      <w:r>
        <w:t xml:space="preserve">Revise sistemas públicos de formación antes de pagar a un proveedor privado. En Colombia, comience con SENA/Betowa. En otros países, use OIT/Cinterfor para identificar la institución pública nacional de formación y verifique localmente las reglas vigentes de admisión y financiamiento.</w:t>
      </w:r>
    </w:p>
    <w:bookmarkEnd w:id="43"/>
    <w:bookmarkStart w:id="44" w:name="apoyo-del-empleador"/>
    <w:p>
      <w:pPr>
        <w:pStyle w:val="Heading3"/>
      </w:pPr>
      <w:r>
        <w:t xml:space="preserve">Apoyo del empleador</w:t>
      </w:r>
    </w:p>
    <w:p>
      <w:pPr>
        <w:pStyle w:val="FirstParagraph"/>
      </w:pPr>
      <w:r>
        <w:t xml:space="preserve">Pregunte por:</w:t>
      </w:r>
    </w:p>
    <w:p>
      <w:pPr>
        <w:numPr>
          <w:ilvl w:val="0"/>
          <w:numId w:val="1007"/>
        </w:numPr>
        <w:pStyle w:val="Compact"/>
      </w:pPr>
      <w:r>
        <w:t xml:space="preserve">inducción pagada y capacitación supervisada;</w:t>
      </w:r>
    </w:p>
    <w:p>
      <w:pPr>
        <w:numPr>
          <w:ilvl w:val="0"/>
          <w:numId w:val="1007"/>
        </w:numPr>
        <w:pStyle w:val="Compact"/>
      </w:pPr>
      <w:r>
        <w:t xml:space="preserve">puestos de trainee o aprendizaje;</w:t>
      </w:r>
    </w:p>
    <w:p>
      <w:pPr>
        <w:numPr>
          <w:ilvl w:val="0"/>
          <w:numId w:val="1007"/>
        </w:numPr>
        <w:pStyle w:val="Compact"/>
      </w:pPr>
      <w:r>
        <w:t xml:space="preserve">ayuda para matrícula;</w:t>
      </w:r>
    </w:p>
    <w:p>
      <w:pPr>
        <w:numPr>
          <w:ilvl w:val="0"/>
          <w:numId w:val="1007"/>
        </w:numPr>
        <w:pStyle w:val="Compact"/>
      </w:pPr>
      <w:r>
        <w:t xml:space="preserve">reembolso de certificación o exámenes;</w:t>
      </w:r>
    </w:p>
    <w:p>
      <w:pPr>
        <w:numPr>
          <w:ilvl w:val="0"/>
          <w:numId w:val="1007"/>
        </w:numPr>
        <w:pStyle w:val="Compact"/>
      </w:pPr>
      <w:r>
        <w:t xml:space="preserve">reembolso de tarifas de registro;</w:t>
      </w:r>
    </w:p>
    <w:p>
      <w:pPr>
        <w:numPr>
          <w:ilvl w:val="0"/>
          <w:numId w:val="1007"/>
        </w:numPr>
        <w:pStyle w:val="Compact"/>
      </w:pPr>
      <w:r>
        <w:t xml:space="preserve">uniformes y equipo requerido;</w:t>
      </w:r>
    </w:p>
    <w:p>
      <w:pPr>
        <w:numPr>
          <w:ilvl w:val="0"/>
          <w:numId w:val="1007"/>
        </w:numPr>
        <w:pStyle w:val="Compact"/>
      </w:pPr>
      <w:r>
        <w:t xml:space="preserve">capacitación cruzada en funciones hospitalarias, minoristas, especializadas, de inventario o automatización; y</w:t>
      </w:r>
    </w:p>
    <w:p>
      <w:pPr>
        <w:numPr>
          <w:ilvl w:val="0"/>
          <w:numId w:val="1007"/>
        </w:numPr>
        <w:pStyle w:val="Compact"/>
      </w:pPr>
      <w:r>
        <w:t xml:space="preserve">rutas de promoción interna.</w:t>
      </w:r>
    </w:p>
    <w:p>
      <w:pPr>
        <w:pStyle w:val="FirstParagraph"/>
      </w:pPr>
      <w:r>
        <w:t xml:space="preserve">Obtenga por escrito las condiciones de reembolso o permanencia laboral antes de aceptar educación financiada por el empleador.</w:t>
      </w:r>
    </w:p>
    <w:bookmarkEnd w:id="44"/>
    <w:bookmarkEnd w:id="45"/>
    <w:bookmarkStart w:id="49" w:name="ingresos-y-perspectiva-laboral"/>
    <w:p>
      <w:pPr>
        <w:pStyle w:val="Heading2"/>
      </w:pPr>
      <w:r>
        <w:t xml:space="preserve">Ingresos y perspectiva laboral</w:t>
      </w:r>
    </w:p>
    <w:bookmarkStart w:id="46" w:name="X1315f4e3d629002714ab0c31bb0b659af50188f"/>
    <w:p>
      <w:pPr>
        <w:pStyle w:val="Heading3"/>
      </w:pPr>
      <w:r>
        <w:t xml:space="preserve">Estados Unidos — datos ocupacionales oficiales</w:t>
      </w:r>
    </w:p>
    <w:p>
      <w:pPr>
        <w:pStyle w:val="FirstParagraph"/>
      </w:pPr>
      <w:r>
        <w:t xml:space="preserve">O*NET reporta datos salariales actuales de</w:t>
      </w:r>
      <w:r>
        <w:t xml:space="preserve"> </w:t>
      </w:r>
      <w:r>
        <w:rPr>
          <w:bCs/>
          <w:b/>
        </w:rPr>
        <w:t xml:space="preserve">BLS 2025</w:t>
      </w:r>
      <w:r>
        <w:t xml:space="preserve"> </w:t>
      </w:r>
      <w:r>
        <w:t xml:space="preserve">para Pharmacy Technicians:</w:t>
      </w:r>
    </w:p>
    <w:p>
      <w:pPr>
        <w:numPr>
          <w:ilvl w:val="0"/>
          <w:numId w:val="1008"/>
        </w:numPr>
        <w:pStyle w:val="Compact"/>
      </w:pPr>
      <w:r>
        <w:rPr>
          <w:bCs/>
          <w:b/>
        </w:rPr>
        <w:t xml:space="preserve">Salario mediano por hora: USD $22.00</w:t>
      </w:r>
    </w:p>
    <w:p>
      <w:pPr>
        <w:numPr>
          <w:ilvl w:val="0"/>
          <w:numId w:val="1008"/>
        </w:numPr>
        <w:pStyle w:val="Compact"/>
      </w:pPr>
      <w:r>
        <w:rPr>
          <w:bCs/>
          <w:b/>
        </w:rPr>
        <w:t xml:space="preserve">Salario mediano anual: USD $45.750</w:t>
      </w:r>
    </w:p>
    <w:p>
      <w:pPr>
        <w:pStyle w:val="FirstParagraph"/>
      </w:pPr>
      <w:r>
        <w:t xml:space="preserve">O*NET reporta aproximadamente</w:t>
      </w:r>
      <w:r>
        <w:t xml:space="preserve"> </w:t>
      </w:r>
      <w:r>
        <w:rPr>
          <w:bCs/>
          <w:b/>
        </w:rPr>
        <w:t xml:space="preserve">490.400 trabajadores en 2024</w:t>
      </w:r>
      <w:r>
        <w:t xml:space="preserve">, crecimiento proyectado de</w:t>
      </w:r>
      <w:r>
        <w:t xml:space="preserve"> </w:t>
      </w:r>
      <w:r>
        <w:rPr>
          <w:bCs/>
          <w:b/>
        </w:rPr>
        <w:t xml:space="preserve">6% entre 2024 y 2034</w:t>
      </w:r>
      <w:r>
        <w:t xml:space="preserve"> </w:t>
      </w:r>
      <w:r>
        <w:t xml:space="preserve">y cerca de</w:t>
      </w:r>
      <w:r>
        <w:t xml:space="preserve"> </w:t>
      </w:r>
      <w:r>
        <w:rPr>
          <w:bCs/>
          <w:b/>
        </w:rPr>
        <w:t xml:space="preserve">49.000 vacantes anuales</w:t>
      </w:r>
      <w:r>
        <w:t xml:space="preserve"> </w:t>
      </w:r>
      <w:r>
        <w:t xml:space="preserve">durante el periodo de proyección.</w:t>
      </w:r>
    </w:p>
    <w:p>
      <w:pPr>
        <w:pStyle w:val="BodyText"/>
      </w:pPr>
      <w:r>
        <w:t xml:space="preserve">Estas son estadísticas ocupacionales nacionales, no un salario inicial prometido. El pago varía por estado, entorno, turno, experiencia, certificación, afiliación sindical y empleador.</w:t>
      </w:r>
    </w:p>
    <w:bookmarkEnd w:id="46"/>
    <w:bookmarkStart w:id="47" w:name="Xe5644e458513c08a847ad1d0e7e85a29eb93269"/>
    <w:p>
      <w:pPr>
        <w:pStyle w:val="Heading3"/>
      </w:pPr>
      <w:r>
        <w:t xml:space="preserve">Estados Unidos — estimación actual no gubernamental</w:t>
      </w:r>
    </w:p>
    <w:p>
      <w:pPr>
        <w:pStyle w:val="FirstParagraph"/>
      </w:pPr>
      <w:r>
        <w:t xml:space="preserve">Indeed reportó un salario base promedio en EE. UU. de aproximadamente</w:t>
      </w:r>
      <w:r>
        <w:t xml:space="preserve"> </w:t>
      </w:r>
      <w:r>
        <w:rPr>
          <w:bCs/>
          <w:b/>
        </w:rPr>
        <w:t xml:space="preserve">USD $21.13 por hora</w:t>
      </w:r>
      <w:r>
        <w:t xml:space="preserve"> </w:t>
      </w:r>
      <w:r>
        <w:t xml:space="preserve">para Pharmacy Technician, actualizado el</w:t>
      </w:r>
      <w:r>
        <w:t xml:space="preserve"> </w:t>
      </w:r>
      <w:r>
        <w:rPr>
          <w:bCs/>
          <w:b/>
        </w:rPr>
        <w:t xml:space="preserve">27 de julio de 2026</w:t>
      </w:r>
      <w:r>
        <w:t xml:space="preserve">, con un valor bajo mostrado de aproximadamente</w:t>
      </w:r>
      <w:r>
        <w:t xml:space="preserve"> </w:t>
      </w:r>
      <w:r>
        <w:rPr>
          <w:bCs/>
          <w:b/>
        </w:rPr>
        <w:t xml:space="preserve">$14.84</w:t>
      </w:r>
      <w:r>
        <w:t xml:space="preserve"> </w:t>
      </w:r>
      <w:r>
        <w:t xml:space="preserve">y alto de aproximadamente</w:t>
      </w:r>
      <w:r>
        <w:t xml:space="preserve"> </w:t>
      </w:r>
      <w:r>
        <w:rPr>
          <w:bCs/>
          <w:b/>
        </w:rPr>
        <w:t xml:space="preserve">$30.07</w:t>
      </w:r>
      <w:r>
        <w:t xml:space="preserve"> </w:t>
      </w:r>
      <w:r>
        <w:t xml:space="preserve">por hora.</w:t>
      </w:r>
    </w:p>
    <w:p>
      <w:pPr>
        <w:pStyle w:val="BodyText"/>
      </w:pPr>
      <w:r>
        <w:t xml:space="preserve">Esta es una</w:t>
      </w:r>
      <w:r>
        <w:t xml:space="preserve"> </w:t>
      </w:r>
      <w:r>
        <w:rPr>
          <w:bCs/>
          <w:b/>
        </w:rPr>
        <w:t xml:space="preserve">estimación de mercado no gubernamental</w:t>
      </w:r>
      <w:r>
        <w:t xml:space="preserve"> </w:t>
      </w:r>
      <w:r>
        <w:t xml:space="preserve">basada en datos salariales de vacantes. No es una mediana oficial y no debe combinarse con la serie de BLS/O*NET.</w:t>
      </w:r>
    </w:p>
    <w:bookmarkEnd w:id="47"/>
    <w:bookmarkStart w:id="48" w:name="canadá--datos-nacionales-oficiales"/>
    <w:p>
      <w:pPr>
        <w:pStyle w:val="Heading3"/>
      </w:pPr>
      <w:r>
        <w:t xml:space="preserve">Canadá — datos nacionales oficiales</w:t>
      </w:r>
    </w:p>
    <w:p>
      <w:pPr>
        <w:pStyle w:val="FirstParagraph"/>
      </w:pPr>
      <w:r>
        <w:t xml:space="preserve">Government of Canada Job Bank reporta salarios nacionales aproximados para Pharmacy Technician de:</w:t>
      </w:r>
    </w:p>
    <w:p>
      <w:pPr>
        <w:numPr>
          <w:ilvl w:val="0"/>
          <w:numId w:val="1009"/>
        </w:numPr>
        <w:pStyle w:val="Compact"/>
      </w:pPr>
      <w:r>
        <w:rPr>
          <w:bCs/>
          <w:b/>
        </w:rPr>
        <w:t xml:space="preserve">CAD $17.50/hora bajo</w:t>
      </w:r>
    </w:p>
    <w:p>
      <w:pPr>
        <w:numPr>
          <w:ilvl w:val="0"/>
          <w:numId w:val="1009"/>
        </w:numPr>
        <w:pStyle w:val="Compact"/>
      </w:pPr>
      <w:r>
        <w:rPr>
          <w:bCs/>
          <w:b/>
        </w:rPr>
        <w:t xml:space="preserve">CAD $24.83/hora mediano</w:t>
      </w:r>
    </w:p>
    <w:p>
      <w:pPr>
        <w:numPr>
          <w:ilvl w:val="0"/>
          <w:numId w:val="1009"/>
        </w:numPr>
        <w:pStyle w:val="Compact"/>
      </w:pPr>
      <w:r>
        <w:rPr>
          <w:bCs/>
          <w:b/>
        </w:rPr>
        <w:t xml:space="preserve">CAD $34.20/hora alto</w:t>
      </w:r>
    </w:p>
    <w:p>
      <w:pPr>
        <w:pStyle w:val="FirstParagraph"/>
      </w:pPr>
      <w:r>
        <w:t xml:space="preserve">La página salarial indica que estos valores fueron actualizados el 19 de noviembre de 2025. Los salarios provinciales y territoriales varían, así que use los filtros de ubicación de Job Bank antes de tomar una decisión de formación o traslado.</w:t>
      </w:r>
    </w:p>
    <w:bookmarkEnd w:id="48"/>
    <w:bookmarkEnd w:id="49"/>
    <w:bookmarkStart w:id="50" w:name="plan-práctico-inicial-de-12-semanas"/>
    <w:p>
      <w:pPr>
        <w:pStyle w:val="Heading2"/>
      </w:pPr>
      <w:r>
        <w:t xml:space="preserve">Plan práctico inicial de 12 semanas</w:t>
      </w:r>
    </w:p>
    <w:p>
      <w:pPr>
        <w:pStyle w:val="FirstParagraph"/>
      </w:pPr>
      <w:r>
        <w:rPr>
          <w:bCs/>
          <w:b/>
        </w:rPr>
        <w:t xml:space="preserve">Semanas 1–2:</w:t>
      </w:r>
      <w:r>
        <w:t xml:space="preserve"> </w:t>
      </w:r>
      <w:r>
        <w:t xml:space="preserve">Elija su jurisdicción objetivo. Verifique reglas estatales/provinciales/nacionales de registro y lea 15–20 vacantes actuales.</w:t>
      </w:r>
    </w:p>
    <w:p>
      <w:pPr>
        <w:pStyle w:val="BodyText"/>
      </w:pPr>
      <w:r>
        <w:rPr>
          <w:bCs/>
          <w:b/>
        </w:rPr>
        <w:t xml:space="preserve">Semanas 3–4:</w:t>
      </w:r>
      <w:r>
        <w:t xml:space="preserve"> </w:t>
      </w:r>
      <w:r>
        <w:t xml:space="preserve">Refuerce aritmética, medición, porcentajes, razones, unidades e ingreso cuidadoso de datos usando ejercicios de formación, no decisiones de recetas reales.</w:t>
      </w:r>
    </w:p>
    <w:p>
      <w:pPr>
        <w:pStyle w:val="BodyText"/>
      </w:pPr>
      <w:r>
        <w:rPr>
          <w:bCs/>
          <w:b/>
        </w:rPr>
        <w:t xml:space="preserve">Semanas 5–6:</w:t>
      </w:r>
      <w:r>
        <w:t xml:space="preserve"> </w:t>
      </w:r>
      <w:r>
        <w:t xml:space="preserve">Estudie terminología general de farmacia, formas farmacéuticas comunes, conceptos de inventario, principios de privacidad, flujo de recetas, fundamentos de seguros y cuándo escalar preguntas a un farmacéutico.</w:t>
      </w:r>
    </w:p>
    <w:p>
      <w:pPr>
        <w:pStyle w:val="BodyText"/>
      </w:pPr>
      <w:r>
        <w:rPr>
          <w:bCs/>
          <w:b/>
        </w:rPr>
        <w:t xml:space="preserve">Semanas 7–8:</w:t>
      </w:r>
      <w:r>
        <w:t xml:space="preserve"> </w:t>
      </w:r>
      <w:r>
        <w:t xml:space="preserve">Compare rutas de formación acreditadas/públicas/aprobadas, programas trainee de empleadores, oportunidades de aprendizaje, práctica supervisada, financiamiento, costo total y elegibilidad para exámenes.</w:t>
      </w:r>
    </w:p>
    <w:p>
      <w:pPr>
        <w:pStyle w:val="BodyText"/>
      </w:pPr>
      <w:r>
        <w:rPr>
          <w:bCs/>
          <w:b/>
        </w:rPr>
        <w:t xml:space="preserve">Semanas 9–10:</w:t>
      </w:r>
      <w:r>
        <w:t xml:space="preserve"> </w:t>
      </w:r>
      <w:r>
        <w:t xml:space="preserve">Practique escenarios seguros no clínicos: identificar información faltante, documentar una discrepancia, organizar registros de inventario, manejar un aviso simulado de retiro, derivar una pregunta de paciente al farmacéutico y proteger información confidencial.</w:t>
      </w:r>
    </w:p>
    <w:p>
      <w:pPr>
        <w:pStyle w:val="BodyText"/>
      </w:pPr>
      <w:r>
        <w:rPr>
          <w:bCs/>
          <w:b/>
        </w:rPr>
        <w:t xml:space="preserve">Semanas 11–12:</w:t>
      </w:r>
      <w:r>
        <w:t xml:space="preserve"> </w:t>
      </w:r>
      <w:r>
        <w:t xml:space="preserve">Actualice su currículum con evidencia veraz de exactitud, atención al cliente, disciplina en procesos regulados, inventario, ingreso de datos, privacidad, trabajo en equipo o apoyo sanitario. Postúlese solo a puestos cuyos requisitos actuales de entrada pueda cumplir en su jurisdicción.</w:t>
      </w:r>
    </w:p>
    <w:bookmarkEnd w:id="50"/>
    <w:bookmarkStart w:id="51" w:name="Xfa8f541ae4c013d733e297ba7281756694f69c0"/>
    <w:p>
      <w:pPr>
        <w:pStyle w:val="Heading2"/>
      </w:pPr>
      <w:r>
        <w:t xml:space="preserve">Cómo construir experiencia sin tener todavía el título</w:t>
      </w:r>
    </w:p>
    <w:p>
      <w:pPr>
        <w:pStyle w:val="FirstParagraph"/>
      </w:pPr>
      <w:r>
        <w:t xml:space="preserve">La experiencia transferible puede provenir de:</w:t>
      </w:r>
    </w:p>
    <w:p>
      <w:pPr>
        <w:numPr>
          <w:ilvl w:val="0"/>
          <w:numId w:val="1010"/>
        </w:numPr>
        <w:pStyle w:val="Compact"/>
      </w:pPr>
      <w:r>
        <w:t xml:space="preserve">administración sanitaria;</w:t>
      </w:r>
    </w:p>
    <w:p>
      <w:pPr>
        <w:numPr>
          <w:ilvl w:val="0"/>
          <w:numId w:val="1010"/>
        </w:numPr>
        <w:pStyle w:val="Compact"/>
      </w:pPr>
      <w:r>
        <w:t xml:space="preserve">recepción médica u odontológica;</w:t>
      </w:r>
    </w:p>
    <w:p>
      <w:pPr>
        <w:numPr>
          <w:ilvl w:val="0"/>
          <w:numId w:val="1010"/>
        </w:numPr>
        <w:pStyle w:val="Compact"/>
      </w:pPr>
      <w:r>
        <w:t xml:space="preserve">inventario, bodega o control de materiales;</w:t>
      </w:r>
    </w:p>
    <w:p>
      <w:pPr>
        <w:numPr>
          <w:ilvl w:val="0"/>
          <w:numId w:val="1010"/>
        </w:numPr>
        <w:pStyle w:val="Compact"/>
      </w:pPr>
      <w:r>
        <w:t xml:space="preserve">comercio minorista regulado;</w:t>
      </w:r>
    </w:p>
    <w:p>
      <w:pPr>
        <w:numPr>
          <w:ilvl w:val="0"/>
          <w:numId w:val="1010"/>
        </w:numPr>
        <w:pStyle w:val="Compact"/>
      </w:pPr>
      <w:r>
        <w:t xml:space="preserve">atención al cliente;</w:t>
      </w:r>
    </w:p>
    <w:p>
      <w:pPr>
        <w:numPr>
          <w:ilvl w:val="0"/>
          <w:numId w:val="1010"/>
        </w:numPr>
        <w:pStyle w:val="Compact"/>
      </w:pPr>
      <w:r>
        <w:t xml:space="preserve">seguros o procesamiento de reclamaciones;</w:t>
      </w:r>
    </w:p>
    <w:p>
      <w:pPr>
        <w:numPr>
          <w:ilvl w:val="0"/>
          <w:numId w:val="1010"/>
        </w:numPr>
        <w:pStyle w:val="Compact"/>
      </w:pPr>
      <w:r>
        <w:t xml:space="preserve">apoyo de laboratorio o clínico;</w:t>
      </w:r>
    </w:p>
    <w:p>
      <w:pPr>
        <w:numPr>
          <w:ilvl w:val="0"/>
          <w:numId w:val="1010"/>
        </w:numPr>
        <w:pStyle w:val="Compact"/>
      </w:pPr>
      <w:r>
        <w:t xml:space="preserve">suministro hospitalario o apoyo en procesamiento estéril;</w:t>
      </w:r>
    </w:p>
    <w:p>
      <w:pPr>
        <w:numPr>
          <w:ilvl w:val="0"/>
          <w:numId w:val="1010"/>
        </w:numPr>
        <w:pStyle w:val="Compact"/>
      </w:pPr>
      <w:r>
        <w:t xml:space="preserve">trabajo de ingreso de datos que exige gran exactitud; u</w:t>
      </w:r>
    </w:p>
    <w:p>
      <w:pPr>
        <w:numPr>
          <w:ilvl w:val="0"/>
          <w:numId w:val="1010"/>
        </w:numPr>
        <w:pStyle w:val="Compact"/>
      </w:pPr>
      <w:r>
        <w:t xml:space="preserve">otros roles que involucren privacidad, trazas de auditoría, inventario controlado o procedimientos de escalamiento.</w:t>
      </w:r>
    </w:p>
    <w:p>
      <w:pPr>
        <w:pStyle w:val="FirstParagraph"/>
      </w:pPr>
      <w:r>
        <w:t xml:space="preserve">Describa lo que realmente hizo. No afirme procesamiento de recetas, preparación magistral, técnica estéril, administración de vacunas, acceso a sustancias controladas, certificación, registro o experiencia con sistemas de farmacia salvo que sea verdadero y comprobable.</w:t>
      </w:r>
    </w:p>
    <w:bookmarkEnd w:id="51"/>
    <w:bookmarkStart w:id="52" w:name="avance-profesional"/>
    <w:p>
      <w:pPr>
        <w:pStyle w:val="Heading2"/>
      </w:pPr>
      <w:r>
        <w:t xml:space="preserve">Avance profesional</w:t>
      </w:r>
    </w:p>
    <w:p>
      <w:pPr>
        <w:pStyle w:val="FirstParagraph"/>
      </w:pPr>
      <w:r>
        <w:t xml:space="preserve">Con formación, experiencia y autorización adicionales, los técnicos en farmacia pueden avanzar a técnico sénior, técnico líder, historial de medicamentos, farmacia especializada, automatización, inventario, compras, farmacia hospitalaria, preparación estéril, medicamentos peligrosos, farmacia nuclear, capacitación, calidad o supervisión.</w:t>
      </w:r>
    </w:p>
    <w:p>
      <w:pPr>
        <w:pStyle w:val="BodyText"/>
      </w:pPr>
      <w:r>
        <w:t xml:space="preserve">Los roles avanzados pueden requerir certificación adicional, calificación del empleador, aprobación regulatoria, formación especializada, competencia en salas limpias, controles para medicamentos peligrosos u otros requisitos. Verifique la función exacta antes de pagar por capacitación.</w:t>
      </w:r>
    </w:p>
    <w:bookmarkEnd w:id="52"/>
    <w:bookmarkStart w:id="53" w:name="Xadaf4c55f2a05228f0e7a57a6c8a13ef2ae3237"/>
    <w:p>
      <w:pPr>
        <w:pStyle w:val="Heading2"/>
      </w:pPr>
      <w:r>
        <w:t xml:space="preserve">Evitar estafas y ofertas de formación débiles</w:t>
      </w:r>
    </w:p>
    <w:p>
      <w:pPr>
        <w:pStyle w:val="FirstParagraph"/>
      </w:pPr>
      <w:r>
        <w:t xml:space="preserve">Tenga precaución cuando una escuela, reclutador, empleador o vendedor de capacitación:</w:t>
      </w:r>
    </w:p>
    <w:p>
      <w:pPr>
        <w:numPr>
          <w:ilvl w:val="0"/>
          <w:numId w:val="1011"/>
        </w:numPr>
        <w:pStyle w:val="Compact"/>
      </w:pPr>
      <w:r>
        <w:t xml:space="preserve">garantice licencia, registro, certificación, empleo o un salario específico;</w:t>
      </w:r>
    </w:p>
    <w:p>
      <w:pPr>
        <w:numPr>
          <w:ilvl w:val="0"/>
          <w:numId w:val="1011"/>
        </w:numPr>
        <w:pStyle w:val="Compact"/>
      </w:pPr>
      <w:r>
        <w:t xml:space="preserve">afirme que una credencial privada es legalmente obligatoria en todas partes;</w:t>
      </w:r>
    </w:p>
    <w:p>
      <w:pPr>
        <w:numPr>
          <w:ilvl w:val="0"/>
          <w:numId w:val="1011"/>
        </w:numPr>
        <w:pStyle w:val="Compact"/>
      </w:pPr>
      <w:r>
        <w:t xml:space="preserve">oculte matrícula total, tarifas de exámenes, costos de verificación de antecedentes, condiciones de prácticas, reglas de reembolso o cargos de financiamiento;</w:t>
      </w:r>
    </w:p>
    <w:p>
      <w:pPr>
        <w:numPr>
          <w:ilvl w:val="0"/>
          <w:numId w:val="1011"/>
        </w:numPr>
        <w:pStyle w:val="Compact"/>
      </w:pPr>
      <w:r>
        <w:t xml:space="preserve">no pueda demostrar si el programa cumple los requisitos actuales del estado o provincia objetivo;</w:t>
      </w:r>
    </w:p>
    <w:p>
      <w:pPr>
        <w:numPr>
          <w:ilvl w:val="0"/>
          <w:numId w:val="1011"/>
        </w:numPr>
        <w:pStyle w:val="Compact"/>
      </w:pPr>
      <w:r>
        <w:t xml:space="preserve">prometa acceso a sistemas o medicamentos reales de farmacia sin supervisión apropiada;</w:t>
      </w:r>
    </w:p>
    <w:p>
      <w:pPr>
        <w:numPr>
          <w:ilvl w:val="0"/>
          <w:numId w:val="1011"/>
        </w:numPr>
        <w:pStyle w:val="Compact"/>
      </w:pPr>
      <w:r>
        <w:t xml:space="preserve">le pida pagar por una oferta de trabajo mediante tarjetas de regalo, criptomonedas, transferencia bancaria u otros métodos inusuales; o</w:t>
      </w:r>
    </w:p>
    <w:p>
      <w:pPr>
        <w:numPr>
          <w:ilvl w:val="0"/>
          <w:numId w:val="1011"/>
        </w:numPr>
        <w:pStyle w:val="Compact"/>
      </w:pPr>
      <w:r>
        <w:t xml:space="preserve">solicite información sensible de identidad, recetas o banca antes de que usted haya verificado la organización.</w:t>
      </w:r>
    </w:p>
    <w:p>
      <w:pPr>
        <w:pStyle w:val="FirstParagraph"/>
      </w:pPr>
      <w:r>
        <w:t xml:space="preserve">Verifique requisitos mediante el regulador, agencia pública de fuerza laboral, fuentes de aprobación/acreditación educativa cuando corresponda y empleadores reales.</w:t>
      </w:r>
    </w:p>
    <w:bookmarkEnd w:id="53"/>
    <w:bookmarkStart w:id="54" w:name="cuándo-detenerse-antes-de-gastar-dinero"/>
    <w:p>
      <w:pPr>
        <w:pStyle w:val="Heading2"/>
      </w:pPr>
      <w:r>
        <w:t xml:space="preserve">Cuándo detenerse antes de gastar dinero</w:t>
      </w:r>
    </w:p>
    <w:p>
      <w:pPr>
        <w:pStyle w:val="FirstParagraph"/>
      </w:pPr>
      <w:r>
        <w:t xml:space="preserve">Pause o retrase la matrícula cuando:</w:t>
      </w:r>
    </w:p>
    <w:p>
      <w:pPr>
        <w:numPr>
          <w:ilvl w:val="0"/>
          <w:numId w:val="1012"/>
        </w:numPr>
        <w:pStyle w:val="Compact"/>
      </w:pPr>
      <w:r>
        <w:t xml:space="preserve">no haya verificado los requisitos de registro o licencia de su jurisdicción objetivo;</w:t>
      </w:r>
    </w:p>
    <w:p>
      <w:pPr>
        <w:numPr>
          <w:ilvl w:val="0"/>
          <w:numId w:val="1012"/>
        </w:numPr>
        <w:pStyle w:val="Compact"/>
      </w:pPr>
      <w:r>
        <w:t xml:space="preserve">los empleadores locales no pidan la credencial que considera;</w:t>
      </w:r>
    </w:p>
    <w:p>
      <w:pPr>
        <w:numPr>
          <w:ilvl w:val="0"/>
          <w:numId w:val="1012"/>
        </w:numPr>
        <w:pStyle w:val="Compact"/>
      </w:pPr>
      <w:r>
        <w:t xml:space="preserve">el programa no pueda explicar elegibilidad para exámenes o requisitos de práctica supervisada;</w:t>
      </w:r>
    </w:p>
    <w:p>
      <w:pPr>
        <w:numPr>
          <w:ilvl w:val="0"/>
          <w:numId w:val="1012"/>
        </w:numPr>
        <w:pStyle w:val="Compact"/>
      </w:pPr>
      <w:r>
        <w:t xml:space="preserve">el proveedor no entregue por escrito el costo total y reglas de reembolso;</w:t>
      </w:r>
    </w:p>
    <w:p>
      <w:pPr>
        <w:numPr>
          <w:ilvl w:val="0"/>
          <w:numId w:val="1012"/>
        </w:numPr>
        <w:pStyle w:val="Compact"/>
      </w:pPr>
      <w:r>
        <w:t xml:space="preserve">capacitación pública o pagada por empleadores pueda cubrir la misma ruta;</w:t>
      </w:r>
    </w:p>
    <w:p>
      <w:pPr>
        <w:numPr>
          <w:ilvl w:val="0"/>
          <w:numId w:val="1012"/>
        </w:numPr>
        <w:pStyle w:val="Compact"/>
      </w:pPr>
      <w:r>
        <w:t xml:space="preserve">no pueda verificarse el reconocimiento de la escuela o programa; o</w:t>
      </w:r>
    </w:p>
    <w:p>
      <w:pPr>
        <w:numPr>
          <w:ilvl w:val="0"/>
          <w:numId w:val="1012"/>
        </w:numPr>
        <w:pStyle w:val="Compact"/>
      </w:pPr>
      <w:r>
        <w:t xml:space="preserve">el financiamiento crearía una deuda que no puede pagar cómodamente.</w:t>
      </w:r>
    </w:p>
    <w:bookmarkEnd w:id="54"/>
    <w:bookmarkStart w:id="74" w:name="fuentes-actuales"/>
    <w:p>
      <w:pPr>
        <w:pStyle w:val="Heading2"/>
      </w:pPr>
      <w:r>
        <w:t xml:space="preserve">Fuentes actuales</w:t>
      </w:r>
    </w:p>
    <w:p>
      <w:pPr>
        <w:pStyle w:val="FirstParagraph"/>
      </w:pPr>
      <w:r>
        <w:t xml:space="preserve">Fuentes oficiales/públicas:</w:t>
      </w:r>
    </w:p>
    <w:p>
      <w:pPr>
        <w:numPr>
          <w:ilvl w:val="0"/>
          <w:numId w:val="1013"/>
        </w:numPr>
        <w:pStyle w:val="Compact"/>
      </w:pPr>
      <w:r>
        <w:t xml:space="preserve">O*NET OnLine — Pharmacy Technicians:</w:t>
      </w:r>
      <w:r>
        <w:t xml:space="preserve"> </w:t>
      </w:r>
      <w:hyperlink r:id="rId55">
        <w:r>
          <w:rPr>
            <w:rStyle w:val="Hyperlink"/>
          </w:rPr>
          <w:t xml:space="preserve">https://www.onetonline.org/link/summary/29-2052.00</w:t>
        </w:r>
      </w:hyperlink>
    </w:p>
    <w:p>
      <w:pPr>
        <w:numPr>
          <w:ilvl w:val="0"/>
          <w:numId w:val="1013"/>
        </w:numPr>
        <w:pStyle w:val="Compact"/>
      </w:pPr>
      <w:r>
        <w:t xml:space="preserve">O*NET/BLS national wages:</w:t>
      </w:r>
      <w:r>
        <w:t xml:space="preserve"> </w:t>
      </w:r>
      <w:hyperlink r:id="rId56">
        <w:r>
          <w:rPr>
            <w:rStyle w:val="Hyperlink"/>
          </w:rPr>
          <w:t xml:space="preserve">https://www.onetonline.org/link/localwages/29-2052.00</w:t>
        </w:r>
      </w:hyperlink>
    </w:p>
    <w:p>
      <w:pPr>
        <w:numPr>
          <w:ilvl w:val="0"/>
          <w:numId w:val="1013"/>
        </w:numPr>
        <w:pStyle w:val="Compact"/>
      </w:pPr>
      <w:r>
        <w:t xml:space="preserve">O*NET/BLS employment trends:</w:t>
      </w:r>
      <w:r>
        <w:t xml:space="preserve"> </w:t>
      </w:r>
      <w:hyperlink r:id="rId57">
        <w:r>
          <w:rPr>
            <w:rStyle w:val="Hyperlink"/>
          </w:rPr>
          <w:t xml:space="preserve">https://www.onetonline.org/link/localtrends/29-2052.00</w:t>
        </w:r>
      </w:hyperlink>
    </w:p>
    <w:p>
      <w:pPr>
        <w:numPr>
          <w:ilvl w:val="0"/>
          <w:numId w:val="1013"/>
        </w:numPr>
        <w:pStyle w:val="Compact"/>
      </w:pPr>
      <w:r>
        <w:t xml:space="preserve">U.S. Bureau of Labor Statistics — Pharmacy Technicians:</w:t>
      </w:r>
      <w:r>
        <w:t xml:space="preserve"> </w:t>
      </w:r>
      <w:hyperlink r:id="rId58">
        <w:r>
          <w:rPr>
            <w:rStyle w:val="Hyperlink"/>
          </w:rPr>
          <w:t xml:space="preserve">https://www.bls.gov/ooh/healthcare/pharmacy-technicians.htm</w:t>
        </w:r>
      </w:hyperlink>
    </w:p>
    <w:p>
      <w:pPr>
        <w:numPr>
          <w:ilvl w:val="0"/>
          <w:numId w:val="1013"/>
        </w:numPr>
        <w:pStyle w:val="Compact"/>
      </w:pPr>
      <w:r>
        <w:t xml:space="preserve">CareerOneStop licensing locator:</w:t>
      </w:r>
      <w:r>
        <w:t xml:space="preserve"> </w:t>
      </w:r>
      <w:hyperlink r:id="rId59">
        <w:r>
          <w:rPr>
            <w:rStyle w:val="Hyperlink"/>
          </w:rPr>
          <w:t xml:space="preserve">https://www.careeronestop.org/Toolkit/Training/find-licenses.aspx</w:t>
        </w:r>
      </w:hyperlink>
    </w:p>
    <w:p>
      <w:pPr>
        <w:numPr>
          <w:ilvl w:val="0"/>
          <w:numId w:val="1013"/>
        </w:numPr>
        <w:pStyle w:val="Compact"/>
      </w:pPr>
      <w:r>
        <w:t xml:space="preserve">CareerOneStop certification locator:</w:t>
      </w:r>
      <w:r>
        <w:t xml:space="preserve"> </w:t>
      </w:r>
      <w:hyperlink r:id="rId60">
        <w:r>
          <w:rPr>
            <w:rStyle w:val="Hyperlink"/>
          </w:rPr>
          <w:t xml:space="preserve">https://www.careeronestop.org/Toolkit/Training/find-certifications.aspx</w:t>
        </w:r>
      </w:hyperlink>
    </w:p>
    <w:p>
      <w:pPr>
        <w:numPr>
          <w:ilvl w:val="0"/>
          <w:numId w:val="1013"/>
        </w:numPr>
        <w:pStyle w:val="Compact"/>
      </w:pPr>
      <w:r>
        <w:t xml:space="preserve">Apprenticeship.gov — Career Seekers:</w:t>
      </w:r>
      <w:r>
        <w:t xml:space="preserve"> </w:t>
      </w:r>
      <w:hyperlink r:id="rId61">
        <w:r>
          <w:rPr>
            <w:rStyle w:val="Hyperlink"/>
          </w:rPr>
          <w:t xml:space="preserve">https://www.apprenticeship.gov/career-seekers</w:t>
        </w:r>
      </w:hyperlink>
    </w:p>
    <w:p>
      <w:pPr>
        <w:numPr>
          <w:ilvl w:val="0"/>
          <w:numId w:val="1013"/>
        </w:numPr>
        <w:pStyle w:val="Compact"/>
      </w:pPr>
      <w:r>
        <w:t xml:space="preserve">CareerOneStop WIOA training finder:</w:t>
      </w:r>
      <w:r>
        <w:t xml:space="preserve"> </w:t>
      </w:r>
      <w:hyperlink r:id="rId62">
        <w:r>
          <w:rPr>
            <w:rStyle w:val="Hyperlink"/>
          </w:rPr>
          <w:t xml:space="preserve">https://www.careeronestop.org/LocalHelp/EmploymentAndTraining/find-WIOA-training-programs.aspx</w:t>
        </w:r>
      </w:hyperlink>
    </w:p>
    <w:p>
      <w:pPr>
        <w:numPr>
          <w:ilvl w:val="0"/>
          <w:numId w:val="1013"/>
        </w:numPr>
        <w:pStyle w:val="Compact"/>
      </w:pPr>
      <w:r>
        <w:t xml:space="preserve">Federal Student Aid FAFSA guidance:</w:t>
      </w:r>
      <w:r>
        <w:t xml:space="preserve"> </w:t>
      </w:r>
      <w:hyperlink r:id="rId63">
        <w:r>
          <w:rPr>
            <w:rStyle w:val="Hyperlink"/>
          </w:rPr>
          <w:t xml:space="preserve">https://studentaid.gov/articles/fafsa-student-steps/</w:t>
        </w:r>
      </w:hyperlink>
    </w:p>
    <w:p>
      <w:pPr>
        <w:numPr>
          <w:ilvl w:val="0"/>
          <w:numId w:val="1013"/>
        </w:numPr>
        <w:pStyle w:val="Compact"/>
      </w:pPr>
      <w:r>
        <w:t xml:space="preserve">Government of Canada Job Bank — Pharmacy Technician summary:</w:t>
      </w:r>
      <w:r>
        <w:t xml:space="preserve"> </w:t>
      </w:r>
      <w:hyperlink r:id="rId64">
        <w:r>
          <w:rPr>
            <w:rStyle w:val="Hyperlink"/>
          </w:rPr>
          <w:t xml:space="preserve">https://www.jobbank.gc.ca/marketreport/summary-occupation/25660/ca</w:t>
        </w:r>
      </w:hyperlink>
    </w:p>
    <w:p>
      <w:pPr>
        <w:numPr>
          <w:ilvl w:val="0"/>
          <w:numId w:val="1013"/>
        </w:numPr>
        <w:pStyle w:val="Compact"/>
      </w:pPr>
      <w:r>
        <w:t xml:space="preserve">Government of Canada Job Bank — requirements:</w:t>
      </w:r>
      <w:r>
        <w:t xml:space="preserve"> </w:t>
      </w:r>
      <w:hyperlink r:id="rId65">
        <w:r>
          <w:rPr>
            <w:rStyle w:val="Hyperlink"/>
          </w:rPr>
          <w:t xml:space="preserve">https://www.jobbank.gc.ca/marketreport/requirements/25660/ca</w:t>
        </w:r>
      </w:hyperlink>
    </w:p>
    <w:p>
      <w:pPr>
        <w:numPr>
          <w:ilvl w:val="0"/>
          <w:numId w:val="1013"/>
        </w:numPr>
        <w:pStyle w:val="Compact"/>
      </w:pPr>
      <w:r>
        <w:t xml:space="preserve">Government of Canada Job Bank — wages:</w:t>
      </w:r>
      <w:r>
        <w:t xml:space="preserve"> </w:t>
      </w:r>
      <w:hyperlink r:id="rId66">
        <w:r>
          <w:rPr>
            <w:rStyle w:val="Hyperlink"/>
          </w:rPr>
          <w:t xml:space="preserve">https://www.jobbank.gc.ca/marketreport/wages-occupation/25660/ca</w:t>
        </w:r>
      </w:hyperlink>
    </w:p>
    <w:p>
      <w:pPr>
        <w:numPr>
          <w:ilvl w:val="0"/>
          <w:numId w:val="1013"/>
        </w:numPr>
        <w:pStyle w:val="Compact"/>
      </w:pPr>
      <w:r>
        <w:t xml:space="preserve">Canada Student Grants and Loans:</w:t>
      </w:r>
      <w:r>
        <w:t xml:space="preserve"> </w:t>
      </w:r>
      <w:hyperlink r:id="rId67">
        <w:r>
          <w:rPr>
            <w:rStyle w:val="Hyperlink"/>
          </w:rPr>
          <w:t xml:space="preserve">https://www.canada.ca/en/services/benefits/education/student-aid/grants-loans.html</w:t>
        </w:r>
      </w:hyperlink>
    </w:p>
    <w:p>
      <w:pPr>
        <w:numPr>
          <w:ilvl w:val="0"/>
          <w:numId w:val="1013"/>
        </w:numPr>
        <w:pStyle w:val="Compact"/>
      </w:pPr>
      <w:r>
        <w:t xml:space="preserve">SENA Observatorio — Auxiliares en servicios farmacéuticos:</w:t>
      </w:r>
      <w:r>
        <w:t xml:space="preserve"> </w:t>
      </w:r>
      <w:hyperlink r:id="rId68">
        <w:r>
          <w:rPr>
            <w:rStyle w:val="Hyperlink"/>
          </w:rPr>
          <w:t xml:space="preserve">https://observatorio.sena.edu.co/Clasificacion/CnoDetalle?tags=3315</w:t>
        </w:r>
      </w:hyperlink>
    </w:p>
    <w:p>
      <w:pPr>
        <w:numPr>
          <w:ilvl w:val="0"/>
          <w:numId w:val="1013"/>
        </w:numPr>
        <w:pStyle w:val="Compact"/>
      </w:pPr>
      <w:r>
        <w:t xml:space="preserve">SENA Betowa — Servicios Farmacéuticos:</w:t>
      </w:r>
      <w:r>
        <w:t xml:space="preserve"> </w:t>
      </w:r>
      <w:hyperlink r:id="rId69">
        <w:r>
          <w:rPr>
            <w:rStyle w:val="Hyperlink"/>
          </w:rPr>
          <w:t xml:space="preserve">https://betowa.sena.edu.co/oferta/servicios-farmaceuticos?modality=P&amp;programId=99375</w:t>
        </w:r>
      </w:hyperlink>
    </w:p>
    <w:p>
      <w:pPr>
        <w:numPr>
          <w:ilvl w:val="0"/>
          <w:numId w:val="1013"/>
        </w:numPr>
        <w:pStyle w:val="Compact"/>
      </w:pPr>
      <w:r>
        <w:t xml:space="preserve">Colombia pharmaceutical-service regulatory compilation:</w:t>
      </w:r>
      <w:r>
        <w:t xml:space="preserve"> </w:t>
      </w:r>
      <w:hyperlink r:id="rId70">
        <w:r>
          <w:rPr>
            <w:rStyle w:val="Hyperlink"/>
          </w:rPr>
          <w:t xml:space="preserve">https://normograma.sena.edu.co/compilacion/docs/decreto_0780_2016_pr024.htm</w:t>
        </w:r>
      </w:hyperlink>
    </w:p>
    <w:p>
      <w:pPr>
        <w:numPr>
          <w:ilvl w:val="0"/>
          <w:numId w:val="1013"/>
        </w:numPr>
        <w:pStyle w:val="Compact"/>
      </w:pPr>
      <w:r>
        <w:t xml:space="preserve">OIT/Cinterfor:</w:t>
      </w:r>
      <w:r>
        <w:t xml:space="preserve"> </w:t>
      </w:r>
      <w:hyperlink r:id="rId71">
        <w:r>
          <w:rPr>
            <w:rStyle w:val="Hyperlink"/>
          </w:rPr>
          <w:t xml:space="preserve">https://www.oitcinterfor.org/</w:t>
        </w:r>
      </w:hyperlink>
    </w:p>
    <w:p>
      <w:pPr>
        <w:numPr>
          <w:ilvl w:val="0"/>
          <w:numId w:val="1013"/>
        </w:numPr>
        <w:pStyle w:val="Compact"/>
      </w:pPr>
      <w:r>
        <w:t xml:space="preserve">OIT/Cinterfor institutional network:</w:t>
      </w:r>
      <w:r>
        <w:t xml:space="preserve"> </w:t>
      </w:r>
      <w:hyperlink r:id="rId72">
        <w:r>
          <w:rPr>
            <w:rStyle w:val="Hyperlink"/>
          </w:rPr>
          <w:t xml:space="preserve">https://www.oitcinterfor.org/red-institucional</w:t>
        </w:r>
      </w:hyperlink>
    </w:p>
    <w:p>
      <w:pPr>
        <w:pStyle w:val="FirstParagraph"/>
      </w:pPr>
      <w:r>
        <w:t xml:space="preserve">Fuente salarial suplementaria no gubernamental:</w:t>
      </w:r>
    </w:p>
    <w:p>
      <w:pPr>
        <w:numPr>
          <w:ilvl w:val="0"/>
          <w:numId w:val="1014"/>
        </w:numPr>
        <w:pStyle w:val="Compact"/>
      </w:pPr>
      <w:r>
        <w:t xml:space="preserve">Indeed — Pharmacy Technician salary:</w:t>
      </w:r>
      <w:r>
        <w:t xml:space="preserve"> </w:t>
      </w:r>
      <w:hyperlink r:id="rId73">
        <w:r>
          <w:rPr>
            <w:rStyle w:val="Hyperlink"/>
          </w:rPr>
          <w:t xml:space="preserve">https://www.indeed.com/career/pharmacy-technician/salaries</w:t>
        </w:r>
      </w:hyperlink>
    </w:p>
    <w:bookmarkEnd w:id="74"/>
    <w:bookmarkStart w:id="75" w:name="nota-sobre-fuentes-y-revisión"/>
    <w:p>
      <w:pPr>
        <w:pStyle w:val="Heading2"/>
      </w:pPr>
      <w:r>
        <w:t xml:space="preserve">Nota sobre fuentes y revisión</w:t>
      </w:r>
    </w:p>
    <w:p>
      <w:pPr>
        <w:pStyle w:val="FirstParagraph"/>
      </w:pPr>
      <w:r>
        <w:t xml:space="preserve">Esta guía utiliza investigación de fuentes vigentes registrada el 18 de agosto de 2026. Salarios, registro, certificación, disponibilidad de formación, reglas de los reguladores, alcance de práctica, requisitos de supervisión, tecnología de farmacia, financiamiento y condiciones locales de contratación pueden cambiar. Revise nuevamente el regulador vigente, fuentes oficiales y vacantes locales antes de actuar.</w:t>
      </w:r>
    </w:p>
    <w:p>
      <w:pPr>
        <w:pStyle w:val="BodyText"/>
      </w:pPr>
      <w:r>
        <w:t xml:space="preserve">Esta revisión controlada fue producida con asistencia de IA y revisión auditable de fuentes.</w:t>
      </w:r>
      <w:r>
        <w:t xml:space="preserve"> </w:t>
      </w:r>
      <w:r>
        <w:rPr>
          <w:bCs/>
          <w:b/>
        </w:rPr>
        <w:t xml:space="preserve">No</w:t>
      </w:r>
      <w:r>
        <w:t xml:space="preserve"> </w:t>
      </w:r>
      <w:r>
        <w:t xml:space="preserve">afirma certificación humana independiente, revisión profesional farmacéutica o médica, revisión legal/regulatoria, traducción profesional certificada, certificación de accesibilidad, acreditación, garantía de licencia o registro, garantía de financiamiento, garantía de empleo ni garantía de ingresos.</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9" Target="https://betowa.sena.edu.co/oferta/servicios-farmaceuticos?modality=P&amp;programId=99375" TargetMode="External" /><Relationship Type="http://schemas.openxmlformats.org/officeDocument/2006/relationships/hyperlink" Id="rId70" Target="https://normograma.sena.edu.co/compilacion/docs/decreto_0780_2016_pr024.htm" TargetMode="External" /><Relationship Type="http://schemas.openxmlformats.org/officeDocument/2006/relationships/hyperlink" Id="rId68" Target="https://observatorio.sena.edu.co/Clasificacion/CnoDetalle?tags=3315" TargetMode="External" /><Relationship Type="http://schemas.openxmlformats.org/officeDocument/2006/relationships/hyperlink" Id="rId63" Target="https://studentaid.gov/articles/fafsa-student-steps/" TargetMode="External" /><Relationship Type="http://schemas.openxmlformats.org/officeDocument/2006/relationships/hyperlink" Id="rId61" Target="https://www.apprenticeship.gov/career-seekers" TargetMode="External" /><Relationship Type="http://schemas.openxmlformats.org/officeDocument/2006/relationships/hyperlink" Id="rId58" Target="https://www.bls.gov/ooh/healthcare/pharmacy-technicians.htm" TargetMode="External" /><Relationship Type="http://schemas.openxmlformats.org/officeDocument/2006/relationships/hyperlink" Id="rId67" Target="https://www.canada.ca/en/services/benefits/education/student-aid/grants-loans.html" TargetMode="External" /><Relationship Type="http://schemas.openxmlformats.org/officeDocument/2006/relationships/hyperlink" Id="rId62" Target="https://www.careeronestop.org/LocalHelp/EmploymentAndTraining/find-WIOA-training-programs.aspx" TargetMode="External" /><Relationship Type="http://schemas.openxmlformats.org/officeDocument/2006/relationships/hyperlink" Id="rId60" Target="https://www.careeronestop.org/Toolkit/Training/find-certifications.aspx" TargetMode="External" /><Relationship Type="http://schemas.openxmlformats.org/officeDocument/2006/relationships/hyperlink" Id="rId59" Target="https://www.careeronestop.org/Toolkit/Training/find-licenses.aspx" TargetMode="External" /><Relationship Type="http://schemas.openxmlformats.org/officeDocument/2006/relationships/hyperlink" Id="rId73" Target="https://www.indeed.com/career/pharmacy-technician/salaries" TargetMode="External" /><Relationship Type="http://schemas.openxmlformats.org/officeDocument/2006/relationships/hyperlink" Id="rId65" Target="https://www.jobbank.gc.ca/marketreport/requirements/25660/ca" TargetMode="External" /><Relationship Type="http://schemas.openxmlformats.org/officeDocument/2006/relationships/hyperlink" Id="rId64" Target="https://www.jobbank.gc.ca/marketreport/summary-occupation/25660/ca" TargetMode="External" /><Relationship Type="http://schemas.openxmlformats.org/officeDocument/2006/relationships/hyperlink" Id="rId66" Target="https://www.jobbank.gc.ca/marketreport/wages-occupation/25660/ca" TargetMode="External" /><Relationship Type="http://schemas.openxmlformats.org/officeDocument/2006/relationships/hyperlink" Id="rId71" Target="https://www.oitcinterfor.org/" TargetMode="External" /><Relationship Type="http://schemas.openxmlformats.org/officeDocument/2006/relationships/hyperlink" Id="rId72" Target="https://www.oitcinterfor.org/red-institucional" TargetMode="External" /><Relationship Type="http://schemas.openxmlformats.org/officeDocument/2006/relationships/hyperlink" Id="rId57" Target="https://www.onetonline.org/link/localtrends/29-2052.00" TargetMode="External" /><Relationship Type="http://schemas.openxmlformats.org/officeDocument/2006/relationships/hyperlink" Id="rId56" Target="https://www.onetonline.org/link/localwages/29-2052.00" TargetMode="External" /><Relationship Type="http://schemas.openxmlformats.org/officeDocument/2006/relationships/hyperlink" Id="rId55" Target="https://www.onetonline.org/link/summary/29-2052.00" TargetMode="External" /></Relationships>
</file>

<file path=word/_rels/footnotes.xml.rels><?xml version="1.0" encoding="UTF-8"?><Relationships xmlns="http://schemas.openxmlformats.org/package/2006/relationships"><Relationship Type="http://schemas.openxmlformats.org/officeDocument/2006/relationships/hyperlink" Id="rId69" Target="https://betowa.sena.edu.co/oferta/servicios-farmaceuticos?modality=P&amp;programId=99375" TargetMode="External" /><Relationship Type="http://schemas.openxmlformats.org/officeDocument/2006/relationships/hyperlink" Id="rId70" Target="https://normograma.sena.edu.co/compilacion/docs/decreto_0780_2016_pr024.htm" TargetMode="External" /><Relationship Type="http://schemas.openxmlformats.org/officeDocument/2006/relationships/hyperlink" Id="rId68" Target="https://observatorio.sena.edu.co/Clasificacion/CnoDetalle?tags=3315" TargetMode="External" /><Relationship Type="http://schemas.openxmlformats.org/officeDocument/2006/relationships/hyperlink" Id="rId63" Target="https://studentaid.gov/articles/fafsa-student-steps/" TargetMode="External" /><Relationship Type="http://schemas.openxmlformats.org/officeDocument/2006/relationships/hyperlink" Id="rId61" Target="https://www.apprenticeship.gov/career-seekers" TargetMode="External" /><Relationship Type="http://schemas.openxmlformats.org/officeDocument/2006/relationships/hyperlink" Id="rId58" Target="https://www.bls.gov/ooh/healthcare/pharmacy-technicians.htm" TargetMode="External" /><Relationship Type="http://schemas.openxmlformats.org/officeDocument/2006/relationships/hyperlink" Id="rId67" Target="https://www.canada.ca/en/services/benefits/education/student-aid/grants-loans.html" TargetMode="External" /><Relationship Type="http://schemas.openxmlformats.org/officeDocument/2006/relationships/hyperlink" Id="rId62" Target="https://www.careeronestop.org/LocalHelp/EmploymentAndTraining/find-WIOA-training-programs.aspx" TargetMode="External" /><Relationship Type="http://schemas.openxmlformats.org/officeDocument/2006/relationships/hyperlink" Id="rId60" Target="https://www.careeronestop.org/Toolkit/Training/find-certifications.aspx" TargetMode="External" /><Relationship Type="http://schemas.openxmlformats.org/officeDocument/2006/relationships/hyperlink" Id="rId59" Target="https://www.careeronestop.org/Toolkit/Training/find-licenses.aspx" TargetMode="External" /><Relationship Type="http://schemas.openxmlformats.org/officeDocument/2006/relationships/hyperlink" Id="rId73" Target="https://www.indeed.com/career/pharmacy-technician/salaries" TargetMode="External" /><Relationship Type="http://schemas.openxmlformats.org/officeDocument/2006/relationships/hyperlink" Id="rId65" Target="https://www.jobbank.gc.ca/marketreport/requirements/25660/ca" TargetMode="External" /><Relationship Type="http://schemas.openxmlformats.org/officeDocument/2006/relationships/hyperlink" Id="rId64" Target="https://www.jobbank.gc.ca/marketreport/summary-occupation/25660/ca" TargetMode="External" /><Relationship Type="http://schemas.openxmlformats.org/officeDocument/2006/relationships/hyperlink" Id="rId66" Target="https://www.jobbank.gc.ca/marketreport/wages-occupation/25660/ca" TargetMode="External" /><Relationship Type="http://schemas.openxmlformats.org/officeDocument/2006/relationships/hyperlink" Id="rId71" Target="https://www.oitcinterfor.org/" TargetMode="External" /><Relationship Type="http://schemas.openxmlformats.org/officeDocument/2006/relationships/hyperlink" Id="rId72" Target="https://www.oitcinterfor.org/red-institucional" TargetMode="External" /><Relationship Type="http://schemas.openxmlformats.org/officeDocument/2006/relationships/hyperlink" Id="rId57" Target="https://www.onetonline.org/link/localtrends/29-2052.00" TargetMode="External" /><Relationship Type="http://schemas.openxmlformats.org/officeDocument/2006/relationships/hyperlink" Id="rId56" Target="https://www.onetonline.org/link/localwages/29-2052.00" TargetMode="External" /><Relationship Type="http://schemas.openxmlformats.org/officeDocument/2006/relationships/hyperlink" Id="rId55" Target="https://www.onetonline.org/link/summary/29-2052.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2026-08-19T03:59:29Z</dcterms:created>
  <dcterms:modified xsi:type="dcterms:W3CDTF">2026-08-19T03:59:29Z</dcterms:modified>
</cp:coreProperties>
</file>

<file path=docProps/custom.xml><?xml version="1.0" encoding="utf-8"?>
<Properties xmlns="http://schemas.openxmlformats.org/officeDocument/2006/custom-properties" xmlns:vt="http://schemas.openxmlformats.org/officeDocument/2006/docPropsVTypes"/>
</file>