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1" w:name="guía-49--asistente-dental"/>
    <w:p>
      <w:pPr>
        <w:pStyle w:val="Heading1"/>
      </w:pPr>
      <w:r>
        <w:t xml:space="preserve">Guía 49 — Asistente dental</w:t>
      </w:r>
    </w:p>
    <w:p>
      <w:pPr>
        <w:pStyle w:val="FirstParagraph"/>
      </w:pPr>
      <w:r>
        <w:rPr>
          <w:bCs/>
          <w:b/>
        </w:rPr>
        <w:t xml:space="preserve">Maestro de trabajo controlado en español latinoamericano neutro (es-419) — Versión 2.0</w:t>
      </w:r>
      <w:r>
        <w:br/>
      </w:r>
      <w:r>
        <w:rPr>
          <w:bCs/>
          <w:b/>
        </w:rPr>
        <w:t xml:space="preserve">Fecha de revisión:</w:t>
      </w:r>
      <w:r>
        <w:t xml:space="preserve"> </w:t>
      </w:r>
      <w:r>
        <w:t xml:space="preserve">19 de agosto de 2026</w:t>
      </w:r>
      <w:r>
        <w:br/>
      </w:r>
      <w:r>
        <w:rPr>
          <w:bCs/>
          <w:b/>
        </w:rPr>
        <w:t xml:space="preserve">Licencia:</w:t>
      </w:r>
      <w:r>
        <w:t xml:space="preserve"> </w:t>
      </w:r>
      <w:r>
        <w:t xml:space="preserve">CC BY-NC-SA 4.0</w:t>
      </w:r>
    </w:p>
    <w:bookmarkStart w:id="20" w:name="qué-es-este-trabajo"/>
    <w:p>
      <w:pPr>
        <w:pStyle w:val="Heading2"/>
      </w:pPr>
      <w:r>
        <w:t xml:space="preserve">Qué es este trabajo</w:t>
      </w:r>
    </w:p>
    <w:p>
      <w:pPr>
        <w:pStyle w:val="FirstParagraph"/>
      </w:pPr>
      <w:r>
        <w:t xml:space="preserve">Las personas asistentes dentales apoyan a odontólogos y equipos de salud oral con la preparación de pacientes, asistencia junto al sillón, preparación de instrumentos y salas, tareas de prevención de infecciones, registros, programación, suministros y otras labores clínicas o administrativas permitidas por la jurisdicción y el lugar de trabajo aplicables.</w:t>
      </w:r>
    </w:p>
    <w:p>
      <w:pPr>
        <w:pStyle w:val="BodyText"/>
      </w:pPr>
      <w:r>
        <w:t xml:space="preserve">En Estados Unidos, O*NET clasifica Dental Assistants como</w:t>
      </w:r>
      <w:r>
        <w:t xml:space="preserve"> </w:t>
      </w:r>
      <w:r>
        <w:rPr>
          <w:bCs/>
          <w:b/>
        </w:rPr>
        <w:t xml:space="preserve">31-9091.00</w:t>
      </w:r>
      <w:r>
        <w:t xml:space="preserve"> </w:t>
      </w:r>
      <w:r>
        <w:t xml:space="preserve">y describe la ocupación como la realización de funciones clínicas limitadas bajo la dirección de un dentista. El título del puesto por sí solo no determina el alcance legal. La ley estatal de práctica odontológica, las reglas de la junta dental, la educación, los requisitos de radiografía o funciones ampliadas, el estado de las credenciales, la delegación y supervisión del dentista y la política del empleador pueden modificar lo que una persona asistente dental puede realizar.</w:t>
      </w:r>
    </w:p>
    <w:p>
      <w:pPr>
        <w:pStyle w:val="BodyText"/>
      </w:pPr>
      <w:r>
        <w:t xml:space="preserve">Esta guía sirve para explorar y preparar una carrera. No es asesoramiento dental, médico, legal, de licencias, migratorio ni financiero. Antes de inscribirte en un programa, pagar un examen, tomar radiografías o realizar una tarea intraoral u otra actividad regulada, verifica los requisitos vigentes en el lugar donde piensas capacitarte y trabajar.</w:t>
      </w:r>
    </w:p>
    <w:bookmarkEnd w:id="20"/>
    <w:bookmarkStart w:id="21" w:name="qué-puedes-hacer"/>
    <w:p>
      <w:pPr>
        <w:pStyle w:val="Heading2"/>
      </w:pPr>
      <w:r>
        <w:t xml:space="preserve">Qué puedes hacer</w:t>
      </w:r>
    </w:p>
    <w:p>
      <w:pPr>
        <w:pStyle w:val="FirstParagraph"/>
      </w:pPr>
      <w:r>
        <w:t xml:space="preserve">Según la jurisdicción, el empleador, la educación, las credenciales, la delegación y la supervisión, las funciones pueden incluir:</w:t>
      </w:r>
    </w:p>
    <w:p>
      <w:pPr>
        <w:numPr>
          <w:ilvl w:val="0"/>
          <w:numId w:val="1001"/>
        </w:numPr>
        <w:pStyle w:val="Compact"/>
      </w:pPr>
      <w:r>
        <w:t xml:space="preserve">recibir a pacientes y prepararlos para el tratamiento;</w:t>
      </w:r>
    </w:p>
    <w:p>
      <w:pPr>
        <w:numPr>
          <w:ilvl w:val="0"/>
          <w:numId w:val="1001"/>
        </w:numPr>
        <w:pStyle w:val="Compact"/>
      </w:pPr>
      <w:r>
        <w:t xml:space="preserve">preparar salas de tratamiento, bandejas, materiales, instrumentos y equipos;</w:t>
      </w:r>
    </w:p>
    <w:p>
      <w:pPr>
        <w:numPr>
          <w:ilvl w:val="0"/>
          <w:numId w:val="1001"/>
        </w:numPr>
        <w:pStyle w:val="Compact"/>
      </w:pPr>
      <w:r>
        <w:t xml:space="preserve">asistir al dentista junto al sillón durante exámenes y procedimientos;</w:t>
      </w:r>
    </w:p>
    <w:p>
      <w:pPr>
        <w:numPr>
          <w:ilvl w:val="0"/>
          <w:numId w:val="1001"/>
        </w:numPr>
        <w:pStyle w:val="Compact"/>
      </w:pPr>
      <w:r>
        <w:t xml:space="preserve">pasar instrumentos y mantener organizado el campo de trabajo;</w:t>
      </w:r>
    </w:p>
    <w:p>
      <w:pPr>
        <w:numPr>
          <w:ilvl w:val="0"/>
          <w:numId w:val="1001"/>
        </w:numPr>
        <w:pStyle w:val="Compact"/>
      </w:pPr>
      <w:r>
        <w:t xml:space="preserve">limpiar, empacar, esterilizar, almacenar y controlar instrumentos según procedimientos aprobados;</w:t>
      </w:r>
    </w:p>
    <w:p>
      <w:pPr>
        <w:numPr>
          <w:ilvl w:val="0"/>
          <w:numId w:val="1001"/>
        </w:numPr>
        <w:pStyle w:val="Compact"/>
      </w:pPr>
      <w:r>
        <w:t xml:space="preserve">seguir procedimientos de higiene de manos, EPP, objetos cortopunzantes, control de exposiciones, limpieza ambiental y residuos;</w:t>
      </w:r>
    </w:p>
    <w:p>
      <w:pPr>
        <w:numPr>
          <w:ilvl w:val="0"/>
          <w:numId w:val="1001"/>
        </w:numPr>
        <w:pStyle w:val="Compact"/>
      </w:pPr>
      <w:r>
        <w:t xml:space="preserve">registrar información en expedientes aprobados conforme a las reglas del lugar de trabajo;</w:t>
      </w:r>
    </w:p>
    <w:p>
      <w:pPr>
        <w:numPr>
          <w:ilvl w:val="0"/>
          <w:numId w:val="1001"/>
        </w:numPr>
        <w:pStyle w:val="Compact"/>
      </w:pPr>
      <w:r>
        <w:t xml:space="preserve">programar citas y coordinar seguimiento rutinario;</w:t>
      </w:r>
    </w:p>
    <w:p>
      <w:pPr>
        <w:numPr>
          <w:ilvl w:val="0"/>
          <w:numId w:val="1001"/>
        </w:numPr>
        <w:pStyle w:val="Compact"/>
      </w:pPr>
      <w:r>
        <w:t xml:space="preserve">mantener inventario y solicitar suministros autorizados;</w:t>
      </w:r>
    </w:p>
    <w:p>
      <w:pPr>
        <w:numPr>
          <w:ilvl w:val="0"/>
          <w:numId w:val="1001"/>
        </w:numPr>
        <w:pStyle w:val="Compact"/>
      </w:pPr>
      <w:r>
        <w:t xml:space="preserve">procesar información rutinaria de seguros, facturación o administración;</w:t>
      </w:r>
    </w:p>
    <w:p>
      <w:pPr>
        <w:numPr>
          <w:ilvl w:val="0"/>
          <w:numId w:val="1001"/>
        </w:numPr>
        <w:pStyle w:val="Compact"/>
      </w:pPr>
      <w:r>
        <w:t xml:space="preserve">proporcionar información aprobada de higiene oral o posterior a la visita dentro del alcance autorizado; y</w:t>
      </w:r>
    </w:p>
    <w:p>
      <w:pPr>
        <w:numPr>
          <w:ilvl w:val="0"/>
          <w:numId w:val="1001"/>
        </w:numPr>
        <w:pStyle w:val="Compact"/>
      </w:pPr>
      <w:r>
        <w:t xml:space="preserve">escalar inquietudes clínicas, de seguridad, privacidad, equipos, control de infecciones o emergencias al profesional correspondiente.</w:t>
      </w:r>
    </w:p>
    <w:p>
      <w:pPr>
        <w:pStyle w:val="FirstParagraph"/>
      </w:pPr>
      <w:r>
        <w:t xml:space="preserve">Algunas jurisdicciones permiten que asistentes dentales debidamente capacitados tomen radiografías dentales o realicen determinadas funciones intraorales o ampliadas.</w:t>
      </w:r>
      <w:r>
        <w:t xml:space="preserve"> </w:t>
      </w:r>
      <w:r>
        <w:rPr>
          <w:bCs/>
          <w:b/>
        </w:rPr>
        <w:t xml:space="preserve">No supongas que un curso general de asistencia dental, una credencial nacional, una solicitud del empleador o la experiencia previa autorizan automáticamente una tarea.</w:t>
      </w:r>
      <w:r>
        <w:t xml:space="preserve"> </w:t>
      </w:r>
      <w:r>
        <w:t xml:space="preserve">Primero verifica los requisitos legales y laborales exactos.</w:t>
      </w:r>
    </w:p>
    <w:bookmarkEnd w:id="21"/>
    <w:bookmarkStart w:id="22" w:name="X29d30c38b8e062018e0ccc3f1fef2363c1104a2"/>
    <w:p>
      <w:pPr>
        <w:pStyle w:val="Heading2"/>
      </w:pPr>
      <w:r>
        <w:t xml:space="preserve">Lo que este trabajo no autoriza por sí solo</w:t>
      </w:r>
    </w:p>
    <w:p>
      <w:pPr>
        <w:pStyle w:val="FirstParagraph"/>
      </w:pPr>
      <w:r>
        <w:t xml:space="preserve">El título, diploma, certificado, registro o examen nacional de Asistente Dental no convierte por sí solo a una persona en dentista, higienista dental, terapeuta dental, tecnólogo dental, técnico de laboratorio dental, médico, enfermero u otro profesional clínico con licencia independiente.</w:t>
      </w:r>
    </w:p>
    <w:p>
      <w:pPr>
        <w:pStyle w:val="BodyText"/>
      </w:pPr>
      <w:r>
        <w:t xml:space="preserve">Salvo que exista una licencia separada y autorización legal, no debes realizar de manera independiente:</w:t>
      </w:r>
    </w:p>
    <w:p>
      <w:pPr>
        <w:numPr>
          <w:ilvl w:val="0"/>
          <w:numId w:val="1002"/>
        </w:numPr>
        <w:pStyle w:val="Compact"/>
      </w:pPr>
      <w:r>
        <w:t xml:space="preserve">diagnóstico de enfermedades dentales u orales;</w:t>
      </w:r>
    </w:p>
    <w:p>
      <w:pPr>
        <w:numPr>
          <w:ilvl w:val="0"/>
          <w:numId w:val="1002"/>
        </w:numPr>
        <w:pStyle w:val="Compact"/>
      </w:pPr>
      <w:r>
        <w:t xml:space="preserve">interpretación de radiografías para diagnóstico o decisiones de tratamiento;</w:t>
      </w:r>
    </w:p>
    <w:p>
      <w:pPr>
        <w:numPr>
          <w:ilvl w:val="0"/>
          <w:numId w:val="1002"/>
        </w:numPr>
        <w:pStyle w:val="Compact"/>
      </w:pPr>
      <w:r>
        <w:t xml:space="preserve">prescripción o modificación de medicamentos;</w:t>
      </w:r>
    </w:p>
    <w:p>
      <w:pPr>
        <w:numPr>
          <w:ilvl w:val="0"/>
          <w:numId w:val="1002"/>
        </w:numPr>
        <w:pStyle w:val="Compact"/>
      </w:pPr>
      <w:r>
        <w:t xml:space="preserve">determinación o cambio de un plan de tratamiento;</w:t>
      </w:r>
    </w:p>
    <w:p>
      <w:pPr>
        <w:numPr>
          <w:ilvl w:val="0"/>
          <w:numId w:val="1002"/>
        </w:numPr>
        <w:pStyle w:val="Compact"/>
      </w:pPr>
      <w:r>
        <w:t xml:space="preserve">procedimientos irreversibles reservados a otro profesional;</w:t>
      </w:r>
    </w:p>
    <w:p>
      <w:pPr>
        <w:numPr>
          <w:ilvl w:val="0"/>
          <w:numId w:val="1002"/>
        </w:numPr>
        <w:pStyle w:val="Compact"/>
      </w:pPr>
      <w:r>
        <w:t xml:space="preserve">administración de anestesia u otro tratamiento restringido, salvo que la jurisdicción lo autorice expresamente y se cumplan todos los requisitos de capacitación, credenciales, supervisión y empleador;</w:t>
      </w:r>
    </w:p>
    <w:p>
      <w:pPr>
        <w:numPr>
          <w:ilvl w:val="0"/>
          <w:numId w:val="1002"/>
        </w:numPr>
        <w:pStyle w:val="Compact"/>
      </w:pPr>
      <w:r>
        <w:t xml:space="preserve">representación de que posees una licencia o título profesional que realmente no tienes; ni</w:t>
      </w:r>
    </w:p>
    <w:p>
      <w:pPr>
        <w:numPr>
          <w:ilvl w:val="0"/>
          <w:numId w:val="1002"/>
        </w:numPr>
        <w:pStyle w:val="Compact"/>
      </w:pPr>
      <w:r>
        <w:t xml:space="preserve">sustitución del criterio o supervisión legalmente exigidos del dentista por resultados de IA, un certificado de capacitación o una solicitud del empleador.</w:t>
      </w:r>
    </w:p>
    <w:p>
      <w:pPr>
        <w:pStyle w:val="FirstParagraph"/>
      </w:pPr>
      <w:r>
        <w:t xml:space="preserve">Si un paciente parece médica u odontológicamente inestable, presenta una reacción inesperada o informa un síntoma grave, sigue el procedimiento de emergencia y escalamiento del consultorio en lugar de actuar fuera de tu función.</w:t>
      </w:r>
    </w:p>
    <w:bookmarkEnd w:id="22"/>
    <w:bookmarkStart w:id="24" w:name="X41bcb31ea1d5cd9d27309f361c729028bc9e6fa"/>
    <w:p>
      <w:pPr>
        <w:pStyle w:val="Heading2"/>
      </w:pPr>
      <w:r>
        <w:t xml:space="preserve">Las reglas estatales y jurisdiccionales tienen prioridad</w:t>
      </w:r>
    </w:p>
    <w:p>
      <w:pPr>
        <w:pStyle w:val="FirstParagraph"/>
      </w:pPr>
      <w:r>
        <w:t xml:space="preserve">La asistencia dental depende en gran medida de la jurisdicción. En Estados Unidos, la Oficina de Estadísticas Laborales indica que</w:t>
      </w:r>
      <w:r>
        <w:t xml:space="preserve"> </w:t>
      </w:r>
      <w:r>
        <w:rPr>
          <w:bCs/>
          <w:b/>
        </w:rPr>
        <w:t xml:space="preserve">cada estado regula el alcance de práctica de los asistentes dentales</w:t>
      </w:r>
      <w:r>
        <w:t xml:space="preserve">. Los requisitos pueden variar para trabajo de nivel inicial, radiografía, pulido coronal, selladores, impresiones, agentes tópicos, funciones ampliadas, registro, certificación y supervisión.</w:t>
      </w:r>
    </w:p>
    <w:p>
      <w:pPr>
        <w:pStyle w:val="BodyText"/>
      </w:pPr>
      <w:r>
        <w:t xml:space="preserve">Usa como fuente principal la junta dental estatal que tenga autoridad legal, la ley de práctica odontológica y sus reglamentos administrativos. DANB ofrece un localizador útil de requisitos estatales, pero una credencial nacional o una publicación de DANB no sustituye la ley estatal ni otorga automáticamente el mismo alcance en todos los estados.</w:t>
      </w:r>
    </w:p>
    <w:p>
      <w:pPr>
        <w:pStyle w:val="BodyText"/>
      </w:pPr>
      <w:r>
        <w:t xml:space="preserve">Localizador de requisitos estatales:</w:t>
      </w:r>
      <w:r>
        <w:t xml:space="preserve"> </w:t>
      </w:r>
      <w:hyperlink r:id="rId23">
        <w:r>
          <w:rPr>
            <w:rStyle w:val="Hyperlink"/>
          </w:rPr>
          <w:t xml:space="preserve">https://www.danb.org/state-requirements/state-publications-and-services</w:t>
        </w:r>
      </w:hyperlink>
    </w:p>
    <w:bookmarkEnd w:id="24"/>
    <w:bookmarkStart w:id="25" w:name="X449254d115ab87050e8fe9a3dbecb2eae8ad3af"/>
    <w:p>
      <w:pPr>
        <w:pStyle w:val="Heading2"/>
      </w:pPr>
      <w:r>
        <w:t xml:space="preserve">La radiografía dental requiere verificación específica</w:t>
      </w:r>
    </w:p>
    <w:p>
      <w:pPr>
        <w:pStyle w:val="FirstParagraph"/>
      </w:pPr>
      <w:r>
        <w:t xml:space="preserve">O*NET incluye la toma de radiografías dentales diagnósticas entre los ejemplos de tareas de asistentes dentales, pero esto no constituye una autorización nacional. Antes de operar equipos radiográficos o posicionar a un paciente para una exposición, verifica:</w:t>
      </w:r>
    </w:p>
    <w:p>
      <w:pPr>
        <w:numPr>
          <w:ilvl w:val="0"/>
          <w:numId w:val="1003"/>
        </w:numPr>
        <w:pStyle w:val="Compact"/>
      </w:pPr>
      <w:r>
        <w:t xml:space="preserve">si el estado, provincia o país permite que un asistente dental tome radiografías;</w:t>
      </w:r>
    </w:p>
    <w:p>
      <w:pPr>
        <w:numPr>
          <w:ilvl w:val="0"/>
          <w:numId w:val="1003"/>
        </w:numPr>
        <w:pStyle w:val="Compact"/>
      </w:pPr>
      <w:r>
        <w:t xml:space="preserve">la educación, examen, registro, permiso o credencial requerida;</w:t>
      </w:r>
    </w:p>
    <w:p>
      <w:pPr>
        <w:numPr>
          <w:ilvl w:val="0"/>
          <w:numId w:val="1003"/>
        </w:numPr>
        <w:pStyle w:val="Compact"/>
      </w:pPr>
      <w:r>
        <w:t xml:space="preserve">los requisitos de supervisión;</w:t>
      </w:r>
    </w:p>
    <w:p>
      <w:pPr>
        <w:numPr>
          <w:ilvl w:val="0"/>
          <w:numId w:val="1003"/>
        </w:numPr>
        <w:pStyle w:val="Compact"/>
      </w:pPr>
      <w:r>
        <w:t xml:space="preserve">la capacitación en equipos y seguridad radiológica;</w:t>
      </w:r>
    </w:p>
    <w:p>
      <w:pPr>
        <w:numPr>
          <w:ilvl w:val="0"/>
          <w:numId w:val="1003"/>
        </w:numPr>
        <w:pStyle w:val="Compact"/>
      </w:pPr>
      <w:r>
        <w:t xml:space="preserve">la validación de competencia por parte del empleador; y</w:t>
      </w:r>
    </w:p>
    <w:p>
      <w:pPr>
        <w:numPr>
          <w:ilvl w:val="0"/>
          <w:numId w:val="1003"/>
        </w:numPr>
        <w:pStyle w:val="Compact"/>
      </w:pPr>
      <w:r>
        <w:t xml:space="preserve">las reglas vigentes de renovación o educación continua, si existen.</w:t>
      </w:r>
    </w:p>
    <w:p>
      <w:pPr>
        <w:pStyle w:val="FirstParagraph"/>
      </w:pPr>
      <w:r>
        <w:t xml:space="preserve">No interpretes radiografías de manera independiente para diagnóstico. Sigue el flujo aprobado por el dentista para obtención de imágenes, problemas de calidad, repeticiones, documentación e interpretación clínica.</w:t>
      </w:r>
    </w:p>
    <w:bookmarkEnd w:id="25"/>
    <w:bookmarkStart w:id="29" w:name="X82a30b4c4b9147b4adefc964fe751448563ff1f"/>
    <w:p>
      <w:pPr>
        <w:pStyle w:val="Heading2"/>
      </w:pPr>
      <w:r>
        <w:t xml:space="preserve">Prevención de infecciones y reprocesamiento de instrumentos</w:t>
      </w:r>
    </w:p>
    <w:p>
      <w:pPr>
        <w:pStyle w:val="FirstParagraph"/>
      </w:pPr>
      <w:r>
        <w:t xml:space="preserve">Los asistentes dentales pueden tener una responsabilidad importante en la prevención de infecciones. Las orientaciones de los CDC para el personal de atención dental incluyen Precauciones Estándar como higiene de manos, EPP adecuado, higiene respiratoria, seguridad con objetos cortopunzantes, prácticas seguras de inyección, instrumentos y dispositivos estériles y limpieza y desinfección ambiental.</w:t>
      </w:r>
    </w:p>
    <w:p>
      <w:pPr>
        <w:pStyle w:val="BodyText"/>
      </w:pPr>
      <w:r>
        <w:t xml:space="preserve">El reprocesamiento de instrumentos es una secuencia controlada, no limpieza doméstica genérica. Sigue las instrucciones del fabricante del dispositivo y el proceso aprobado por el empleador para transporte seguro, limpieza, inspección, empaque, esterilización o procesamiento de alto nivel según corresponda, almacenamiento, monitoreo, documentación y respuesta ante un ciclo fallido o un paquete comprometido.</w:t>
      </w:r>
    </w:p>
    <w:p>
      <w:pPr>
        <w:pStyle w:val="BodyText"/>
      </w:pPr>
      <w:r>
        <w:t xml:space="preserve">Nunca omitas limpieza, empaque, monitoreo de esterilización, EPP o controles de exposición porque el consultorio esté ocupado. Nunca improvises un parámetro de esterilización ni una concentración química.</w:t>
      </w:r>
    </w:p>
    <w:p>
      <w:pPr>
        <w:pStyle w:val="BodyText"/>
      </w:pPr>
      <w:r>
        <w:t xml:space="preserve">Resumen de prevención de infecciones de los CDC:</w:t>
      </w:r>
      <w:r>
        <w:t xml:space="preserve"> </w:t>
      </w:r>
      <w:hyperlink r:id="rId26">
        <w:r>
          <w:rPr>
            <w:rStyle w:val="Hyperlink"/>
          </w:rPr>
          <w:t xml:space="preserve">https://www.cdc.gov/dental-infection-control/hcp/summary/</w:t>
        </w:r>
      </w:hyperlink>
      <w:r>
        <w:br/>
      </w:r>
      <w:r>
        <w:t xml:space="preserve">Precauciones Estándar de los CDC:</w:t>
      </w:r>
      <w:r>
        <w:t xml:space="preserve"> </w:t>
      </w:r>
      <w:hyperlink r:id="rId27">
        <w:r>
          <w:rPr>
            <w:rStyle w:val="Hyperlink"/>
          </w:rPr>
          <w:t xml:space="preserve">https://www.cdc.gov/dental-infection-control/hcp/summary/standard-precautions.html</w:t>
        </w:r>
      </w:hyperlink>
      <w:r>
        <w:br/>
      </w:r>
      <w:r>
        <w:t xml:space="preserve">Preguntas frecuentes de los CDC sobre esterilización:</w:t>
      </w:r>
      <w:r>
        <w:t xml:space="preserve"> </w:t>
      </w:r>
      <w:hyperlink r:id="rId28">
        <w:r>
          <w:rPr>
            <w:rStyle w:val="Hyperlink"/>
          </w:rPr>
          <w:t xml:space="preserve">https://www.cdc.gov/dental-infection-control/hcp/dental-ipc-faqs/dental-sterilization.html</w:t>
        </w:r>
      </w:hyperlink>
    </w:p>
    <w:bookmarkEnd w:id="29"/>
    <w:bookmarkStart w:id="32" w:name="X2060cc48433bd29d827ad662a5d6bb288b76f12"/>
    <w:p>
      <w:pPr>
        <w:pStyle w:val="Heading2"/>
      </w:pPr>
      <w:r>
        <w:t xml:space="preserve">Patógenos transmitidos por sangre, cortopunzantes y exposición ocupacional</w:t>
      </w:r>
    </w:p>
    <w:p>
      <w:pPr>
        <w:pStyle w:val="FirstParagraph"/>
      </w:pPr>
      <w:r>
        <w:t xml:space="preserve">El trabajo dental puede implicar sangre, saliva, objetos cortopunzantes, aerosoles, instrumentos contaminados, sustancias químicas y otros peligros. OSHA identifica la odontología como un entorno con posible exposición ocupacional a patógenos transmitidos por sangre. La saliva en procedimientos dentales se trata como material potencialmente infeccioso para efectos de la norma de Patógenos Transmitidos por Sangre.</w:t>
      </w:r>
    </w:p>
    <w:p>
      <w:pPr>
        <w:pStyle w:val="BodyText"/>
      </w:pPr>
      <w:r>
        <w:t xml:space="preserve">Sigue el plan de control de exposiciones del empleador, los requisitos de EPP, controles de ingeniería y prácticas de trabajo, procedimientos con cortopunzantes, requisitos de vacunación y capacitación, reporte posterior a la exposición y proceso de evaluación médica. Reporta con prontitud una punción, corte, salpicadura u otra exposición según la política, en lugar de tratar de manejarla de forma privada.</w:t>
      </w:r>
    </w:p>
    <w:p>
      <w:pPr>
        <w:pStyle w:val="BodyText"/>
      </w:pPr>
      <w:r>
        <w:t xml:space="preserve">OSHA sobre odontología:</w:t>
      </w:r>
      <w:r>
        <w:t xml:space="preserve"> </w:t>
      </w:r>
      <w:hyperlink r:id="rId30">
        <w:r>
          <w:rPr>
            <w:rStyle w:val="Hyperlink"/>
          </w:rPr>
          <w:t xml:space="preserve">https://www.osha.gov/dentistry</w:t>
        </w:r>
      </w:hyperlink>
      <w:r>
        <w:br/>
      </w:r>
      <w:r>
        <w:t xml:space="preserve">Protecciones de OSHA para trabajadores frente a patógenos transmitidos por sangre:</w:t>
      </w:r>
      <w:r>
        <w:t xml:space="preserve"> </w:t>
      </w:r>
      <w:hyperlink r:id="rId31">
        <w:r>
          <w:rPr>
            <w:rStyle w:val="Hyperlink"/>
          </w:rPr>
          <w:t xml:space="preserve">https://www.osha.gov/bloodborne-pathogens/worker-protections</w:t>
        </w:r>
      </w:hyperlink>
    </w:p>
    <w:bookmarkEnd w:id="32"/>
    <w:bookmarkStart w:id="33" w:name="entorno-de-trabajo-y-exigencias-físicas"/>
    <w:p>
      <w:pPr>
        <w:pStyle w:val="Heading2"/>
      </w:pPr>
      <w:r>
        <w:t xml:space="preserve">Entorno de trabajo y exigencias físicas</w:t>
      </w:r>
    </w:p>
    <w:p>
      <w:pPr>
        <w:pStyle w:val="FirstParagraph"/>
      </w:pPr>
      <w:r>
        <w:t xml:space="preserve">Los asistentes dentales suelen trabajar en consultorios odontológicos generales o especializados, clínicas, entornos de salud comunitaria, clínicas educativas, programas públicos y otros ambientes de salud oral. Los horarios pueden incluir tardes o fines de semana según el empleador.</w:t>
      </w:r>
    </w:p>
    <w:p>
      <w:pPr>
        <w:pStyle w:val="BodyText"/>
      </w:pPr>
      <w:r>
        <w:t xml:space="preserve">El trabajo puede implicar períodos prolongados sentado o de pie, movimientos repetitivos de las manos, trabajo visual cercano, uso de computadoras, manejo de instrumentos, flexión y posicionamiento alrededor del sillón dental, movimiento de suministros, comunicación con pacientes ansiosos, uso de EPP y exposición a sangre, saliva, aerosoles, cortopunzantes, desinfectantes, equipos de esterilización y sistemas radiográficos.</w:t>
      </w:r>
    </w:p>
    <w:p>
      <w:pPr>
        <w:pStyle w:val="BodyText"/>
      </w:pPr>
      <w:r>
        <w:t xml:space="preserve">Usa ergonomía segura, métodos aprobados de levantamiento y manipulación, protecciones de equipos y controles de exposición laboral. Solicita apoyos razonables de accesibilidad cuando corresponda, en lugar de ocultar una limitación que pueda afectar el trabajo seguro.</w:t>
      </w:r>
    </w:p>
    <w:bookmarkEnd w:id="33"/>
    <w:bookmarkStart w:id="34" w:name="habilidades-importantes"/>
    <w:p>
      <w:pPr>
        <w:pStyle w:val="Heading2"/>
      </w:pPr>
      <w:r>
        <w:t xml:space="preserve">Habilidades importantes</w:t>
      </w:r>
    </w:p>
    <w:p>
      <w:pPr>
        <w:pStyle w:val="FirstParagraph"/>
      </w:pPr>
      <w:r>
        <w:t xml:space="preserve">Los empleadores suelen valorar:</w:t>
      </w:r>
    </w:p>
    <w:p>
      <w:pPr>
        <w:numPr>
          <w:ilvl w:val="0"/>
          <w:numId w:val="1004"/>
        </w:numPr>
        <w:pStyle w:val="Compact"/>
      </w:pPr>
      <w:r>
        <w:t xml:space="preserve">comunicación tranquila y respetuosa con pacientes;</w:t>
      </w:r>
    </w:p>
    <w:p>
      <w:pPr>
        <w:numPr>
          <w:ilvl w:val="0"/>
          <w:numId w:val="1004"/>
        </w:numPr>
        <w:pStyle w:val="Compact"/>
      </w:pPr>
      <w:r>
        <w:t xml:space="preserve">atención al detalle;</w:t>
      </w:r>
    </w:p>
    <w:p>
      <w:pPr>
        <w:numPr>
          <w:ilvl w:val="0"/>
          <w:numId w:val="1004"/>
        </w:numPr>
        <w:pStyle w:val="Compact"/>
      </w:pPr>
      <w:r>
        <w:t xml:space="preserve">confidencialidad y discreción;</w:t>
      </w:r>
    </w:p>
    <w:p>
      <w:pPr>
        <w:numPr>
          <w:ilvl w:val="0"/>
          <w:numId w:val="1004"/>
        </w:numPr>
        <w:pStyle w:val="Compact"/>
      </w:pPr>
      <w:r>
        <w:t xml:space="preserve">registros y programación precisos;</w:t>
      </w:r>
    </w:p>
    <w:p>
      <w:pPr>
        <w:numPr>
          <w:ilvl w:val="0"/>
          <w:numId w:val="1004"/>
        </w:numPr>
        <w:pStyle w:val="Compact"/>
      </w:pPr>
      <w:r>
        <w:t xml:space="preserve">disciplina en prevención de infecciones;</w:t>
      </w:r>
    </w:p>
    <w:p>
      <w:pPr>
        <w:numPr>
          <w:ilvl w:val="0"/>
          <w:numId w:val="1004"/>
        </w:numPr>
        <w:pStyle w:val="Compact"/>
      </w:pPr>
      <w:r>
        <w:t xml:space="preserve">organización de instrumentos y materiales;</w:t>
      </w:r>
    </w:p>
    <w:p>
      <w:pPr>
        <w:numPr>
          <w:ilvl w:val="0"/>
          <w:numId w:val="1004"/>
        </w:numPr>
        <w:pStyle w:val="Compact"/>
      </w:pPr>
      <w:r>
        <w:t xml:space="preserve">capacidad para seguir instrucciones del dentista y procedimientos escritos;</w:t>
      </w:r>
    </w:p>
    <w:p>
      <w:pPr>
        <w:numPr>
          <w:ilvl w:val="0"/>
          <w:numId w:val="1004"/>
        </w:numPr>
        <w:pStyle w:val="Compact"/>
      </w:pPr>
      <w:r>
        <w:t xml:space="preserve">conciencia situacional durante el trabajo junto al sillón;</w:t>
      </w:r>
    </w:p>
    <w:p>
      <w:pPr>
        <w:numPr>
          <w:ilvl w:val="0"/>
          <w:numId w:val="1004"/>
        </w:numPr>
        <w:pStyle w:val="Compact"/>
      </w:pPr>
      <w:r>
        <w:t xml:space="preserve">trabajo en equipo con dentistas, higienistas, personal administrativo, laboratorios y otros profesionales;</w:t>
      </w:r>
    </w:p>
    <w:p>
      <w:pPr>
        <w:numPr>
          <w:ilvl w:val="0"/>
          <w:numId w:val="1004"/>
        </w:numPr>
        <w:pStyle w:val="Compact"/>
      </w:pPr>
      <w:r>
        <w:t xml:space="preserve">escalamiento confiable cuando una situación excede la autoridad;</w:t>
      </w:r>
    </w:p>
    <w:p>
      <w:pPr>
        <w:numPr>
          <w:ilvl w:val="0"/>
          <w:numId w:val="1004"/>
        </w:numPr>
        <w:pStyle w:val="Compact"/>
      </w:pPr>
      <w:r>
        <w:t xml:space="preserve">aritmética básica y control de inventario;</w:t>
      </w:r>
    </w:p>
    <w:p>
      <w:pPr>
        <w:numPr>
          <w:ilvl w:val="0"/>
          <w:numId w:val="1004"/>
        </w:numPr>
        <w:pStyle w:val="Compact"/>
      </w:pPr>
      <w:r>
        <w:t xml:space="preserve">comodidad con flujos de software de gestión de consultorio e imágenes; y</w:t>
      </w:r>
    </w:p>
    <w:p>
      <w:pPr>
        <w:numPr>
          <w:ilvl w:val="0"/>
          <w:numId w:val="1004"/>
        </w:numPr>
        <w:pStyle w:val="Compact"/>
      </w:pPr>
      <w:r>
        <w:t xml:space="preserve">disposición para aprender sistemas específicos del empleador sin exagerar competencias.</w:t>
      </w:r>
    </w:p>
    <w:p>
      <w:pPr>
        <w:pStyle w:val="FirstParagraph"/>
      </w:pPr>
      <w:r>
        <w:t xml:space="preserve">La capacidad bilingüe puede ser útil en muchos consultorios, pero no afirmes tener calificación profesional como intérprete de salud si no cuentas con la preparación requerida. Usa recursos de interpretación aprobados cuando una comunicación clínica precisa los requiera.</w:t>
      </w:r>
    </w:p>
    <w:bookmarkEnd w:id="34"/>
    <w:bookmarkStart w:id="36" w:name="X4acb682559aecf536fcdf673846927f2ec0646b"/>
    <w:p>
      <w:pPr>
        <w:pStyle w:val="Heading2"/>
      </w:pPr>
      <w:r>
        <w:t xml:space="preserve">Estados Unidos — educación y vías de ingreso</w:t>
      </w:r>
    </w:p>
    <w:p>
      <w:pPr>
        <w:pStyle w:val="FirstParagraph"/>
      </w:pPr>
      <w:r>
        <w:t xml:space="preserve">O*NET identifica Dental Assistants como</w:t>
      </w:r>
      <w:r>
        <w:t xml:space="preserve"> </w:t>
      </w:r>
      <w:r>
        <w:rPr>
          <w:bCs/>
          <w:b/>
        </w:rPr>
        <w:t xml:space="preserve">31-9091.00</w:t>
      </w:r>
      <w:r>
        <w:t xml:space="preserve">. BLS indica que las vías de ingreso varían por estado. Algunos estados exigen graduarse de un programa acreditado y aprobar un examen; otros no tienen requisito formal de educación para determinadas funciones iniciales y permiten capacitación en el trabajo. Muchos programas formales de asistencia dental duran aproximadamente un año y otorgan certificado o diploma, mientras que los programas de grado asociado de dos años son menos comunes.</w:t>
      </w:r>
    </w:p>
    <w:p>
      <w:pPr>
        <w:pStyle w:val="BodyText"/>
      </w:pPr>
      <w:r>
        <w:t xml:space="preserve">Una secuencia práctica de ingreso es:</w:t>
      </w:r>
    </w:p>
    <w:p>
      <w:pPr>
        <w:numPr>
          <w:ilvl w:val="0"/>
          <w:numId w:val="1005"/>
        </w:numPr>
        <w:pStyle w:val="Compact"/>
      </w:pPr>
      <w:r>
        <w:t xml:space="preserve">Revisar 15–20 vacantes locales actuales de asistente dental y anotar los requisitos que se repiten.</w:t>
      </w:r>
    </w:p>
    <w:p>
      <w:pPr>
        <w:numPr>
          <w:ilvl w:val="0"/>
          <w:numId w:val="1005"/>
        </w:numPr>
        <w:pStyle w:val="Compact"/>
      </w:pPr>
      <w:r>
        <w:t xml:space="preserve">Consultar en la junta dental estatal los niveles vigentes de asistencia dental, funciones permitidas, reglas de radiografía, supervisión y credenciales.</w:t>
      </w:r>
    </w:p>
    <w:p>
      <w:pPr>
        <w:numPr>
          <w:ilvl w:val="0"/>
          <w:numId w:val="1005"/>
        </w:numPr>
        <w:pStyle w:val="Compact"/>
      </w:pPr>
      <w:r>
        <w:t xml:space="preserve">Comparar opciones de colleges comunitarios públicos, escuelas técnicas, Registered Apprenticeship, capacitación financiada por fuerza laboral, empleadores y programas privados.</w:t>
      </w:r>
    </w:p>
    <w:p>
      <w:pPr>
        <w:numPr>
          <w:ilvl w:val="0"/>
          <w:numId w:val="1005"/>
        </w:numPr>
        <w:pStyle w:val="Compact"/>
      </w:pPr>
      <w:r>
        <w:t xml:space="preserve">Verificar matrícula, cuotas, libros, uniformes, EPP, instrumentos, CPR, verificaciones de antecedentes, inmunizaciones, prácticas clínicas, capacitación radiográfica, costos de examen, reembolsos y elegibilidad para credenciales.</w:t>
      </w:r>
    </w:p>
    <w:p>
      <w:pPr>
        <w:numPr>
          <w:ilvl w:val="0"/>
          <w:numId w:val="1005"/>
        </w:numPr>
        <w:pStyle w:val="Compact"/>
      </w:pPr>
      <w:r>
        <w:t xml:space="preserve">Preferir programas con práctica supervisada y alineación legal/de credenciales claramente documentada.</w:t>
      </w:r>
    </w:p>
    <w:p>
      <w:pPr>
        <w:numPr>
          <w:ilvl w:val="0"/>
          <w:numId w:val="1005"/>
        </w:numPr>
        <w:pStyle w:val="Compact"/>
      </w:pPr>
      <w:r>
        <w:t xml:space="preserve">Solicitar únicamente funciones compatibles con tu preparación y autorización vigentes.</w:t>
      </w:r>
    </w:p>
    <w:p>
      <w:pPr>
        <w:pStyle w:val="FirstParagraph"/>
      </w:pPr>
      <w:r>
        <w:t xml:space="preserve">Fuente BLS:</w:t>
      </w:r>
      <w:r>
        <w:t xml:space="preserve"> </w:t>
      </w:r>
      <w:hyperlink r:id="rId35">
        <w:r>
          <w:rPr>
            <w:rStyle w:val="Hyperlink"/>
          </w:rPr>
          <w:t xml:space="preserve">https://www.bls.gov/ooh/healthcare/dental-assistants.htm</w:t>
        </w:r>
      </w:hyperlink>
    </w:p>
    <w:bookmarkEnd w:id="36"/>
    <w:bookmarkStart w:id="38" w:name="Xcdb502a3fb238bdbd61b583ac21f134b4ffb701"/>
    <w:p>
      <w:pPr>
        <w:pStyle w:val="Heading2"/>
      </w:pPr>
      <w:r>
        <w:t xml:space="preserve">Estados Unidos — Registered Apprenticeship</w:t>
      </w:r>
    </w:p>
    <w:p>
      <w:pPr>
        <w:pStyle w:val="FirstParagraph"/>
      </w:pPr>
      <w:r>
        <w:t xml:space="preserve">Apprenticeship.gov incluye</w:t>
      </w:r>
      <w:r>
        <w:t xml:space="preserve"> </w:t>
      </w:r>
      <w:r>
        <w:rPr>
          <w:bCs/>
          <w:b/>
        </w:rPr>
        <w:t xml:space="preserve">Dental Assistant</w:t>
      </w:r>
      <w:r>
        <w:t xml:space="preserve"> </w:t>
      </w:r>
      <w:r>
        <w:t xml:space="preserve">entre las ocupaciones de Registered Apprenticeship de alta demanda en atención médica. Registered Apprenticeship puede combinar empleo remunerado, aprendizaje estructurado en el trabajo, instrucción relacionada, mentoría y desarrollo progresivo de habilidades.</w:t>
      </w:r>
    </w:p>
    <w:p>
      <w:pPr>
        <w:pStyle w:val="BodyText"/>
      </w:pPr>
      <w:r>
        <w:t xml:space="preserve">La disponibilidad depende del patrocinador y la ubicación. Que la ocupación figure a nivel nacional no significa que exista una vacante de aprendizaje en cada comunidad. Busca patrocinadores actuales y confirma el estado del programa antes de depender de esta vía de capacitación.</w:t>
      </w:r>
    </w:p>
    <w:p>
      <w:pPr>
        <w:pStyle w:val="BodyText"/>
      </w:pPr>
      <w:r>
        <w:t xml:space="preserve">Fuente:</w:t>
      </w:r>
      <w:r>
        <w:t xml:space="preserve"> </w:t>
      </w:r>
      <w:hyperlink r:id="rId37">
        <w:r>
          <w:rPr>
            <w:rStyle w:val="Hyperlink"/>
          </w:rPr>
          <w:t xml:space="preserve">https://www.apprenticeship.gov/apprenticeship-industries/healthcare</w:t>
        </w:r>
      </w:hyperlink>
    </w:p>
    <w:bookmarkEnd w:id="38"/>
    <w:bookmarkStart w:id="40" w:name="X19781fa427125a648e0d3ad1bb905d3db28558f"/>
    <w:p>
      <w:pPr>
        <w:pStyle w:val="Heading2"/>
      </w:pPr>
      <w:r>
        <w:t xml:space="preserve">Estados Unidos — WIOA y capacitación de menor costo</w:t>
      </w:r>
    </w:p>
    <w:p>
      <w:pPr>
        <w:pStyle w:val="FirstParagraph"/>
      </w:pPr>
      <w:r>
        <w:t xml:space="preserve">El localizador de programas elegibles para WIOA de CareerOneStop enlaza a directorios estatales de proveedores aprobados. Si pudieras reunir los requisitos de servicios de Workforce Innovation and Opportunity Act, comunícate con el American Job Center correspondiente y verifica tanto tu elegibilidad como el programa específico de asistencia dental antes de inscribirte.</w:t>
      </w:r>
    </w:p>
    <w:p>
      <w:pPr>
        <w:pStyle w:val="BodyText"/>
      </w:pPr>
      <w:r>
        <w:t xml:space="preserve">El apoyo de WIOA no es automático y no debe describirse como una subvención garantizada para educación de asistencia dental.</w:t>
      </w:r>
    </w:p>
    <w:p>
      <w:pPr>
        <w:pStyle w:val="BodyText"/>
      </w:pPr>
      <w:r>
        <w:t xml:space="preserve">Fuente:</w:t>
      </w:r>
      <w:r>
        <w:t xml:space="preserve"> </w:t>
      </w:r>
      <w:hyperlink r:id="rId39">
        <w:r>
          <w:rPr>
            <w:rStyle w:val="Hyperlink"/>
          </w:rPr>
          <w:t xml:space="preserve">https://www.careeronestop.org/LocalHelp/EmploymentAndTraining/find-WIOA-training-programs.aspx</w:t>
        </w:r>
      </w:hyperlink>
    </w:p>
    <w:bookmarkEnd w:id="40"/>
    <w:bookmarkStart w:id="41" w:name="Xf3b7fb4972125f34af467ee5ebdfe7d665cda4b"/>
    <w:p>
      <w:pPr>
        <w:pStyle w:val="Heading2"/>
      </w:pPr>
      <w:r>
        <w:t xml:space="preserve">Capacitación pagada por el empleador y apoyo para avanzar</w:t>
      </w:r>
    </w:p>
    <w:p>
      <w:pPr>
        <w:pStyle w:val="FirstParagraph"/>
      </w:pPr>
      <w:r>
        <w:t xml:space="preserve">Pregunta a empleadores odontológicos por:</w:t>
      </w:r>
    </w:p>
    <w:p>
      <w:pPr>
        <w:numPr>
          <w:ilvl w:val="0"/>
          <w:numId w:val="1006"/>
        </w:numPr>
        <w:pStyle w:val="Compact"/>
      </w:pPr>
      <w:r>
        <w:t xml:space="preserve">incorporación remunerada y capacitación supervisada junto al sillón;</w:t>
      </w:r>
    </w:p>
    <w:p>
      <w:pPr>
        <w:numPr>
          <w:ilvl w:val="0"/>
          <w:numId w:val="1006"/>
        </w:numPr>
        <w:pStyle w:val="Compact"/>
      </w:pPr>
      <w:r>
        <w:t xml:space="preserve">Registered Apprenticeship;</w:t>
      </w:r>
    </w:p>
    <w:p>
      <w:pPr>
        <w:numPr>
          <w:ilvl w:val="0"/>
          <w:numId w:val="1006"/>
        </w:numPr>
        <w:pStyle w:val="Compact"/>
      </w:pPr>
      <w:r>
        <w:t xml:space="preserve">asistencia para matrícula;</w:t>
      </w:r>
    </w:p>
    <w:p>
      <w:pPr>
        <w:numPr>
          <w:ilvl w:val="0"/>
          <w:numId w:val="1006"/>
        </w:numPr>
        <w:pStyle w:val="Compact"/>
      </w:pPr>
      <w:r>
        <w:t xml:space="preserve">capacitación de radiografía o funciones ampliadas cuando la ley lo permita;</w:t>
      </w:r>
    </w:p>
    <w:p>
      <w:pPr>
        <w:numPr>
          <w:ilvl w:val="0"/>
          <w:numId w:val="1006"/>
        </w:numPr>
        <w:pStyle w:val="Compact"/>
      </w:pPr>
      <w:r>
        <w:t xml:space="preserve">reembolso de DANB u otros exámenes cuando corresponda;</w:t>
      </w:r>
    </w:p>
    <w:p>
      <w:pPr>
        <w:numPr>
          <w:ilvl w:val="0"/>
          <w:numId w:val="1006"/>
        </w:numPr>
        <w:pStyle w:val="Compact"/>
      </w:pPr>
      <w:r>
        <w:t xml:space="preserve">apoyo para CPR o soporte vital básico;</w:t>
      </w:r>
    </w:p>
    <w:p>
      <w:pPr>
        <w:numPr>
          <w:ilvl w:val="0"/>
          <w:numId w:val="1006"/>
        </w:numPr>
        <w:pStyle w:val="Compact"/>
      </w:pPr>
      <w:r>
        <w:t xml:space="preserve">EPP, uniformes o equipos;</w:t>
      </w:r>
    </w:p>
    <w:p>
      <w:pPr>
        <w:numPr>
          <w:ilvl w:val="0"/>
          <w:numId w:val="1006"/>
        </w:numPr>
        <w:pStyle w:val="Compact"/>
      </w:pPr>
      <w:r>
        <w:t xml:space="preserve">educación continua;</w:t>
      </w:r>
    </w:p>
    <w:p>
      <w:pPr>
        <w:numPr>
          <w:ilvl w:val="0"/>
          <w:numId w:val="1006"/>
        </w:numPr>
        <w:pStyle w:val="Compact"/>
      </w:pPr>
      <w:r>
        <w:t xml:space="preserve">capacitación cruzada en programación, coordinación de tratamiento, seguros, esterilización o inventario; y</w:t>
      </w:r>
    </w:p>
    <w:p>
      <w:pPr>
        <w:numPr>
          <w:ilvl w:val="0"/>
          <w:numId w:val="1006"/>
        </w:numPr>
        <w:pStyle w:val="Compact"/>
      </w:pPr>
      <w:r>
        <w:t xml:space="preserve">vías de avance.</w:t>
      </w:r>
    </w:p>
    <w:p>
      <w:pPr>
        <w:pStyle w:val="FirstParagraph"/>
      </w:pPr>
      <w:r>
        <w:t xml:space="preserve">Si el empleador paga capacitación pero exige reembolso o un período mínimo de servicio, obtén los términos por escrito antes de aceptar el financiamiento.</w:t>
      </w:r>
    </w:p>
    <w:bookmarkEnd w:id="41"/>
    <w:bookmarkStart w:id="43" w:name="Xa7484817102118049a758606fa833cb2d02b574"/>
    <w:p>
      <w:pPr>
        <w:pStyle w:val="Heading2"/>
      </w:pPr>
      <w:r>
        <w:t xml:space="preserve">Estados Unidos — ingresos oficiales y perspectiva de empleo</w:t>
      </w:r>
    </w:p>
    <w:p>
      <w:pPr>
        <w:pStyle w:val="FirstParagraph"/>
      </w:pPr>
      <w:r>
        <w:t xml:space="preserve">Los datos laborales actuales de O*NET reportan</w:t>
      </w:r>
      <w:r>
        <w:t xml:space="preserve"> </w:t>
      </w:r>
      <w:r>
        <w:rPr>
          <w:bCs/>
          <w:b/>
        </w:rPr>
        <w:t xml:space="preserve">datos salariales BLS de 2025</w:t>
      </w:r>
      <w:r>
        <w:t xml:space="preserve"> </w:t>
      </w:r>
      <w:r>
        <w:t xml:space="preserve">para Dental Assistants:</w:t>
      </w:r>
    </w:p>
    <w:p>
      <w:pPr>
        <w:numPr>
          <w:ilvl w:val="0"/>
          <w:numId w:val="1007"/>
        </w:numPr>
        <w:pStyle w:val="Compact"/>
      </w:pPr>
      <w:r>
        <w:rPr>
          <w:bCs/>
          <w:b/>
        </w:rPr>
        <w:t xml:space="preserve">salario mediano por hora: USD $23.11</w:t>
      </w:r>
      <w:r>
        <w:t xml:space="preserve">; y</w:t>
      </w:r>
    </w:p>
    <w:p>
      <w:pPr>
        <w:numPr>
          <w:ilvl w:val="0"/>
          <w:numId w:val="1007"/>
        </w:numPr>
        <w:pStyle w:val="Compact"/>
      </w:pPr>
      <w:r>
        <w:rPr>
          <w:bCs/>
          <w:b/>
        </w:rPr>
        <w:t xml:space="preserve">salario mediano anual: USD $48,070</w:t>
      </w:r>
      <w:r>
        <w:t xml:space="preserve">.</w:t>
      </w:r>
    </w:p>
    <w:p>
      <w:pPr>
        <w:pStyle w:val="FirstParagraph"/>
      </w:pPr>
      <w:r>
        <w:t xml:space="preserve">El Occupational Outlook Handbook de BLS reporta para mayo de 2024:</w:t>
      </w:r>
    </w:p>
    <w:p>
      <w:pPr>
        <w:numPr>
          <w:ilvl w:val="0"/>
          <w:numId w:val="1008"/>
        </w:numPr>
        <w:pStyle w:val="Compact"/>
      </w:pPr>
      <w:r>
        <w:t xml:space="preserve">salario mediano anual:</w:t>
      </w:r>
      <w:r>
        <w:t xml:space="preserve"> </w:t>
      </w:r>
      <w:r>
        <w:rPr>
          <w:bCs/>
          <w:b/>
        </w:rPr>
        <w:t xml:space="preserve">USD $47,300</w:t>
      </w:r>
      <w:r>
        <w:t xml:space="preserve">;</w:t>
      </w:r>
    </w:p>
    <w:p>
      <w:pPr>
        <w:numPr>
          <w:ilvl w:val="0"/>
          <w:numId w:val="1008"/>
        </w:numPr>
        <w:pStyle w:val="Compact"/>
      </w:pPr>
      <w:r>
        <w:t xml:space="preserve">salario mediano por hora:</w:t>
      </w:r>
      <w:r>
        <w:t xml:space="preserve"> </w:t>
      </w:r>
      <w:r>
        <w:rPr>
          <w:bCs/>
          <w:b/>
        </w:rPr>
        <w:t xml:space="preserve">USD $22.74</w:t>
      </w:r>
      <w:r>
        <w:t xml:space="preserve">;</w:t>
      </w:r>
    </w:p>
    <w:p>
      <w:pPr>
        <w:numPr>
          <w:ilvl w:val="0"/>
          <w:numId w:val="1008"/>
        </w:numPr>
        <w:pStyle w:val="Compact"/>
      </w:pPr>
      <w:r>
        <w:t xml:space="preserve">10 por ciento inferior: menos de</w:t>
      </w:r>
      <w:r>
        <w:t xml:space="preserve"> </w:t>
      </w:r>
      <w:r>
        <w:rPr>
          <w:bCs/>
          <w:b/>
        </w:rPr>
        <w:t xml:space="preserve">USD $36,190</w:t>
      </w:r>
      <w:r>
        <w:t xml:space="preserve">;</w:t>
      </w:r>
    </w:p>
    <w:p>
      <w:pPr>
        <w:numPr>
          <w:ilvl w:val="0"/>
          <w:numId w:val="1008"/>
        </w:numPr>
        <w:pStyle w:val="Compact"/>
      </w:pPr>
      <w:r>
        <w:t xml:space="preserve">10 por ciento superior: más de</w:t>
      </w:r>
      <w:r>
        <w:t xml:space="preserve"> </w:t>
      </w:r>
      <w:r>
        <w:rPr>
          <w:bCs/>
          <w:b/>
        </w:rPr>
        <w:t xml:space="preserve">USD $61,780</w:t>
      </w:r>
      <w:r>
        <w:t xml:space="preserve">;</w:t>
      </w:r>
    </w:p>
    <w:p>
      <w:pPr>
        <w:numPr>
          <w:ilvl w:val="0"/>
          <w:numId w:val="1008"/>
        </w:numPr>
        <w:pStyle w:val="Compact"/>
      </w:pPr>
      <w:r>
        <w:t xml:space="preserve">empleo en 2024: aproximadamente</w:t>
      </w:r>
      <w:r>
        <w:t xml:space="preserve"> </w:t>
      </w:r>
      <w:r>
        <w:rPr>
          <w:bCs/>
          <w:b/>
        </w:rPr>
        <w:t xml:space="preserve">381,900</w:t>
      </w:r>
      <w:r>
        <w:t xml:space="preserve">;</w:t>
      </w:r>
    </w:p>
    <w:p>
      <w:pPr>
        <w:numPr>
          <w:ilvl w:val="0"/>
          <w:numId w:val="1008"/>
        </w:numPr>
        <w:pStyle w:val="Compact"/>
      </w:pPr>
      <w:r>
        <w:t xml:space="preserve">empleo proyectado para 2034: aproximadamente</w:t>
      </w:r>
      <w:r>
        <w:t xml:space="preserve"> </w:t>
      </w:r>
      <w:r>
        <w:rPr>
          <w:bCs/>
          <w:b/>
        </w:rPr>
        <w:t xml:space="preserve">406,300</w:t>
      </w:r>
      <w:r>
        <w:t xml:space="preserve">;</w:t>
      </w:r>
    </w:p>
    <w:p>
      <w:pPr>
        <w:numPr>
          <w:ilvl w:val="0"/>
          <w:numId w:val="1008"/>
        </w:numPr>
        <w:pStyle w:val="Compact"/>
      </w:pPr>
      <w:r>
        <w:t xml:space="preserve">crecimiento proyectado 2024–2034:</w:t>
      </w:r>
      <w:r>
        <w:t xml:space="preserve"> </w:t>
      </w:r>
      <w:r>
        <w:rPr>
          <w:bCs/>
          <w:b/>
        </w:rPr>
        <w:t xml:space="preserve">6%</w:t>
      </w:r>
      <w:r>
        <w:t xml:space="preserve">;</w:t>
      </w:r>
    </w:p>
    <w:p>
      <w:pPr>
        <w:numPr>
          <w:ilvl w:val="0"/>
          <w:numId w:val="1008"/>
        </w:numPr>
        <w:pStyle w:val="Compact"/>
      </w:pPr>
      <w:r>
        <w:t xml:space="preserve">incremento numérico proyectado: aproximadamente</w:t>
      </w:r>
      <w:r>
        <w:t xml:space="preserve"> </w:t>
      </w:r>
      <w:r>
        <w:rPr>
          <w:bCs/>
          <w:b/>
        </w:rPr>
        <w:t xml:space="preserve">24,400</w:t>
      </w:r>
      <w:r>
        <w:t xml:space="preserve">; y</w:t>
      </w:r>
    </w:p>
    <w:p>
      <w:pPr>
        <w:numPr>
          <w:ilvl w:val="0"/>
          <w:numId w:val="1008"/>
        </w:numPr>
        <w:pStyle w:val="Compact"/>
      </w:pPr>
      <w:r>
        <w:t xml:space="preserve">vacantes promedio anuales proyectadas: aproximadamente</w:t>
      </w:r>
      <w:r>
        <w:t xml:space="preserve"> </w:t>
      </w:r>
      <w:r>
        <w:rPr>
          <w:bCs/>
          <w:b/>
        </w:rPr>
        <w:t xml:space="preserve">52,900</w:t>
      </w:r>
      <w:r>
        <w:t xml:space="preserve">.</w:t>
      </w:r>
    </w:p>
    <w:p>
      <w:pPr>
        <w:pStyle w:val="FirstParagraph"/>
      </w:pPr>
      <w:r>
        <w:t xml:space="preserve">La Versión 2 utiliza la serie salarial BLS de 2025 más reciente publicada por O*NET como referencia nacional actual y mantiene claramente fechados los valores BLS OOH de mayo de 2024. Los datos nacionales no son un salario inicial garantizado. La remuneración varía por lugar, funciones, especialidad, empleador, horario, experiencia, credencial y alcance permitido.</w:t>
      </w:r>
    </w:p>
    <w:p>
      <w:pPr>
        <w:pStyle w:val="BodyText"/>
      </w:pPr>
      <w:r>
        <w:t xml:space="preserve">O*NET:</w:t>
      </w:r>
      <w:r>
        <w:t xml:space="preserve"> </w:t>
      </w:r>
      <w:hyperlink r:id="rId42">
        <w:r>
          <w:rPr>
            <w:rStyle w:val="Hyperlink"/>
          </w:rPr>
          <w:t xml:space="preserve">https://www.onetonline.org/link/summary/31-9091.00</w:t>
        </w:r>
      </w:hyperlink>
      <w:r>
        <w:br/>
      </w:r>
      <w:r>
        <w:t xml:space="preserve">BLS:</w:t>
      </w:r>
      <w:r>
        <w:t xml:space="preserve"> </w:t>
      </w:r>
      <w:hyperlink r:id="rId35">
        <w:r>
          <w:rPr>
            <w:rStyle w:val="Hyperlink"/>
          </w:rPr>
          <w:t xml:space="preserve">https://www.bls.gov/ooh/healthcare/dental-assistants.htm</w:t>
        </w:r>
      </w:hyperlink>
    </w:p>
    <w:bookmarkEnd w:id="43"/>
    <w:bookmarkStart w:id="45" w:name="X43947dfcacd0739afdc7c354392f723b24a68b3"/>
    <w:p>
      <w:pPr>
        <w:pStyle w:val="Heading2"/>
      </w:pPr>
      <w:r>
        <w:t xml:space="preserve">Estados Unidos — estimación de mercado no gubernamental actual</w:t>
      </w:r>
    </w:p>
    <w:p>
      <w:pPr>
        <w:pStyle w:val="FirstParagraph"/>
      </w:pPr>
      <w:r>
        <w:t xml:space="preserve">Salary.com reportó una estimación salarial para Dental Assistant en Estados Unidos de aproximadamente</w:t>
      </w:r>
      <w:r>
        <w:t xml:space="preserve"> </w:t>
      </w:r>
      <w:r>
        <w:rPr>
          <w:bCs/>
          <w:b/>
        </w:rPr>
        <w:t xml:space="preserve">USD $41,739 al año / $20 por hora</w:t>
      </w:r>
      <w:r>
        <w:t xml:space="preserve"> </w:t>
      </w:r>
      <w:r>
        <w:t xml:space="preserve">al</w:t>
      </w:r>
      <w:r>
        <w:t xml:space="preserve"> </w:t>
      </w:r>
      <w:r>
        <w:rPr>
          <w:bCs/>
          <w:b/>
        </w:rPr>
        <w:t xml:space="preserve">1 de agosto de 2026</w:t>
      </w:r>
      <w:r>
        <w:t xml:space="preserve">, con un rango declarado del percentil 25–75 de aproximadamente</w:t>
      </w:r>
      <w:r>
        <w:t xml:space="preserve"> </w:t>
      </w:r>
      <w:r>
        <w:rPr>
          <w:bCs/>
          <w:b/>
        </w:rPr>
        <w:t xml:space="preserve">USD $37,596–$46,260</w:t>
      </w:r>
      <w:r>
        <w:t xml:space="preserve">, una estimación del percentil 10 de</w:t>
      </w:r>
      <w:r>
        <w:t xml:space="preserve"> </w:t>
      </w:r>
      <w:r>
        <w:rPr>
          <w:bCs/>
          <w:b/>
        </w:rPr>
        <w:t xml:space="preserve">USD $33,824</w:t>
      </w:r>
      <w:r>
        <w:t xml:space="preserve"> </w:t>
      </w:r>
      <w:r>
        <w:t xml:space="preserve">y una estimación del percentil 90 de</w:t>
      </w:r>
      <w:r>
        <w:t xml:space="preserve"> </w:t>
      </w:r>
      <w:r>
        <w:rPr>
          <w:bCs/>
          <w:b/>
        </w:rPr>
        <w:t xml:space="preserve">USD $50,376</w:t>
      </w:r>
      <w:r>
        <w:t xml:space="preserve">.</w:t>
      </w:r>
    </w:p>
    <w:p>
      <w:pPr>
        <w:pStyle w:val="BodyText"/>
      </w:pPr>
      <w:r>
        <w:t xml:space="preserve">Esta es una</w:t>
      </w:r>
      <w:r>
        <w:t xml:space="preserve"> </w:t>
      </w:r>
      <w:r>
        <w:rPr>
          <w:bCs/>
          <w:b/>
        </w:rPr>
        <w:t xml:space="preserve">estimación privada, no gubernamental</w:t>
      </w:r>
      <w:r>
        <w:t xml:space="preserve">. Su metodología difiere de BLS/O*NET y debe mantenerse separada en lugar de promediarse con estadísticas oficiales.</w:t>
      </w:r>
    </w:p>
    <w:p>
      <w:pPr>
        <w:pStyle w:val="BodyText"/>
      </w:pPr>
      <w:r>
        <w:t xml:space="preserve">Fuente:</w:t>
      </w:r>
      <w:r>
        <w:t xml:space="preserve"> </w:t>
      </w:r>
      <w:hyperlink r:id="rId44">
        <w:r>
          <w:rPr>
            <w:rStyle w:val="Hyperlink"/>
          </w:rPr>
          <w:t xml:space="preserve">https://www.salary.com/research/salary/benchmark/dental-assistant-salary</w:t>
        </w:r>
      </w:hyperlink>
    </w:p>
    <w:bookmarkEnd w:id="45"/>
    <w:bookmarkStart w:id="48" w:name="Xd683a7198a461676aa15fa8d70989d6fa037046"/>
    <w:p>
      <w:pPr>
        <w:pStyle w:val="Heading2"/>
      </w:pPr>
      <w:r>
        <w:t xml:space="preserve">Canadá — correspondencia de Dental Assistant</w:t>
      </w:r>
    </w:p>
    <w:p>
      <w:pPr>
        <w:pStyle w:val="FirstParagraph"/>
      </w:pPr>
      <w:r>
        <w:t xml:space="preserve">El NOC de Canadá</w:t>
      </w:r>
      <w:r>
        <w:t xml:space="preserve"> </w:t>
      </w:r>
      <w:r>
        <w:rPr>
          <w:bCs/>
          <w:b/>
        </w:rPr>
        <w:t xml:space="preserve">33100</w:t>
      </w:r>
      <w:r>
        <w:t xml:space="preserve"> </w:t>
      </w:r>
      <w:r>
        <w:t xml:space="preserve">se denomina</w:t>
      </w:r>
      <w:r>
        <w:t xml:space="preserve"> </w:t>
      </w:r>
      <w:r>
        <w:rPr>
          <w:bCs/>
          <w:b/>
        </w:rPr>
        <w:t xml:space="preserve">Dental assistants and dental laboratory assistants</w:t>
      </w:r>
      <w:r>
        <w:t xml:space="preserve">. Debido a que ese grupo unitario combina trabajos distintos, las personas que exploren asistencia dental junto al sillón deben centrarse en las funciones del asistente dental y en el perfil OaSIS más específico</w:t>
      </w:r>
      <w:r>
        <w:t xml:space="preserve"> </w:t>
      </w:r>
      <w:r>
        <w:rPr>
          <w:bCs/>
          <w:b/>
        </w:rPr>
        <w:t xml:space="preserve">33100.01 — Dental assistants</w:t>
      </w:r>
      <w:r>
        <w:t xml:space="preserve">, sin importar funciones de asistente de laboratorio a la ocupación.</w:t>
      </w:r>
    </w:p>
    <w:p>
      <w:pPr>
        <w:pStyle w:val="BodyText"/>
      </w:pPr>
      <w:r>
        <w:t xml:space="preserve">El NOC distingue a los asistentes dentales de higienistas/terapeutas dentales y de tecnólogos/técnicos dentales. Un certificado estadounidense de Dental Assistant o un permiso estatal no transfiere automáticamente autoridad de práctica en Canadá.</w:t>
      </w:r>
    </w:p>
    <w:p>
      <w:pPr>
        <w:pStyle w:val="BodyText"/>
      </w:pPr>
      <w:r>
        <w:t xml:space="preserve">Perfil NOC:</w:t>
      </w:r>
      <w:r>
        <w:t xml:space="preserve"> </w:t>
      </w:r>
      <w:hyperlink r:id="rId46">
        <w:r>
          <w:rPr>
            <w:rStyle w:val="Hyperlink"/>
          </w:rPr>
          <w:t xml:space="preserve">https://noc.esdc.gc.ca/Structure/NOCProfile?GocTemplateCulture=en-CA&amp;code=33100&amp;version=2021.0</w:t>
        </w:r>
      </w:hyperlink>
      <w:r>
        <w:br/>
      </w:r>
      <w:r>
        <w:t xml:space="preserve">Jerarquía OaSIS:</w:t>
      </w:r>
      <w:r>
        <w:t xml:space="preserve"> </w:t>
      </w:r>
      <w:hyperlink r:id="rId47">
        <w:r>
          <w:rPr>
            <w:rStyle w:val="Hyperlink"/>
          </w:rPr>
          <w:t xml:space="preserve">https://noc.esdc.gc.ca/OaSIS/OaSISHierarchy</w:t>
        </w:r>
      </w:hyperlink>
    </w:p>
    <w:bookmarkEnd w:id="48"/>
    <w:bookmarkStart w:id="50" w:name="X66bde526b49a24413efcaa6b7dfcc67cbd4ae6e"/>
    <w:p>
      <w:pPr>
        <w:pStyle w:val="Heading2"/>
      </w:pPr>
      <w:r>
        <w:t xml:space="preserve">Canadá — educación, registro y funciones intraorales</w:t>
      </w:r>
    </w:p>
    <w:p>
      <w:pPr>
        <w:pStyle w:val="FirstParagraph"/>
      </w:pPr>
      <w:r>
        <w:t xml:space="preserve">Job Bank del Gobierno de Canadá informa que los asistentes dentales normalmente requieren completar un programa de ocho meses a un año de college u otro programa de asistencia dental, o educación secundaria más capacitación en el trabajo.</w:t>
      </w:r>
    </w:p>
    <w:p>
      <w:pPr>
        <w:pStyle w:val="BodyText"/>
      </w:pPr>
      <w:r>
        <w:t xml:space="preserve">Job Bank también informa que:</w:t>
      </w:r>
    </w:p>
    <w:p>
      <w:pPr>
        <w:numPr>
          <w:ilvl w:val="0"/>
          <w:numId w:val="1009"/>
        </w:numPr>
        <w:pStyle w:val="Compact"/>
      </w:pPr>
      <w:r>
        <w:t xml:space="preserve">se requiere registro con un organismo regulador en todas las provincias excepto Quebec y Ontario;</w:t>
      </w:r>
    </w:p>
    <w:p>
      <w:pPr>
        <w:numPr>
          <w:ilvl w:val="0"/>
          <w:numId w:val="1009"/>
        </w:numPr>
        <w:pStyle w:val="Compact"/>
      </w:pPr>
      <w:r>
        <w:t xml:space="preserve">se requiere certificación del National Dental Assisting Examination Board para realizar funciones intraorales en todas las provincias excepto Quebec; y</w:t>
      </w:r>
    </w:p>
    <w:p>
      <w:pPr>
        <w:numPr>
          <w:ilvl w:val="0"/>
          <w:numId w:val="1009"/>
        </w:numPr>
        <w:pStyle w:val="Compact"/>
      </w:pPr>
      <w:r>
        <w:t xml:space="preserve">en Quebec, los asistentes dentales no realizan funciones intraorales según la descripción ocupacional nacional.</w:t>
      </w:r>
    </w:p>
    <w:p>
      <w:pPr>
        <w:pStyle w:val="FirstParagraph"/>
      </w:pPr>
      <w:r>
        <w:t xml:space="preserve">Estas afirmaciones son un resumen nacional. El regulador provincial aplicable y la ley vigente tienen prioridad. Verifica aprobación del programa, registro, examen, radiografía, funciones intraorales y requisitos de supervisión antes de inscribirte o aceptar funciones.</w:t>
      </w:r>
    </w:p>
    <w:p>
      <w:pPr>
        <w:pStyle w:val="BodyText"/>
      </w:pPr>
      <w:r>
        <w:t xml:space="preserve">Fuente:</w:t>
      </w:r>
      <w:r>
        <w:t xml:space="preserve"> </w:t>
      </w:r>
      <w:hyperlink r:id="rId49">
        <w:r>
          <w:rPr>
            <w:rStyle w:val="Hyperlink"/>
          </w:rPr>
          <w:t xml:space="preserve">https://www.jobbank.gc.ca/marketreport/requirements/4475/ca</w:t>
        </w:r>
      </w:hyperlink>
    </w:p>
    <w:bookmarkEnd w:id="50"/>
    <w:bookmarkStart w:id="53" w:name="canadá--salarios-y-ayuda-estudiantil"/>
    <w:p>
      <w:pPr>
        <w:pStyle w:val="Heading2"/>
      </w:pPr>
      <w:r>
        <w:t xml:space="preserve">Canadá — salarios y ayuda estudiantil</w:t>
      </w:r>
    </w:p>
    <w:p>
      <w:pPr>
        <w:pStyle w:val="FirstParagraph"/>
      </w:pPr>
      <w:r>
        <w:t xml:space="preserve">La página salarial nacional actual de Job Bank para Dental Assistant, NOC 33100, informa:</w:t>
      </w:r>
    </w:p>
    <w:p>
      <w:pPr>
        <w:numPr>
          <w:ilvl w:val="0"/>
          <w:numId w:val="1010"/>
        </w:numPr>
        <w:pStyle w:val="Compact"/>
      </w:pPr>
      <w:r>
        <w:t xml:space="preserve">bajo:</w:t>
      </w:r>
      <w:r>
        <w:t xml:space="preserve"> </w:t>
      </w:r>
      <w:r>
        <w:rPr>
          <w:bCs/>
          <w:b/>
        </w:rPr>
        <w:t xml:space="preserve">CAD $21.00/hora</w:t>
      </w:r>
      <w:r>
        <w:t xml:space="preserve">;</w:t>
      </w:r>
    </w:p>
    <w:p>
      <w:pPr>
        <w:numPr>
          <w:ilvl w:val="0"/>
          <w:numId w:val="1010"/>
        </w:numPr>
        <w:pStyle w:val="Compact"/>
      </w:pPr>
      <w:r>
        <w:t xml:space="preserve">mediano:</w:t>
      </w:r>
      <w:r>
        <w:t xml:space="preserve"> </w:t>
      </w:r>
      <w:r>
        <w:rPr>
          <w:bCs/>
          <w:b/>
        </w:rPr>
        <w:t xml:space="preserve">CAD $27.00/hora</w:t>
      </w:r>
      <w:r>
        <w:t xml:space="preserve">;</w:t>
      </w:r>
    </w:p>
    <w:p>
      <w:pPr>
        <w:numPr>
          <w:ilvl w:val="0"/>
          <w:numId w:val="1010"/>
        </w:numPr>
        <w:pStyle w:val="Compact"/>
      </w:pPr>
      <w:r>
        <w:t xml:space="preserve">alto:</w:t>
      </w:r>
      <w:r>
        <w:t xml:space="preserve"> </w:t>
      </w:r>
      <w:r>
        <w:rPr>
          <w:bCs/>
          <w:b/>
        </w:rPr>
        <w:t xml:space="preserve">CAD $35.00/hora</w:t>
      </w:r>
      <w:r>
        <w:t xml:space="preserve">; y</w:t>
      </w:r>
    </w:p>
    <w:p>
      <w:pPr>
        <w:numPr>
          <w:ilvl w:val="0"/>
          <w:numId w:val="1010"/>
        </w:numPr>
        <w:pStyle w:val="Compact"/>
      </w:pPr>
      <w:r>
        <w:rPr>
          <w:bCs/>
          <w:b/>
        </w:rPr>
        <w:t xml:space="preserve">72.3%</w:t>
      </w:r>
      <w:r>
        <w:t xml:space="preserve"> </w:t>
      </w:r>
      <w:r>
        <w:t xml:space="preserve">de las personas trabajadoras en NOC 33100 reciben al menos un beneficio no salarial.</w:t>
      </w:r>
    </w:p>
    <w:p>
      <w:pPr>
        <w:pStyle w:val="FirstParagraph"/>
      </w:pPr>
      <w:r>
        <w:t xml:space="preserve">La página salarial fue actualizada el 19 de noviembre de 2025 y usa un período de referencia 2023–2024. Usa filtros de provincia, territorio y área local antes de tomar una decisión de reubicación o capacitación.</w:t>
      </w:r>
    </w:p>
    <w:p>
      <w:pPr>
        <w:pStyle w:val="BodyText"/>
      </w:pPr>
      <w:r>
        <w:t xml:space="preserve">Salarios de Job Bank:</w:t>
      </w:r>
      <w:r>
        <w:t xml:space="preserve"> </w:t>
      </w:r>
      <w:hyperlink r:id="rId51">
        <w:r>
          <w:rPr>
            <w:rStyle w:val="Hyperlink"/>
          </w:rPr>
          <w:t xml:space="preserve">https://www.jobbank.gc.ca/marketreport/wages-occupation/4475/ca</w:t>
        </w:r>
      </w:hyperlink>
    </w:p>
    <w:p>
      <w:pPr>
        <w:pStyle w:val="BodyText"/>
      </w:pPr>
      <w:r>
        <w:t xml:space="preserve">Estudiantes elegibles en programas calificados de instituciones designadas pueden recibir Canada Student Grants and Loans mediante el sistema provincial o territorial correspondiente. Para el año académico</w:t>
      </w:r>
      <w:r>
        <w:t xml:space="preserve"> </w:t>
      </w:r>
      <w:r>
        <w:rPr>
          <w:bCs/>
          <w:b/>
        </w:rPr>
        <w:t xml:space="preserve">2026–27</w:t>
      </w:r>
      <w:r>
        <w:t xml:space="preserve">, Canada Student Grant for Full-Time Students puede proporcionar hasta</w:t>
      </w:r>
      <w:r>
        <w:t xml:space="preserve"> </w:t>
      </w:r>
      <w:r>
        <w:rPr>
          <w:bCs/>
          <w:b/>
        </w:rPr>
        <w:t xml:space="preserve">CAD $4,200 al año / CAD $525 por mes de estudio</w:t>
      </w:r>
      <w:r>
        <w:t xml:space="preserve">, sujeto a necesidad financiera y otras reglas de elegibilidad. Quebec, Northwest Territories y Nunavut operan acuerdos de ayuda estudiantil separados.</w:t>
      </w:r>
    </w:p>
    <w:p>
      <w:pPr>
        <w:pStyle w:val="BodyText"/>
      </w:pPr>
      <w:r>
        <w:t xml:space="preserve">No supongas que todo programa privado de asistencia dental está designado o es elegible para ayuda. Verifica la institución y el programa actuales antes de comprometer dinero.</w:t>
      </w:r>
    </w:p>
    <w:p>
      <w:pPr>
        <w:pStyle w:val="BodyText"/>
      </w:pPr>
      <w:r>
        <w:t xml:space="preserve">Canada Student Grant:</w:t>
      </w:r>
      <w:r>
        <w:t xml:space="preserve"> </w:t>
      </w:r>
      <w:hyperlink r:id="rId52">
        <w:r>
          <w:rPr>
            <w:rStyle w:val="Hyperlink"/>
          </w:rPr>
          <w:t xml:space="preserve">https://www.canada.ca/en/services/benefits/education/student-aid/grants-loans/full-time.html</w:t>
        </w:r>
      </w:hyperlink>
    </w:p>
    <w:bookmarkEnd w:id="53"/>
    <w:bookmarkStart w:id="55" w:name="Xdad5c0868044ee0c317dd13c129fd0aabcae9cc"/>
    <w:p>
      <w:pPr>
        <w:pStyle w:val="Heading2"/>
      </w:pPr>
      <w:r>
        <w:t xml:space="preserve">Colombia — Auxiliares de salud oral, CUOC 53292</w:t>
      </w:r>
    </w:p>
    <w:p>
      <w:pPr>
        <w:pStyle w:val="FirstParagraph"/>
      </w:pPr>
      <w:r>
        <w:t xml:space="preserve">El OCUPACOL del Ministerio del Trabajo de Colombia identifica</w:t>
      </w:r>
      <w:r>
        <w:t xml:space="preserve"> </w:t>
      </w:r>
      <w:r>
        <w:rPr>
          <w:bCs/>
          <w:b/>
        </w:rPr>
        <w:t xml:space="preserve">CUOC 53292 — Auxiliares de salud oral</w:t>
      </w:r>
      <w:r>
        <w:t xml:space="preserve">. Las denominaciones ocupacionales incluyen</w:t>
      </w:r>
      <w:r>
        <w:t xml:space="preserve"> </w:t>
      </w:r>
      <w:r>
        <w:rPr>
          <w:iCs/>
          <w:i/>
        </w:rPr>
        <w:t xml:space="preserve">auxiliar de consultorio dental</w:t>
      </w:r>
      <w:r>
        <w:t xml:space="preserve">,</w:t>
      </w:r>
      <w:r>
        <w:t xml:space="preserve"> </w:t>
      </w:r>
      <w:r>
        <w:rPr>
          <w:iCs/>
          <w:i/>
        </w:rPr>
        <w:t xml:space="preserve">auxiliar de consultorio odontológico</w:t>
      </w:r>
      <w:r>
        <w:t xml:space="preserve">,</w:t>
      </w:r>
      <w:r>
        <w:t xml:space="preserve"> </w:t>
      </w:r>
      <w:r>
        <w:rPr>
          <w:iCs/>
          <w:i/>
        </w:rPr>
        <w:t xml:space="preserve">auxiliar de odontología</w:t>
      </w:r>
      <w:r>
        <w:t xml:space="preserve">,</w:t>
      </w:r>
      <w:r>
        <w:t xml:space="preserve"> </w:t>
      </w:r>
      <w:r>
        <w:rPr>
          <w:iCs/>
          <w:i/>
        </w:rPr>
        <w:t xml:space="preserve">auxiliar de odontología e higiene oral</w:t>
      </w:r>
      <w:r>
        <w:t xml:space="preserve">,</w:t>
      </w:r>
      <w:r>
        <w:t xml:space="preserve"> </w:t>
      </w:r>
      <w:r>
        <w:rPr>
          <w:iCs/>
          <w:i/>
        </w:rPr>
        <w:t xml:space="preserve">auxiliar de salud oral</w:t>
      </w:r>
      <w:r>
        <w:t xml:space="preserve">,</w:t>
      </w:r>
      <w:r>
        <w:t xml:space="preserve"> </w:t>
      </w:r>
      <w:r>
        <w:rPr>
          <w:iCs/>
          <w:i/>
        </w:rPr>
        <w:t xml:space="preserve">auxiliar higiene oral</w:t>
      </w:r>
      <w:r>
        <w:t xml:space="preserve"> </w:t>
      </w:r>
      <w:r>
        <w:t xml:space="preserve">y</w:t>
      </w:r>
      <w:r>
        <w:t xml:space="preserve"> </w:t>
      </w:r>
      <w:r>
        <w:rPr>
          <w:iCs/>
          <w:i/>
        </w:rPr>
        <w:t xml:space="preserve">ayudante odontología</w:t>
      </w:r>
      <w:r>
        <w:t xml:space="preserve">.</w:t>
      </w:r>
    </w:p>
    <w:p>
      <w:pPr>
        <w:pStyle w:val="BodyText"/>
      </w:pPr>
      <w:r>
        <w:t xml:space="preserve">El perfil incluye preparar el ambiente odontológico y al paciente, asistir al odontólogo, esterilizar y organizar instrumentos, preparar materiales, registrar información, administrar suministros, brindar información de higiene oral, asistir con impresiones y tomar radiografías conforme al procedimiento técnico y las instrucciones del odontólogo.</w:t>
      </w:r>
    </w:p>
    <w:p>
      <w:pPr>
        <w:pStyle w:val="BodyText"/>
      </w:pPr>
      <w:r>
        <w:t xml:space="preserve">Estas funciones del perfil son descripciones ocupacionales, no permiso para práctica odontológica independiente. Siguen teniendo prioridad las normas de salud aplicables, la capacitación, el registro en ReTHUS, la dirección del odontólogo, los procedimientos del empleador y cualquier requisito de seguridad radiológica.</w:t>
      </w:r>
    </w:p>
    <w:p>
      <w:pPr>
        <w:pStyle w:val="BodyText"/>
      </w:pPr>
      <w:r>
        <w:t xml:space="preserve">Fuente:</w:t>
      </w:r>
      <w:r>
        <w:t xml:space="preserve"> </w:t>
      </w:r>
      <w:hyperlink r:id="rId54">
        <w:r>
          <w:rPr>
            <w:rStyle w:val="Hyperlink"/>
          </w:rPr>
          <w:t xml:space="preserve">https://ocupacol.mintrabajo.gov.co/Profile/OccupationalProfile/53292</w:t>
        </w:r>
      </w:hyperlink>
    </w:p>
    <w:p>
      <w:pPr>
        <w:pStyle w:val="BodyText"/>
      </w:pPr>
      <w:r>
        <w:t xml:space="preserve">OCUPACOL también contiene un perfil separado de</w:t>
      </w:r>
      <w:r>
        <w:t xml:space="preserve"> </w:t>
      </w:r>
      <w:r>
        <w:rPr>
          <w:bCs/>
          <w:b/>
        </w:rPr>
        <w:t xml:space="preserve">Higienistas y asistentes odontológicos</w:t>
      </w:r>
      <w:r>
        <w:t xml:space="preserve"> </w:t>
      </w:r>
      <w:r>
        <w:t xml:space="preserve">con funciones más amplias.</w:t>
      </w:r>
      <w:r>
        <w:t xml:space="preserve"> </w:t>
      </w:r>
      <w:r>
        <w:rPr>
          <w:bCs/>
          <w:b/>
        </w:rPr>
        <w:t xml:space="preserve">No transfieras funciones diagnósticas, preventivas, anestésicas, de extracción u otras funciones de mayor alcance de ese perfil separado a CUOC 53292.</w:t>
      </w:r>
      <w:r>
        <w:t xml:space="preserve"> </w:t>
      </w:r>
      <w:r>
        <w:t xml:space="preserve">La vía de Colombia de la Guía 49 se basa en</w:t>
      </w:r>
      <w:r>
        <w:t xml:space="preserve"> </w:t>
      </w:r>
      <w:r>
        <w:rPr>
          <w:iCs/>
          <w:i/>
        </w:rPr>
        <w:t xml:space="preserve">Auxiliares de salud oral — CUOC 53292</w:t>
      </w:r>
      <w:r>
        <w:t xml:space="preserve">, salvo que evidencia vigente de la autoridad competente establezca un alcance diferente para la credencial y entorno exactos del estudiante.</w:t>
      </w:r>
    </w:p>
    <w:bookmarkEnd w:id="55"/>
    <w:bookmarkStart w:id="60" w:name="colombia--capacitación-rethus-y-vía-sena"/>
    <w:p>
      <w:pPr>
        <w:pStyle w:val="Heading2"/>
      </w:pPr>
      <w:r>
        <w:t xml:space="preserve">Colombia — capacitación, ReTHUS y vía SENA</w:t>
      </w:r>
    </w:p>
    <w:p>
      <w:pPr>
        <w:pStyle w:val="FirstParagraph"/>
      </w:pPr>
      <w:r>
        <w:t xml:space="preserve">El Decreto 1409 de 2024 de Colombia incluye expresamente</w:t>
      </w:r>
      <w:r>
        <w:t xml:space="preserve"> </w:t>
      </w:r>
      <w:r>
        <w:rPr>
          <w:bCs/>
          <w:b/>
        </w:rPr>
        <w:t xml:space="preserve">Auxiliar en Salud Oral</w:t>
      </w:r>
      <w:r>
        <w:t xml:space="preserve"> </w:t>
      </w:r>
      <w:r>
        <w:t xml:space="preserve">entre el personal auxiliar de salud y establece disposiciones vigentes de certificación/capacitación. El decreto distingue certificados emitidos dentro de SENA/el Subsistema de Formación para el Trabajo de certificados ETDH de</w:t>
      </w:r>
      <w:r>
        <w:t xml:space="preserve"> </w:t>
      </w:r>
      <w:r>
        <w:rPr>
          <w:iCs/>
          <w:i/>
        </w:rPr>
        <w:t xml:space="preserve">Técnico Laboral por Competencias</w:t>
      </w:r>
      <w:r>
        <w:t xml:space="preserve"> </w:t>
      </w:r>
      <w:r>
        <w:t xml:space="preserve">y exige que las personas titulares soliciten el registro correspondiente en</w:t>
      </w:r>
      <w:r>
        <w:t xml:space="preserve"> </w:t>
      </w:r>
      <w:r>
        <w:rPr>
          <w:bCs/>
          <w:b/>
        </w:rPr>
        <w:t xml:space="preserve">ReTHUS</w:t>
      </w:r>
      <w:r>
        <w:t xml:space="preserve"> </w:t>
      </w:r>
      <w:r>
        <w:t xml:space="preserve">ante el Ministerio de Salud o la entidad que este designe.</w:t>
      </w:r>
    </w:p>
    <w:p>
      <w:pPr>
        <w:pStyle w:val="BodyText"/>
      </w:pPr>
      <w:r>
        <w:t xml:space="preserve">Fuente normativa:</w:t>
      </w:r>
      <w:r>
        <w:t xml:space="preserve"> </w:t>
      </w:r>
      <w:hyperlink r:id="rId56">
        <w:r>
          <w:rPr>
            <w:rStyle w:val="Hyperlink"/>
          </w:rPr>
          <w:t xml:space="preserve">https://normograma.sena.edu.co/compilacion/docs/decreto_1409_2024.htm</w:t>
        </w:r>
      </w:hyperlink>
    </w:p>
    <w:p>
      <w:pPr>
        <w:pStyle w:val="BodyText"/>
      </w:pPr>
      <w:r>
        <w:t xml:space="preserve">La Resolución SENA 2057 del 4 de julio de 2025 registra una actualización del programa</w:t>
      </w:r>
      <w:r>
        <w:t xml:space="preserve"> </w:t>
      </w:r>
      <w:r>
        <w:rPr>
          <w:bCs/>
          <w:b/>
        </w:rPr>
        <w:t xml:space="preserve">Técnico Laboral en Salud Oral</w:t>
      </w:r>
      <w:r>
        <w:t xml:space="preserve">. La vía actualizada aborda funciones administrativas y asistenciales de salud oral, promoción y prevención, apoyo al odontólogo en consulta, programación de citas, registro de actividades, gestión de riesgos y seguridad del paciente.</w:t>
      </w:r>
    </w:p>
    <w:p>
      <w:pPr>
        <w:pStyle w:val="BodyText"/>
      </w:pPr>
      <w:r>
        <w:t xml:space="preserve">Fuente de actualización del programa SENA:</w:t>
      </w:r>
      <w:r>
        <w:t xml:space="preserve"> </w:t>
      </w:r>
      <w:hyperlink r:id="rId57">
        <w:r>
          <w:rPr>
            <w:rStyle w:val="Hyperlink"/>
          </w:rPr>
          <w:t xml:space="preserve">https://normograma.sena.edu.co/compilacion/docs/resolucion_sena_2057_2025.htm</w:t>
        </w:r>
      </w:hyperlink>
    </w:p>
    <w:p>
      <w:pPr>
        <w:pStyle w:val="BodyText"/>
      </w:pPr>
      <w:r>
        <w:t xml:space="preserve">El catálogo Betowa de SENA muestra actualmente</w:t>
      </w:r>
      <w:r>
        <w:t xml:space="preserve"> </w:t>
      </w:r>
      <w:r>
        <w:rPr>
          <w:bCs/>
          <w:b/>
        </w:rPr>
        <w:t xml:space="preserve">SALUD ORAL</w:t>
      </w:r>
      <w:r>
        <w:t xml:space="preserve"> </w:t>
      </w:r>
      <w:r>
        <w:t xml:space="preserve">como una vía técnica presencial, titulada, con ofertas específicas por cohorte. Las fechas de oferta, centros, detalles de modalidad, condiciones de admisión y disponibilidad por cohorte cambian.</w:t>
      </w:r>
    </w:p>
    <w:p>
      <w:pPr>
        <w:pStyle w:val="BodyText"/>
      </w:pPr>
      <w:r>
        <w:t xml:space="preserve">Betowa:</w:t>
      </w:r>
      <w:r>
        <w:t xml:space="preserve"> </w:t>
      </w:r>
      <w:hyperlink r:id="rId58">
        <w:r>
          <w:rPr>
            <w:rStyle w:val="Hyperlink"/>
          </w:rPr>
          <w:t xml:space="preserve">https://betowa.sena.edu.co/oferta/salud-oral</w:t>
        </w:r>
      </w:hyperlink>
    </w:p>
    <w:bookmarkStart w:id="59" w:name="X6a7f1311644ed004f345042c174b5a4112a7792"/>
    <w:p>
      <w:pPr>
        <w:pStyle w:val="Heading3"/>
      </w:pPr>
      <w:r>
        <w:t xml:space="preserve">Control importante de duración en Colombia</w:t>
      </w:r>
    </w:p>
    <w:p>
      <w:pPr>
        <w:pStyle w:val="FirstParagraph"/>
      </w:pPr>
      <w:r>
        <w:t xml:space="preserve">Las fuentes públicas actuales de SENA/Colombia revisadas para esta actualización no ofrecen una explicación simple y totalmente conciliada de todos los campos de duración del programa después de la modificación normativa de 2024 y la actualización del programa SENA de 2025. Los metadatos públicos de Betowa pueden mostrar una duración asociada a un programa o cohorte mientras que el marco normativo modificado contiene lenguaje general sobre duración de certificados auxiliares de salud.</w:t>
      </w:r>
    </w:p>
    <w:p>
      <w:pPr>
        <w:pStyle w:val="BodyText"/>
      </w:pPr>
      <w:r>
        <w:rPr>
          <w:bCs/>
          <w:b/>
        </w:rPr>
        <w:t xml:space="preserve">No publiques una duración nacional única y definitiva del programa SENA Dental Assistant/Salud Oral a partir de estas fuentes.</w:t>
      </w:r>
      <w:r>
        <w:t xml:space="preserve"> </w:t>
      </w:r>
      <w:r>
        <w:t xml:space="preserve">Antes de inscribirte, verifica la cohorte vigente de Betowa, el centro de formación, el plan aprobado, el certificado, el requisito de registro y cualquier requisito de ReTHUS. Si la duración es importante para una decisión, obténla del registro oficial vigente de la cohorte/programa.</w:t>
      </w:r>
    </w:p>
    <w:bookmarkEnd w:id="59"/>
    <w:bookmarkEnd w:id="60"/>
    <w:bookmarkStart w:id="62" w:name="Xe8fcaaadf737ec15a55999cf0a9c6026a4502bd"/>
    <w:p>
      <w:pPr>
        <w:pStyle w:val="Heading2"/>
      </w:pPr>
      <w:r>
        <w:t xml:space="preserve">Colombia — límites de esterilización y reprocesamiento</w:t>
      </w:r>
    </w:p>
    <w:p>
      <w:pPr>
        <w:pStyle w:val="FirstParagraph"/>
      </w:pPr>
      <w:r>
        <w:t xml:space="preserve">La Resolución 914 de 2025 del Ministerio de Salud de Colombia establece requisitos para el reprocesamiento de dispositivos y elementos médicos reutilizables. El marco regulado incluye al</w:t>
      </w:r>
      <w:r>
        <w:t xml:space="preserve"> </w:t>
      </w:r>
      <w:r>
        <w:rPr>
          <w:iCs/>
          <w:i/>
        </w:rPr>
        <w:t xml:space="preserve">auxiliar de salud oral</w:t>
      </w:r>
      <w:r>
        <w:t xml:space="preserve">, según corresponda, entre el personal que puede realizar actividades de reprocesamiento.</w:t>
      </w:r>
    </w:p>
    <w:p>
      <w:pPr>
        <w:pStyle w:val="BodyText"/>
      </w:pPr>
      <w:r>
        <w:t xml:space="preserve">Esto respalda una preparación sólida en procesamiento de instrumentos, pero no autoriza a una persona a improvisar parámetros de esterilización ni a ejercer independientemente fuera de las normas aplicables de salud, lugar de trabajo, fabricante y profesión.</w:t>
      </w:r>
    </w:p>
    <w:p>
      <w:pPr>
        <w:pStyle w:val="BodyText"/>
      </w:pPr>
      <w:r>
        <w:t xml:space="preserve">Fuente:</w:t>
      </w:r>
      <w:r>
        <w:t xml:space="preserve"> </w:t>
      </w:r>
      <w:hyperlink r:id="rId61">
        <w:r>
          <w:rPr>
            <w:rStyle w:val="Hyperlink"/>
          </w:rPr>
          <w:t xml:space="preserve">https://normograma.sena.edu.co/compilacion/docs/resolucion_minsaludps_0914_2025.htm</w:t>
        </w:r>
      </w:hyperlink>
    </w:p>
    <w:bookmarkEnd w:id="62"/>
    <w:bookmarkStart w:id="65" w:name="américa-latina-y-el-caribe"/>
    <w:p>
      <w:pPr>
        <w:pStyle w:val="Heading2"/>
      </w:pPr>
      <w:r>
        <w:t xml:space="preserve">América Latina y el Caribe</w:t>
      </w:r>
    </w:p>
    <w:p>
      <w:pPr>
        <w:pStyle w:val="FirstParagraph"/>
      </w:pPr>
      <w:r>
        <w:t xml:space="preserve">Los títulos de asistente dental, sistemas de formación profesional, leyes de práctica odontológica, reglas de radiografía, funciones delegadas, credenciales y alcances difieren en la región. Un título como</w:t>
      </w:r>
      <w:r>
        <w:t xml:space="preserve"> </w:t>
      </w:r>
      <w:r>
        <w:rPr>
          <w:iCs/>
          <w:i/>
        </w:rPr>
        <w:t xml:space="preserve">asistente dental</w:t>
      </w:r>
      <w:r>
        <w:t xml:space="preserve">,</w:t>
      </w:r>
      <w:r>
        <w:t xml:space="preserve"> </w:t>
      </w:r>
      <w:r>
        <w:rPr>
          <w:iCs/>
          <w:i/>
        </w:rPr>
        <w:t xml:space="preserve">auxiliar de odontología</w:t>
      </w:r>
      <w:r>
        <w:t xml:space="preserve">,</w:t>
      </w:r>
      <w:r>
        <w:t xml:space="preserve"> </w:t>
      </w:r>
      <w:r>
        <w:rPr>
          <w:iCs/>
          <w:i/>
        </w:rPr>
        <w:t xml:space="preserve">auxiliar de salud oral</w:t>
      </w:r>
      <w:r>
        <w:t xml:space="preserve">,</w:t>
      </w:r>
      <w:r>
        <w:t xml:space="preserve"> </w:t>
      </w:r>
      <w:r>
        <w:rPr>
          <w:iCs/>
          <w:i/>
        </w:rPr>
        <w:t xml:space="preserve">asistente odontológico</w:t>
      </w:r>
      <w:r>
        <w:t xml:space="preserve"> </w:t>
      </w:r>
      <w:r>
        <w:t xml:space="preserve">u otra denominación similar no establece el mismo alcance legal de un país a otro.</w:t>
      </w:r>
    </w:p>
    <w:p>
      <w:pPr>
        <w:pStyle w:val="BodyText"/>
      </w:pPr>
      <w:r>
        <w:t xml:space="preserve">Usa OIT/Cinterfor como localizador regional de instituciones de formación profesional y luego verifica las autoridades nacionales vigentes de salud, educación, seguridad radiológica y profesión odontológica antes de pagar una capacitación o realizar funciones reguladas.</w:t>
      </w:r>
    </w:p>
    <w:p>
      <w:pPr>
        <w:pStyle w:val="BodyText"/>
      </w:pPr>
      <w:r>
        <w:t xml:space="preserve">OIT/Cinterfor:</w:t>
      </w:r>
      <w:r>
        <w:t xml:space="preserve"> </w:t>
      </w:r>
      <w:hyperlink r:id="rId63">
        <w:r>
          <w:rPr>
            <w:rStyle w:val="Hyperlink"/>
          </w:rPr>
          <w:t xml:space="preserve">https://www.oitcinterfor.org/</w:t>
        </w:r>
      </w:hyperlink>
      <w:r>
        <w:br/>
      </w:r>
      <w:r>
        <w:t xml:space="preserve">Red institucional:</w:t>
      </w:r>
      <w:r>
        <w:t xml:space="preserve"> </w:t>
      </w:r>
      <w:hyperlink r:id="rId64">
        <w:r>
          <w:rPr>
            <w:rStyle w:val="Hyperlink"/>
          </w:rPr>
          <w:t xml:space="preserve">https://www.oitcinterfor.org/red-institucional</w:t>
        </w:r>
      </w:hyperlink>
    </w:p>
    <w:p>
      <w:pPr>
        <w:pStyle w:val="BodyText"/>
      </w:pPr>
      <w:r>
        <w:t xml:space="preserve">Una credencial estadounidense, canadiense, colombiana o de otro país no transfiere automáticamente alcance legal a través de fronteras.</w:t>
      </w:r>
    </w:p>
    <w:bookmarkEnd w:id="65"/>
    <w:bookmarkStart w:id="68" w:name="X16aa70ae1d8d5c4c18a10605fb7646ae00e3c4b"/>
    <w:p>
      <w:pPr>
        <w:pStyle w:val="Heading2"/>
      </w:pPr>
      <w:r>
        <w:t xml:space="preserve">Privacidad del paciente y registros dentales</w:t>
      </w:r>
    </w:p>
    <w:p>
      <w:pPr>
        <w:pStyle w:val="FirstParagraph"/>
      </w:pPr>
      <w:r>
        <w:t xml:space="preserve">Los consultorios dentales manejan información sensible de salud, seguros, facturación, contacto, imágenes y radiografías. En entidades cubiertas de Estados Unidos, HIPAA Privacy Rule protege información de salud identificable y HIPAA Security Rule establece salvaguardas administrativas, físicas y técnicas para información electrónica protegida de salud.</w:t>
      </w:r>
    </w:p>
    <w:p>
      <w:pPr>
        <w:pStyle w:val="BodyText"/>
      </w:pPr>
      <w:r>
        <w:t xml:space="preserve">HHS Privacy Rule:</w:t>
      </w:r>
      <w:r>
        <w:t xml:space="preserve"> </w:t>
      </w:r>
      <w:hyperlink r:id="rId66">
        <w:r>
          <w:rPr>
            <w:rStyle w:val="Hyperlink"/>
          </w:rPr>
          <w:t xml:space="preserve">https://www.hhs.gov/hipaa/for-professionals/privacy/index.html</w:t>
        </w:r>
      </w:hyperlink>
      <w:r>
        <w:br/>
      </w:r>
      <w:r>
        <w:t xml:space="preserve">HHS Security Rule:</w:t>
      </w:r>
      <w:r>
        <w:t xml:space="preserve"> </w:t>
      </w:r>
      <w:hyperlink r:id="rId67">
        <w:r>
          <w:rPr>
            <w:rStyle w:val="Hyperlink"/>
          </w:rPr>
          <w:t xml:space="preserve">https://www.hhs.gov/hipaa/for-professionals/security/index.html</w:t>
        </w:r>
      </w:hyperlink>
    </w:p>
    <w:p>
      <w:pPr>
        <w:pStyle w:val="BodyText"/>
      </w:pPr>
      <w:r>
        <w:t xml:space="preserve">Sigue la ley y la política del empleador aplicables a tu lugar de trabajo. Accede únicamente a registros necesarios para trabajo autorizado. No abras el expediente de un paciente por curiosidad. No fotografíes pantallas ni radiografías con un dispositivo personal salvo autorización expresa dentro de un flujo conforme. Reporta con prontitud registros mal enviados, accesos sospechosos, dispositivos perdidos, phishing u otros eventos de privacidad/seguridad.</w:t>
      </w:r>
    </w:p>
    <w:bookmarkEnd w:id="68"/>
    <w:bookmarkStart w:id="69" w:name="X67a8e4b334919011d8d77c55239f5962a9fdbb1"/>
    <w:p>
      <w:pPr>
        <w:pStyle w:val="Heading2"/>
      </w:pPr>
      <w:r>
        <w:t xml:space="preserve">Uso responsable de IA en asistencia dental</w:t>
      </w:r>
    </w:p>
    <w:p>
      <w:pPr>
        <w:pStyle w:val="FirstParagraph"/>
      </w:pPr>
      <w:r>
        <w:t xml:space="preserve">La IA puede ayudar en actividades de bajo riesgo como:</w:t>
      </w:r>
    </w:p>
    <w:p>
      <w:pPr>
        <w:numPr>
          <w:ilvl w:val="0"/>
          <w:numId w:val="1011"/>
        </w:numPr>
        <w:pStyle w:val="Compact"/>
      </w:pPr>
      <w:r>
        <w:t xml:space="preserve">explicar terminología dental general para estudio;</w:t>
      </w:r>
    </w:p>
    <w:p>
      <w:pPr>
        <w:numPr>
          <w:ilvl w:val="0"/>
          <w:numId w:val="1011"/>
        </w:numPr>
        <w:pStyle w:val="Compact"/>
      </w:pPr>
      <w:r>
        <w:t xml:space="preserve">generar ejercicios ficticios de registro o programación;</w:t>
      </w:r>
    </w:p>
    <w:p>
      <w:pPr>
        <w:numPr>
          <w:ilvl w:val="0"/>
          <w:numId w:val="1011"/>
        </w:numPr>
        <w:pStyle w:val="Compact"/>
      </w:pPr>
      <w:r>
        <w:t xml:space="preserve">crear preguntas de práctica para entrevistas;</w:t>
      </w:r>
    </w:p>
    <w:p>
      <w:pPr>
        <w:numPr>
          <w:ilvl w:val="0"/>
          <w:numId w:val="1011"/>
        </w:numPr>
        <w:pStyle w:val="Compact"/>
      </w:pPr>
      <w:r>
        <w:t xml:space="preserve">organizar un plan de estudio sin información sensible;</w:t>
      </w:r>
    </w:p>
    <w:p>
      <w:pPr>
        <w:numPr>
          <w:ilvl w:val="0"/>
          <w:numId w:val="1011"/>
        </w:numPr>
        <w:pStyle w:val="Compact"/>
      </w:pPr>
      <w:r>
        <w:t xml:space="preserve">redactar lenguaje genérico de servicio al paciente para revisión posterior del empleador; o</w:t>
      </w:r>
    </w:p>
    <w:p>
      <w:pPr>
        <w:numPr>
          <w:ilvl w:val="0"/>
          <w:numId w:val="1011"/>
        </w:numPr>
        <w:pStyle w:val="Compact"/>
      </w:pPr>
      <w:r>
        <w:t xml:space="preserve">practicar cómo escalar un escenario laboral ficticio.</w:t>
      </w:r>
    </w:p>
    <w:p>
      <w:pPr>
        <w:pStyle w:val="FirstParagraph"/>
      </w:pPr>
      <w:r>
        <w:t xml:space="preserve">La IA</w:t>
      </w:r>
      <w:r>
        <w:t xml:space="preserve"> </w:t>
      </w:r>
      <w:r>
        <w:rPr>
          <w:bCs/>
          <w:b/>
        </w:rPr>
        <w:t xml:space="preserve">no debe</w:t>
      </w:r>
      <w:r>
        <w:t xml:space="preserve"> </w:t>
      </w:r>
      <w:r>
        <w:t xml:space="preserve">reemplazar el criterio del dentista, la interpretación radiográfica, el diagnóstico, la planificación del tratamiento, decisiones de emergencia, instrucciones de medicamentos, procedimientos de control de infecciones, instrucciones del fabricante del esterilizador ni registros aprobados del paciente.</w:t>
      </w:r>
    </w:p>
    <w:p>
      <w:pPr>
        <w:pStyle w:val="BodyText"/>
      </w:pPr>
      <w:r>
        <w:t xml:space="preserve">Nunca pegues nombres de pacientes, fechas de nacimiento, datos de contacto, imágenes dentales, radiografías, historias, diagnósticos, identificadores de seguros, detalles de citas, datos de pago u otra información protegida/confidencial en un servicio de IA público o no autorizado.</w:t>
      </w:r>
    </w:p>
    <w:p>
      <w:pPr>
        <w:pStyle w:val="BodyText"/>
      </w:pPr>
      <w:r>
        <w:t xml:space="preserve">Todo texto orientado a pacientes generado con IA debe verificarse contra fuentes clínicas y del empleador aprobadas antes de usarlo. Si una respuesta de IA entra en conflicto con una orden del dentista, procedimiento vigente, instrucción del fabricante, regulador o referencia aprobada, detente y escala.</w:t>
      </w:r>
    </w:p>
    <w:bookmarkEnd w:id="69"/>
    <w:bookmarkStart w:id="70" w:name="X2414280fa4d99ea8d3042fd5744a35ebaa6d842"/>
    <w:p>
      <w:pPr>
        <w:pStyle w:val="Heading2"/>
      </w:pPr>
      <w:r>
        <w:t xml:space="preserve">Conceptos básicos de ciberseguridad para un consultorio dental</w:t>
      </w:r>
    </w:p>
    <w:p>
      <w:pPr>
        <w:pStyle w:val="FirstParagraph"/>
      </w:pPr>
      <w:r>
        <w:t xml:space="preserve">Sigue las reglas del empleador para:</w:t>
      </w:r>
    </w:p>
    <w:p>
      <w:pPr>
        <w:numPr>
          <w:ilvl w:val="0"/>
          <w:numId w:val="1012"/>
        </w:numPr>
        <w:pStyle w:val="Compact"/>
      </w:pPr>
      <w:r>
        <w:t xml:space="preserve">cuentas individuales y autenticación multifactor;</w:t>
      </w:r>
    </w:p>
    <w:p>
      <w:pPr>
        <w:numPr>
          <w:ilvl w:val="0"/>
          <w:numId w:val="1012"/>
        </w:numPr>
        <w:pStyle w:val="Compact"/>
      </w:pPr>
      <w:r>
        <w:t xml:space="preserve">protección de contraseñas y credenciales;</w:t>
      </w:r>
    </w:p>
    <w:p>
      <w:pPr>
        <w:numPr>
          <w:ilvl w:val="0"/>
          <w:numId w:val="1012"/>
        </w:numPr>
        <w:pStyle w:val="Compact"/>
      </w:pPr>
      <w:r>
        <w:t xml:space="preserve">bloqueo de pantalla;</w:t>
      </w:r>
    </w:p>
    <w:p>
      <w:pPr>
        <w:numPr>
          <w:ilvl w:val="0"/>
          <w:numId w:val="1012"/>
        </w:numPr>
        <w:pStyle w:val="Compact"/>
      </w:pPr>
      <w:r>
        <w:t xml:space="preserve">acceso aprobado a sistemas de gestión del consultorio e imágenes;</w:t>
      </w:r>
    </w:p>
    <w:p>
      <w:pPr>
        <w:numPr>
          <w:ilvl w:val="0"/>
          <w:numId w:val="1012"/>
        </w:numPr>
        <w:pStyle w:val="Compact"/>
      </w:pPr>
      <w:r>
        <w:t xml:space="preserve">acceso mínimo necesario a datos de pacientes;</w:t>
      </w:r>
    </w:p>
    <w:p>
      <w:pPr>
        <w:numPr>
          <w:ilvl w:val="0"/>
          <w:numId w:val="1012"/>
        </w:numPr>
        <w:pStyle w:val="Compact"/>
      </w:pPr>
      <w:r>
        <w:t xml:space="preserve">correo, mensajería y transferencia de archivos seguros;</w:t>
      </w:r>
    </w:p>
    <w:p>
      <w:pPr>
        <w:numPr>
          <w:ilvl w:val="0"/>
          <w:numId w:val="1012"/>
        </w:numPr>
        <w:pStyle w:val="Compact"/>
      </w:pPr>
      <w:r>
        <w:t xml:space="preserve">phishing y adjuntos sospechosos;</w:t>
      </w:r>
    </w:p>
    <w:p>
      <w:pPr>
        <w:numPr>
          <w:ilvl w:val="0"/>
          <w:numId w:val="1012"/>
        </w:numPr>
        <w:pStyle w:val="Compact"/>
      </w:pPr>
      <w:r>
        <w:t xml:space="preserve">verificación de solicitudes inusuales de pagos, banco, nómina, seguros, portal o cambios de cuenta;</w:t>
      </w:r>
    </w:p>
    <w:p>
      <w:pPr>
        <w:numPr>
          <w:ilvl w:val="0"/>
          <w:numId w:val="1012"/>
        </w:numPr>
        <w:pStyle w:val="Compact"/>
      </w:pPr>
      <w:r>
        <w:t xml:space="preserve">copias de respaldo y almacenamiento aprobado;</w:t>
      </w:r>
    </w:p>
    <w:p>
      <w:pPr>
        <w:numPr>
          <w:ilvl w:val="0"/>
          <w:numId w:val="1012"/>
        </w:numPr>
        <w:pStyle w:val="Compact"/>
      </w:pPr>
      <w:r>
        <w:t xml:space="preserve">impresión y eliminación segura;</w:t>
      </w:r>
    </w:p>
    <w:p>
      <w:pPr>
        <w:numPr>
          <w:ilvl w:val="0"/>
          <w:numId w:val="1012"/>
        </w:numPr>
        <w:pStyle w:val="Compact"/>
      </w:pPr>
      <w:r>
        <w:t xml:space="preserve">dispositivos portátiles y medios removibles;</w:t>
      </w:r>
    </w:p>
    <w:p>
      <w:pPr>
        <w:numPr>
          <w:ilvl w:val="0"/>
          <w:numId w:val="1012"/>
        </w:numPr>
        <w:pStyle w:val="Compact"/>
      </w:pPr>
      <w:r>
        <w:t xml:space="preserve">reporte de incidentes y eventos de privacidad; y</w:t>
      </w:r>
    </w:p>
    <w:p>
      <w:pPr>
        <w:numPr>
          <w:ilvl w:val="0"/>
          <w:numId w:val="1012"/>
        </w:numPr>
        <w:pStyle w:val="Compact"/>
      </w:pPr>
      <w:r>
        <w:t xml:space="preserve">dispositivos personales, almacenamiento en nube, herramientas de transcripción y servicios de IA.</w:t>
      </w:r>
    </w:p>
    <w:p>
      <w:pPr>
        <w:pStyle w:val="FirstParagraph"/>
      </w:pPr>
      <w:r>
        <w:t xml:space="preserve">Nunca desactives una protección de seguridad por comodidad ni compartas una cuenta porque un colega esté ocupado.</w:t>
      </w:r>
    </w:p>
    <w:bookmarkEnd w:id="70"/>
    <w:bookmarkStart w:id="71" w:name="estrategia-de-aprendizaje-primero-gratis"/>
    <w:p>
      <w:pPr>
        <w:pStyle w:val="Heading2"/>
      </w:pPr>
      <w:r>
        <w:t xml:space="preserve">Estrategia de aprendizaje primero gratis</w:t>
      </w:r>
    </w:p>
    <w:p>
      <w:pPr>
        <w:pStyle w:val="FirstParagraph"/>
      </w:pPr>
      <w:r>
        <w:t xml:space="preserve">Antes de pagar una escuela privada:</w:t>
      </w:r>
    </w:p>
    <w:p>
      <w:pPr>
        <w:numPr>
          <w:ilvl w:val="0"/>
          <w:numId w:val="1013"/>
        </w:numPr>
        <w:pStyle w:val="Compact"/>
      </w:pPr>
      <w:r>
        <w:t xml:space="preserve">Lee 15–20 vacantes locales actuales de asistente dental.</w:t>
      </w:r>
    </w:p>
    <w:p>
      <w:pPr>
        <w:numPr>
          <w:ilvl w:val="0"/>
          <w:numId w:val="1013"/>
        </w:numPr>
        <w:pStyle w:val="Compact"/>
      </w:pPr>
      <w:r>
        <w:t xml:space="preserve">Verifica los niveles legales de asistencia dental y los requisitos de radiografía/funciones ampliadas en la jurisdicción objetivo.</w:t>
      </w:r>
    </w:p>
    <w:p>
      <w:pPr>
        <w:numPr>
          <w:ilvl w:val="0"/>
          <w:numId w:val="1013"/>
        </w:numPr>
        <w:pStyle w:val="Compact"/>
      </w:pPr>
      <w:r>
        <w:t xml:space="preserve">Aprende terminología dental básica, numeración dental, conceptos de prevención de infecciones, comunicación profesional, privacidad y seguridad laboral con fuentes confiables.</w:t>
      </w:r>
    </w:p>
    <w:p>
      <w:pPr>
        <w:numPr>
          <w:ilvl w:val="0"/>
          <w:numId w:val="1013"/>
        </w:numPr>
        <w:pStyle w:val="Compact"/>
      </w:pPr>
      <w:r>
        <w:t xml:space="preserve">Pregunta a colleges públicos, escuelas técnicas, centros de empleo, empleadores dentales, clínicas comunitarias y patrocinadores de aprendizaje por opciones de menor costo o financiadas.</w:t>
      </w:r>
    </w:p>
    <w:p>
      <w:pPr>
        <w:numPr>
          <w:ilvl w:val="0"/>
          <w:numId w:val="1013"/>
        </w:numPr>
        <w:pStyle w:val="Compact"/>
      </w:pPr>
      <w:r>
        <w:t xml:space="preserve">Compara al menos tres programas por</w:t>
      </w:r>
      <w:r>
        <w:t xml:space="preserve"> </w:t>
      </w:r>
      <w:r>
        <w:rPr>
          <w:bCs/>
          <w:b/>
        </w:rPr>
        <w:t xml:space="preserve">costo total</w:t>
      </w:r>
      <w:r>
        <w:t xml:space="preserve">, no solo por matrícula anunciada.</w:t>
      </w:r>
    </w:p>
    <w:p>
      <w:pPr>
        <w:numPr>
          <w:ilvl w:val="0"/>
          <w:numId w:val="1013"/>
        </w:numPr>
        <w:pStyle w:val="Compact"/>
      </w:pPr>
      <w:r>
        <w:t xml:space="preserve">Verifica práctica clínica, preparación radiográfica, CPR, materiales, uniformes, antecedentes, inmunizaciones, elegibilidad de exámenes, colocación, reembolsos y financiamiento.</w:t>
      </w:r>
    </w:p>
    <w:p>
      <w:pPr>
        <w:numPr>
          <w:ilvl w:val="0"/>
          <w:numId w:val="1013"/>
        </w:numPr>
        <w:pStyle w:val="Compact"/>
      </w:pPr>
      <w:r>
        <w:t xml:space="preserve">Paga una credencial privada solo después de confirmar que se alinea con la ley vigente y empleadores objetivo.</w:t>
      </w:r>
    </w:p>
    <w:p>
      <w:pPr>
        <w:pStyle w:val="FirstParagraph"/>
      </w:pPr>
      <w:r>
        <w:t xml:space="preserve">El aprendizaje gratuito en línea puede fortalecer conocimientos, pero no sustituye capacitación práctica supervisada para una habilidad regulada o clínica.</w:t>
      </w:r>
    </w:p>
    <w:bookmarkEnd w:id="71"/>
    <w:bookmarkStart w:id="72" w:name="X97715d94595e2092407d05d73918f9b9efebc67"/>
    <w:p>
      <w:pPr>
        <w:pStyle w:val="Heading2"/>
      </w:pPr>
      <w:r>
        <w:t xml:space="preserve">Un plan práctico para empezar en 12 semanas</w:t>
      </w:r>
    </w:p>
    <w:p>
      <w:pPr>
        <w:pStyle w:val="FirstParagraph"/>
      </w:pPr>
      <w:r>
        <w:rPr>
          <w:bCs/>
          <w:b/>
        </w:rPr>
        <w:t xml:space="preserve">Semanas 1–2:</w:t>
      </w:r>
      <w:r>
        <w:t xml:space="preserve"> </w:t>
      </w:r>
      <w:r>
        <w:t xml:space="preserve">Revisa vacantes locales y las reglas vigentes del regulador/junta dental. Enumera requisitos repetidos de educación, radiografía, CPR, control de infecciones, software, idioma y experiencia.</w:t>
      </w:r>
    </w:p>
    <w:p>
      <w:pPr>
        <w:pStyle w:val="BodyText"/>
      </w:pPr>
      <w:r>
        <w:rPr>
          <w:bCs/>
          <w:b/>
        </w:rPr>
        <w:t xml:space="preserve">Semanas 3–4:</w:t>
      </w:r>
      <w:r>
        <w:t xml:space="preserve"> </w:t>
      </w:r>
      <w:r>
        <w:t xml:space="preserve">Estudia terminología dental, superficies/numeración dental, vocabulario básico de materiales, privacidad, comunicación profesional y conceptos de prevención de infecciones sin usar datos reales de pacientes.</w:t>
      </w:r>
    </w:p>
    <w:p>
      <w:pPr>
        <w:pStyle w:val="BodyText"/>
      </w:pPr>
      <w:r>
        <w:rPr>
          <w:bCs/>
          <w:b/>
        </w:rPr>
        <w:t xml:space="preserve">Semanas 5–6:</w:t>
      </w:r>
      <w:r>
        <w:t xml:space="preserve"> </w:t>
      </w:r>
      <w:r>
        <w:t xml:space="preserve">Compara vías públicas, de aprendizaje, financiadas por fuerza laboral, patrocinadas por empleador y privadas. Verifica costo completo y alineación legal/de credenciales.</w:t>
      </w:r>
    </w:p>
    <w:p>
      <w:pPr>
        <w:pStyle w:val="BodyText"/>
      </w:pPr>
      <w:r>
        <w:rPr>
          <w:bCs/>
          <w:b/>
        </w:rPr>
        <w:t xml:space="preserve">Semanas 7–8:</w:t>
      </w:r>
      <w:r>
        <w:t xml:space="preserve"> </w:t>
      </w:r>
      <w:r>
        <w:t xml:space="preserve">Realiza únicamente práctica de habilidades supervisada mediante un programa o empleador autorizado. Enfócate en flujo junto al sillón, manejo de instrumentos, EPP, seguridad con cortopunzantes, limpieza ambiental, esterilización/reprocesamiento, documentación y escalamiento.</w:t>
      </w:r>
    </w:p>
    <w:p>
      <w:pPr>
        <w:pStyle w:val="BodyText"/>
      </w:pPr>
      <w:r>
        <w:rPr>
          <w:bCs/>
          <w:b/>
        </w:rPr>
        <w:t xml:space="preserve">Semanas 9–10:</w:t>
      </w:r>
      <w:r>
        <w:t xml:space="preserve"> </w:t>
      </w:r>
      <w:r>
        <w:t xml:space="preserve">Construye un currículum y un inventario de habilidades precisos. Separa práctica de aula, simulación, observación, experiencia de externado y trabajo remunerado independiente en lugar de mezclarlos.</w:t>
      </w:r>
    </w:p>
    <w:p>
      <w:pPr>
        <w:pStyle w:val="BodyText"/>
      </w:pPr>
      <w:r>
        <w:rPr>
          <w:bCs/>
          <w:b/>
        </w:rPr>
        <w:t xml:space="preserve">Semanas 11–12:</w:t>
      </w:r>
      <w:r>
        <w:t xml:space="preserve"> </w:t>
      </w:r>
      <w:r>
        <w:t xml:space="preserve">Solicita puestos compatibles con tu preparación verificada. Prepara ejemplos que demuestren respeto al paciente, precisión, disciplina de control de infecciones, confidencialidad, trabajo en equipo y escalamiento seguro.</w:t>
      </w:r>
    </w:p>
    <w:bookmarkEnd w:id="72"/>
    <w:bookmarkStart w:id="73" w:name="X88f548bedf32602a18075f1b9b0dcf47a0f164f"/>
    <w:p>
      <w:pPr>
        <w:pStyle w:val="Heading2"/>
      </w:pPr>
      <w:r>
        <w:t xml:space="preserve">Cómo construir experiencia sin exagerar el alcance</w:t>
      </w:r>
    </w:p>
    <w:p>
      <w:pPr>
        <w:pStyle w:val="FirstParagraph"/>
      </w:pPr>
      <w:r>
        <w:t xml:space="preserve">La experiencia transferible pertinente puede incluir:</w:t>
      </w:r>
    </w:p>
    <w:p>
      <w:pPr>
        <w:numPr>
          <w:ilvl w:val="0"/>
          <w:numId w:val="1014"/>
        </w:numPr>
        <w:pStyle w:val="Compact"/>
      </w:pPr>
      <w:r>
        <w:t xml:space="preserve">recepción en salud u odontología;</w:t>
      </w:r>
    </w:p>
    <w:p>
      <w:pPr>
        <w:numPr>
          <w:ilvl w:val="0"/>
          <w:numId w:val="1014"/>
        </w:numPr>
        <w:pStyle w:val="Compact"/>
      </w:pPr>
      <w:r>
        <w:t xml:space="preserve">servicio al cliente en entornos regulados;</w:t>
      </w:r>
    </w:p>
    <w:p>
      <w:pPr>
        <w:numPr>
          <w:ilvl w:val="0"/>
          <w:numId w:val="1014"/>
        </w:numPr>
        <w:pStyle w:val="Compact"/>
      </w:pPr>
      <w:r>
        <w:t xml:space="preserve">programación de citas;</w:t>
      </w:r>
    </w:p>
    <w:p>
      <w:pPr>
        <w:numPr>
          <w:ilvl w:val="0"/>
          <w:numId w:val="1014"/>
        </w:numPr>
        <w:pStyle w:val="Compact"/>
      </w:pPr>
      <w:r>
        <w:t xml:space="preserve">apoyo de seguros o facturación;</w:t>
      </w:r>
    </w:p>
    <w:p>
      <w:pPr>
        <w:numPr>
          <w:ilvl w:val="0"/>
          <w:numId w:val="1014"/>
        </w:numPr>
        <w:pStyle w:val="Compact"/>
      </w:pPr>
      <w:r>
        <w:t xml:space="preserve">inventario y suministros;</w:t>
      </w:r>
    </w:p>
    <w:p>
      <w:pPr>
        <w:numPr>
          <w:ilvl w:val="0"/>
          <w:numId w:val="1014"/>
        </w:numPr>
        <w:pStyle w:val="Compact"/>
      </w:pPr>
      <w:r>
        <w:t xml:space="preserve">capacitación supervisada en esterilización/reprocesamiento;</w:t>
      </w:r>
    </w:p>
    <w:p>
      <w:pPr>
        <w:numPr>
          <w:ilvl w:val="0"/>
          <w:numId w:val="1014"/>
        </w:numPr>
        <w:pStyle w:val="Compact"/>
      </w:pPr>
      <w:r>
        <w:t xml:space="preserve">alcance comunitario de salud oral;</w:t>
      </w:r>
    </w:p>
    <w:p>
      <w:pPr>
        <w:numPr>
          <w:ilvl w:val="0"/>
          <w:numId w:val="1014"/>
        </w:numPr>
        <w:pStyle w:val="Compact"/>
      </w:pPr>
      <w:r>
        <w:t xml:space="preserve">externados supervisados;</w:t>
      </w:r>
    </w:p>
    <w:p>
      <w:pPr>
        <w:numPr>
          <w:ilvl w:val="0"/>
          <w:numId w:val="1014"/>
        </w:numPr>
        <w:pStyle w:val="Compact"/>
      </w:pPr>
      <w:r>
        <w:t xml:space="preserve">Registered Apprenticeship; y</w:t>
      </w:r>
    </w:p>
    <w:p>
      <w:pPr>
        <w:numPr>
          <w:ilvl w:val="0"/>
          <w:numId w:val="1014"/>
        </w:numPr>
        <w:pStyle w:val="Compact"/>
      </w:pPr>
      <w:r>
        <w:t xml:space="preserve">capacitación documentada por el empleador.</w:t>
      </w:r>
    </w:p>
    <w:p>
      <w:pPr>
        <w:pStyle w:val="FirstParagraph"/>
      </w:pPr>
      <w:r>
        <w:t xml:space="preserve">Describe exactamente lo que hiciste. No presentes un procedimiento como competencia independiente porque lo observaste, lo practicaste una vez en laboratorio o ayudaste mientras otro profesional lo realizaba.</w:t>
      </w:r>
    </w:p>
    <w:bookmarkEnd w:id="73"/>
    <w:bookmarkStart w:id="74" w:name="progresión-profesional"/>
    <w:p>
      <w:pPr>
        <w:pStyle w:val="Heading2"/>
      </w:pPr>
      <w:r>
        <w:t xml:space="preserve">Progresión profesional</w:t>
      </w:r>
    </w:p>
    <w:p>
      <w:pPr>
        <w:pStyle w:val="FirstParagraph"/>
      </w:pPr>
      <w:r>
        <w:t xml:space="preserve">Con educación, credenciales, experiencia y autorización jurisdiccional adicionales, posibles direcciones incluyen asistente dental sénior, asistente dental líder, asistente dental de funciones ampliadas donde exista esa figura, asistencia en ortodoncia o cirugía oral, coordinación de tratamiento, administración de consultorio dental, apoyo comunitario de salud oral, coordinación de esterilización/prevención de infecciones u otras funciones de apoyo dental.</w:t>
      </w:r>
    </w:p>
    <w:p>
      <w:pPr>
        <w:pStyle w:val="BodyText"/>
      </w:pPr>
      <w:r>
        <w:t xml:space="preserve">Higienista dental, terapeuta dental, tecnólogo dental, técnico de laboratorio y dentista son ocupaciones separadas con sus propios requisitos educativos y regulatorios. No presentes experiencia ordinaria de Dental Assistant como calificación automática para esos alcances.</w:t>
      </w:r>
    </w:p>
    <w:bookmarkEnd w:id="74"/>
    <w:bookmarkStart w:id="75" w:name="accesibilidad-y-adaptaciones"/>
    <w:p>
      <w:pPr>
        <w:pStyle w:val="Heading2"/>
      </w:pPr>
      <w:r>
        <w:t xml:space="preserve">Accesibilidad y adaptaciones</w:t>
      </w:r>
    </w:p>
    <w:p>
      <w:pPr>
        <w:pStyle w:val="FirstParagraph"/>
      </w:pPr>
      <w:r>
        <w:t xml:space="preserve">La asistencia dental puede requerir motricidad fina, trabajo visual cercano, audición y comunicación, posturas prolongadas, movilidad alrededor de equipos de tratamiento, uso de EPP y respuesta rápida a instrucciones clínicas. Una discapacidad no descarta automáticamente la ocupación, pero importa poder realizar de manera segura las funciones esenciales.</w:t>
      </w:r>
    </w:p>
    <w:p>
      <w:pPr>
        <w:pStyle w:val="BodyText"/>
      </w:pPr>
      <w:r>
        <w:t xml:space="preserve">Cuando corresponda, pregunta a proveedores de capacitación y empleadores por aulas y espacios clínicos accesibles, tecnología adaptativa, apoyo de comunicación, equipos ergonómicos, horarios modificados u otras adaptaciones razonables disponibles conforme a la ley aplicable. No dependas de una afirmación de marketing de la escuela como garantía de que toda práctica clínica o empleador podrá apoyar cualquier adaptación.</w:t>
      </w:r>
    </w:p>
    <w:bookmarkEnd w:id="75"/>
    <w:bookmarkStart w:id="76" w:name="Xff54d225efad9ef9a4afe9b07bc3b42c238514f"/>
    <w:p>
      <w:pPr>
        <w:pStyle w:val="Heading2"/>
      </w:pPr>
      <w:r>
        <w:t xml:space="preserve">Evitar estafas y programas de capacitación débiles</w:t>
      </w:r>
    </w:p>
    <w:p>
      <w:pPr>
        <w:pStyle w:val="FirstParagraph"/>
      </w:pPr>
      <w:r>
        <w:t xml:space="preserve">Ten precaución cuando una escuela, reclutador, vendedor de credenciales o empleador:</w:t>
      </w:r>
    </w:p>
    <w:p>
      <w:pPr>
        <w:numPr>
          <w:ilvl w:val="0"/>
          <w:numId w:val="1015"/>
        </w:numPr>
        <w:pStyle w:val="Compact"/>
      </w:pPr>
      <w:r>
        <w:t xml:space="preserve">garantiza empleo o un salario específico;</w:t>
      </w:r>
    </w:p>
    <w:p>
      <w:pPr>
        <w:numPr>
          <w:ilvl w:val="0"/>
          <w:numId w:val="1015"/>
        </w:numPr>
        <w:pStyle w:val="Compact"/>
      </w:pPr>
      <w:r>
        <w:t xml:space="preserve">dice que un certificado autoriza todas las tareas dentales en cualquier lugar;</w:t>
      </w:r>
    </w:p>
    <w:p>
      <w:pPr>
        <w:numPr>
          <w:ilvl w:val="0"/>
          <w:numId w:val="1015"/>
        </w:numPr>
        <w:pStyle w:val="Compact"/>
      </w:pPr>
      <w:r>
        <w:t xml:space="preserve">promete autoridad radiográfica o de funciones ampliadas sin explicar requisitos jurisdiccionales actuales;</w:t>
      </w:r>
    </w:p>
    <w:p>
      <w:pPr>
        <w:numPr>
          <w:ilvl w:val="0"/>
          <w:numId w:val="1015"/>
        </w:numPr>
        <w:pStyle w:val="Compact"/>
      </w:pPr>
      <w:r>
        <w:t xml:space="preserve">afirma que un curso genérico breve en línea sustituye práctica supervisada para habilidades clínicas;</w:t>
      </w:r>
    </w:p>
    <w:p>
      <w:pPr>
        <w:numPr>
          <w:ilvl w:val="0"/>
          <w:numId w:val="1015"/>
        </w:numPr>
        <w:pStyle w:val="Compact"/>
      </w:pPr>
      <w:r>
        <w:t xml:space="preserve">oculta matrícula, financiamiento, reembolsos o condiciones de prácticas clínicas;</w:t>
      </w:r>
    </w:p>
    <w:p>
      <w:pPr>
        <w:numPr>
          <w:ilvl w:val="0"/>
          <w:numId w:val="1015"/>
        </w:numPr>
        <w:pStyle w:val="Compact"/>
      </w:pPr>
      <w:r>
        <w:t xml:space="preserve">no puede explicar elegibilidad de exámenes o alineación regulatoria;</w:t>
      </w:r>
    </w:p>
    <w:p>
      <w:pPr>
        <w:numPr>
          <w:ilvl w:val="0"/>
          <w:numId w:val="1015"/>
        </w:numPr>
        <w:pStyle w:val="Compact"/>
      </w:pPr>
      <w:r>
        <w:t xml:space="preserve">presiona para inscribirse de inmediato;</w:t>
      </w:r>
    </w:p>
    <w:p>
      <w:pPr>
        <w:numPr>
          <w:ilvl w:val="0"/>
          <w:numId w:val="1015"/>
        </w:numPr>
        <w:pStyle w:val="Compact"/>
      </w:pPr>
      <w:r>
        <w:t xml:space="preserve">promete una licencia gubernamental que no existe para el programa;</w:t>
      </w:r>
    </w:p>
    <w:p>
      <w:pPr>
        <w:numPr>
          <w:ilvl w:val="0"/>
          <w:numId w:val="1015"/>
        </w:numPr>
        <w:pStyle w:val="Compact"/>
      </w:pPr>
      <w:r>
        <w:t xml:space="preserve">pide pagar por una oferta de empleo con tarjetas de regalo, criptomonedas o transferencias inusuales; o</w:t>
      </w:r>
    </w:p>
    <w:p>
      <w:pPr>
        <w:numPr>
          <w:ilvl w:val="0"/>
          <w:numId w:val="1015"/>
        </w:numPr>
        <w:pStyle w:val="Compact"/>
      </w:pPr>
      <w:r>
        <w:t xml:space="preserve">solicita información sensible de identidad, banca o pacientes antes de que hayas verificado la organización.</w:t>
      </w:r>
    </w:p>
    <w:p>
      <w:pPr>
        <w:pStyle w:val="FirstParagraph"/>
      </w:pPr>
      <w:r>
        <w:t xml:space="preserve">Verifica de forma independiente la escuela, credencial, regulador, empleador y puesto antes de pagar o compartir información sensible.</w:t>
      </w:r>
    </w:p>
    <w:bookmarkEnd w:id="76"/>
    <w:bookmarkStart w:id="77" w:name="cuándo-detenerte-antes-de-gastar-dinero"/>
    <w:p>
      <w:pPr>
        <w:pStyle w:val="Heading2"/>
      </w:pPr>
      <w:r>
        <w:t xml:space="preserve">Cuándo detenerte antes de gastar dinero</w:t>
      </w:r>
    </w:p>
    <w:p>
      <w:pPr>
        <w:pStyle w:val="FirstParagraph"/>
      </w:pPr>
      <w:r>
        <w:t xml:space="preserve">Detén la inscripción cuando:</w:t>
      </w:r>
    </w:p>
    <w:p>
      <w:pPr>
        <w:numPr>
          <w:ilvl w:val="0"/>
          <w:numId w:val="1016"/>
        </w:numPr>
        <w:pStyle w:val="Compact"/>
      </w:pPr>
      <w:r>
        <w:t xml:space="preserve">no hayas verificado el alcance legal y las reglas radiográficas vigentes donde piensas trabajar;</w:t>
      </w:r>
    </w:p>
    <w:p>
      <w:pPr>
        <w:numPr>
          <w:ilvl w:val="0"/>
          <w:numId w:val="1016"/>
        </w:numPr>
        <w:pStyle w:val="Compact"/>
      </w:pPr>
      <w:r>
        <w:t xml:space="preserve">los empleadores objetivo no soliciten la credencial que se vende;</w:t>
      </w:r>
    </w:p>
    <w:p>
      <w:pPr>
        <w:numPr>
          <w:ilvl w:val="0"/>
          <w:numId w:val="1016"/>
        </w:numPr>
        <w:pStyle w:val="Compact"/>
      </w:pPr>
      <w:r>
        <w:t xml:space="preserve">el programa no explique la práctica clínica supervisada;</w:t>
      </w:r>
    </w:p>
    <w:p>
      <w:pPr>
        <w:numPr>
          <w:ilvl w:val="0"/>
          <w:numId w:val="1016"/>
        </w:numPr>
        <w:pStyle w:val="Compact"/>
      </w:pPr>
      <w:r>
        <w:t xml:space="preserve">no esté clara la elegibilidad para examen o registro;</w:t>
      </w:r>
    </w:p>
    <w:p>
      <w:pPr>
        <w:numPr>
          <w:ilvl w:val="0"/>
          <w:numId w:val="1016"/>
        </w:numPr>
        <w:pStyle w:val="Compact"/>
      </w:pPr>
      <w:r>
        <w:t xml:space="preserve">no se divulguen costo total y condiciones de reembolso;</w:t>
      </w:r>
    </w:p>
    <w:p>
      <w:pPr>
        <w:numPr>
          <w:ilvl w:val="0"/>
          <w:numId w:val="1016"/>
        </w:numPr>
        <w:pStyle w:val="Compact"/>
      </w:pPr>
      <w:r>
        <w:t xml:space="preserve">una vía pública, de aprendizaje, financiada por fuerza laboral, apoyada por ayuda estudiantil o pagada por empleador pueda cubrir la misma preparación;</w:t>
      </w:r>
    </w:p>
    <w:p>
      <w:pPr>
        <w:numPr>
          <w:ilvl w:val="0"/>
          <w:numId w:val="1016"/>
        </w:numPr>
        <w:pStyle w:val="Compact"/>
      </w:pPr>
      <w:r>
        <w:t xml:space="preserve">la escuela haga promesas de transferencia de credenciales entre países sin evidencia del regulador; o</w:t>
      </w:r>
    </w:p>
    <w:p>
      <w:pPr>
        <w:numPr>
          <w:ilvl w:val="0"/>
          <w:numId w:val="1016"/>
        </w:numPr>
        <w:pStyle w:val="Compact"/>
      </w:pPr>
      <w:r>
        <w:t xml:space="preserve">el financiamiento cree una deuda que no puedas pagar cómodamente.</w:t>
      </w:r>
    </w:p>
    <w:bookmarkEnd w:id="77"/>
    <w:bookmarkStart w:id="79" w:name="fuentes-actuales"/>
    <w:p>
      <w:pPr>
        <w:pStyle w:val="Heading2"/>
      </w:pPr>
      <w:r>
        <w:t xml:space="preserve">Fuentes actuales</w:t>
      </w:r>
    </w:p>
    <w:p>
      <w:pPr>
        <w:pStyle w:val="FirstParagraph"/>
      </w:pPr>
      <w:r>
        <w:t xml:space="preserve">Fuentes oficiales/públicas:</w:t>
      </w:r>
    </w:p>
    <w:p>
      <w:pPr>
        <w:numPr>
          <w:ilvl w:val="0"/>
          <w:numId w:val="1017"/>
        </w:numPr>
        <w:pStyle w:val="Compact"/>
      </w:pPr>
      <w:r>
        <w:t xml:space="preserve">U.S. Department of Labor O*NET OnLine — Dental Assistants, 31-9091.00:</w:t>
      </w:r>
      <w:r>
        <w:t xml:space="preserve"> </w:t>
      </w:r>
      <w:hyperlink r:id="rId78">
        <w:r>
          <w:rPr>
            <w:rStyle w:val="Hyperlink"/>
          </w:rPr>
          <w:t xml:space="preserve">https://www.onetonline.org/link/details/31-9091.00</w:t>
        </w:r>
      </w:hyperlink>
    </w:p>
    <w:p>
      <w:pPr>
        <w:numPr>
          <w:ilvl w:val="0"/>
          <w:numId w:val="1017"/>
        </w:numPr>
        <w:pStyle w:val="Compact"/>
      </w:pPr>
      <w:r>
        <w:t xml:space="preserve">O*NET summary / 2025 BLS national wage data — Dental Assistants:</w:t>
      </w:r>
      <w:r>
        <w:t xml:space="preserve"> </w:t>
      </w:r>
      <w:hyperlink r:id="rId42">
        <w:r>
          <w:rPr>
            <w:rStyle w:val="Hyperlink"/>
          </w:rPr>
          <w:t xml:space="preserve">https://www.onetonline.org/link/summary/31-9091.00</w:t>
        </w:r>
      </w:hyperlink>
    </w:p>
    <w:p>
      <w:pPr>
        <w:numPr>
          <w:ilvl w:val="0"/>
          <w:numId w:val="1017"/>
        </w:numPr>
        <w:pStyle w:val="Compact"/>
      </w:pPr>
      <w:r>
        <w:t xml:space="preserve">U.S. Bureau of Labor Statistics — Occupational Outlook Handbook, Dental Assistants:</w:t>
      </w:r>
      <w:r>
        <w:t xml:space="preserve"> </w:t>
      </w:r>
      <w:hyperlink r:id="rId35">
        <w:r>
          <w:rPr>
            <w:rStyle w:val="Hyperlink"/>
          </w:rPr>
          <w:t xml:space="preserve">https://www.bls.gov/ooh/healthcare/dental-assistants.htm</w:t>
        </w:r>
      </w:hyperlink>
    </w:p>
    <w:p>
      <w:pPr>
        <w:numPr>
          <w:ilvl w:val="0"/>
          <w:numId w:val="1017"/>
        </w:numPr>
        <w:pStyle w:val="Compact"/>
      </w:pPr>
      <w:r>
        <w:t xml:space="preserve">Apprenticeship.gov — Healthcare Registered Apprenticeship:</w:t>
      </w:r>
      <w:r>
        <w:t xml:space="preserve"> </w:t>
      </w:r>
      <w:hyperlink r:id="rId37">
        <w:r>
          <w:rPr>
            <w:rStyle w:val="Hyperlink"/>
          </w:rPr>
          <w:t xml:space="preserve">https://www.apprenticeship.gov/apprenticeship-industries/healthcare</w:t>
        </w:r>
      </w:hyperlink>
    </w:p>
    <w:p>
      <w:pPr>
        <w:numPr>
          <w:ilvl w:val="0"/>
          <w:numId w:val="1017"/>
        </w:numPr>
        <w:pStyle w:val="Compact"/>
      </w:pPr>
      <w:r>
        <w:t xml:space="preserve">CareerOneStop — WIOA-Eligible Training Program Finder:</w:t>
      </w:r>
      <w:r>
        <w:t xml:space="preserve"> </w:t>
      </w:r>
      <w:hyperlink r:id="rId39">
        <w:r>
          <w:rPr>
            <w:rStyle w:val="Hyperlink"/>
          </w:rPr>
          <w:t xml:space="preserve">https://www.careeronestop.org/LocalHelp/EmploymentAndTraining/find-WIOA-training-programs.aspx</w:t>
        </w:r>
      </w:hyperlink>
    </w:p>
    <w:p>
      <w:pPr>
        <w:numPr>
          <w:ilvl w:val="0"/>
          <w:numId w:val="1017"/>
        </w:numPr>
        <w:pStyle w:val="Compact"/>
      </w:pPr>
      <w:r>
        <w:t xml:space="preserve">CDC — Summary of Infection Prevention Practices in Dental Settings:</w:t>
      </w:r>
      <w:r>
        <w:t xml:space="preserve"> </w:t>
      </w:r>
      <w:hyperlink r:id="rId26">
        <w:r>
          <w:rPr>
            <w:rStyle w:val="Hyperlink"/>
          </w:rPr>
          <w:t xml:space="preserve">https://www.cdc.gov/dental-infection-control/hcp/summary/</w:t>
        </w:r>
      </w:hyperlink>
    </w:p>
    <w:p>
      <w:pPr>
        <w:numPr>
          <w:ilvl w:val="0"/>
          <w:numId w:val="1017"/>
        </w:numPr>
        <w:pStyle w:val="Compact"/>
      </w:pPr>
      <w:r>
        <w:t xml:space="preserve">CDC — Standard Precautions in Dental Settings:</w:t>
      </w:r>
      <w:r>
        <w:t xml:space="preserve"> </w:t>
      </w:r>
      <w:hyperlink r:id="rId27">
        <w:r>
          <w:rPr>
            <w:rStyle w:val="Hyperlink"/>
          </w:rPr>
          <w:t xml:space="preserve">https://www.cdc.gov/dental-infection-control/hcp/summary/standard-precautions.html</w:t>
        </w:r>
      </w:hyperlink>
    </w:p>
    <w:p>
      <w:pPr>
        <w:numPr>
          <w:ilvl w:val="0"/>
          <w:numId w:val="1017"/>
        </w:numPr>
        <w:pStyle w:val="Compact"/>
      </w:pPr>
      <w:r>
        <w:t xml:space="preserve">CDC — Dental sterilization and monitoring FAQ:</w:t>
      </w:r>
      <w:r>
        <w:t xml:space="preserve"> </w:t>
      </w:r>
      <w:hyperlink r:id="rId28">
        <w:r>
          <w:rPr>
            <w:rStyle w:val="Hyperlink"/>
          </w:rPr>
          <w:t xml:space="preserve">https://www.cdc.gov/dental-infection-control/hcp/dental-ipc-faqs/dental-sterilization.html</w:t>
        </w:r>
      </w:hyperlink>
    </w:p>
    <w:p>
      <w:pPr>
        <w:numPr>
          <w:ilvl w:val="0"/>
          <w:numId w:val="1017"/>
        </w:numPr>
        <w:pStyle w:val="Compact"/>
      </w:pPr>
      <w:r>
        <w:t xml:space="preserve">OSHA — Dentistry:</w:t>
      </w:r>
      <w:r>
        <w:t xml:space="preserve"> </w:t>
      </w:r>
      <w:hyperlink r:id="rId30">
        <w:r>
          <w:rPr>
            <w:rStyle w:val="Hyperlink"/>
          </w:rPr>
          <w:t xml:space="preserve">https://www.osha.gov/dentistry</w:t>
        </w:r>
      </w:hyperlink>
    </w:p>
    <w:p>
      <w:pPr>
        <w:numPr>
          <w:ilvl w:val="0"/>
          <w:numId w:val="1017"/>
        </w:numPr>
        <w:pStyle w:val="Compact"/>
      </w:pPr>
      <w:r>
        <w:t xml:space="preserve">OSHA — Bloodborne Pathogens worker protections:</w:t>
      </w:r>
      <w:r>
        <w:t xml:space="preserve"> </w:t>
      </w:r>
      <w:hyperlink r:id="rId31">
        <w:r>
          <w:rPr>
            <w:rStyle w:val="Hyperlink"/>
          </w:rPr>
          <w:t xml:space="preserve">https://www.osha.gov/bloodborne-pathogens/worker-protections</w:t>
        </w:r>
      </w:hyperlink>
    </w:p>
    <w:p>
      <w:pPr>
        <w:numPr>
          <w:ilvl w:val="0"/>
          <w:numId w:val="1017"/>
        </w:numPr>
        <w:pStyle w:val="Compact"/>
      </w:pPr>
      <w:r>
        <w:t xml:space="preserve">HHS — HIPAA Privacy Rule:</w:t>
      </w:r>
      <w:r>
        <w:t xml:space="preserve"> </w:t>
      </w:r>
      <w:hyperlink r:id="rId66">
        <w:r>
          <w:rPr>
            <w:rStyle w:val="Hyperlink"/>
          </w:rPr>
          <w:t xml:space="preserve">https://www.hhs.gov/hipaa/for-professionals/privacy/index.html</w:t>
        </w:r>
      </w:hyperlink>
    </w:p>
    <w:p>
      <w:pPr>
        <w:numPr>
          <w:ilvl w:val="0"/>
          <w:numId w:val="1017"/>
        </w:numPr>
        <w:pStyle w:val="Compact"/>
      </w:pPr>
      <w:r>
        <w:t xml:space="preserve">HHS — HIPAA Security Rule:</w:t>
      </w:r>
      <w:r>
        <w:t xml:space="preserve"> </w:t>
      </w:r>
      <w:hyperlink r:id="rId67">
        <w:r>
          <w:rPr>
            <w:rStyle w:val="Hyperlink"/>
          </w:rPr>
          <w:t xml:space="preserve">https://www.hhs.gov/hipaa/for-professionals/security/index.html</w:t>
        </w:r>
      </w:hyperlink>
    </w:p>
    <w:p>
      <w:pPr>
        <w:numPr>
          <w:ilvl w:val="0"/>
          <w:numId w:val="1017"/>
        </w:numPr>
        <w:pStyle w:val="Compact"/>
      </w:pPr>
      <w:r>
        <w:t xml:space="preserve">Government of Canada NOC 33100 — Dental assistants and dental laboratory assistants:</w:t>
      </w:r>
      <w:r>
        <w:t xml:space="preserve"> </w:t>
      </w:r>
      <w:hyperlink r:id="rId46">
        <w:r>
          <w:rPr>
            <w:rStyle w:val="Hyperlink"/>
          </w:rPr>
          <w:t xml:space="preserve">https://noc.esdc.gc.ca/Structure/NOCProfile?GocTemplateCulture=en-CA&amp;code=33100&amp;version=2021.0</w:t>
        </w:r>
      </w:hyperlink>
    </w:p>
    <w:p>
      <w:pPr>
        <w:numPr>
          <w:ilvl w:val="0"/>
          <w:numId w:val="1017"/>
        </w:numPr>
        <w:pStyle w:val="Compact"/>
      </w:pPr>
      <w:r>
        <w:t xml:space="preserve">Government of Canada OaSIS hierarchy:</w:t>
      </w:r>
      <w:r>
        <w:t xml:space="preserve"> </w:t>
      </w:r>
      <w:hyperlink r:id="rId47">
        <w:r>
          <w:rPr>
            <w:rStyle w:val="Hyperlink"/>
          </w:rPr>
          <w:t xml:space="preserve">https://noc.esdc.gc.ca/OaSIS/OaSISHierarchy</w:t>
        </w:r>
      </w:hyperlink>
    </w:p>
    <w:p>
      <w:pPr>
        <w:numPr>
          <w:ilvl w:val="0"/>
          <w:numId w:val="1017"/>
        </w:numPr>
        <w:pStyle w:val="Compact"/>
      </w:pPr>
      <w:r>
        <w:t xml:space="preserve">Government of Canada Job Bank — Dental Assistant requirements:</w:t>
      </w:r>
      <w:r>
        <w:t xml:space="preserve"> </w:t>
      </w:r>
      <w:hyperlink r:id="rId49">
        <w:r>
          <w:rPr>
            <w:rStyle w:val="Hyperlink"/>
          </w:rPr>
          <w:t xml:space="preserve">https://www.jobbank.gc.ca/marketreport/requirements/4475/ca</w:t>
        </w:r>
      </w:hyperlink>
    </w:p>
    <w:p>
      <w:pPr>
        <w:numPr>
          <w:ilvl w:val="0"/>
          <w:numId w:val="1017"/>
        </w:numPr>
        <w:pStyle w:val="Compact"/>
      </w:pPr>
      <w:r>
        <w:t xml:space="preserve">Government of Canada Job Bank — Dental Assistant wages:</w:t>
      </w:r>
      <w:r>
        <w:t xml:space="preserve"> </w:t>
      </w:r>
      <w:hyperlink r:id="rId51">
        <w:r>
          <w:rPr>
            <w:rStyle w:val="Hyperlink"/>
          </w:rPr>
          <w:t xml:space="preserve">https://www.jobbank.gc.ca/marketreport/wages-occupation/4475/ca</w:t>
        </w:r>
      </w:hyperlink>
    </w:p>
    <w:p>
      <w:pPr>
        <w:numPr>
          <w:ilvl w:val="0"/>
          <w:numId w:val="1017"/>
        </w:numPr>
        <w:pStyle w:val="Compact"/>
      </w:pPr>
      <w:r>
        <w:t xml:space="preserve">Government of Canada — Canada Student Grant for Full-Time Students:</w:t>
      </w:r>
      <w:r>
        <w:t xml:space="preserve"> </w:t>
      </w:r>
      <w:hyperlink r:id="rId52">
        <w:r>
          <w:rPr>
            <w:rStyle w:val="Hyperlink"/>
          </w:rPr>
          <w:t xml:space="preserve">https://www.canada.ca/en/services/benefits/education/student-aid/grants-loans/full-time.html</w:t>
        </w:r>
      </w:hyperlink>
    </w:p>
    <w:p>
      <w:pPr>
        <w:numPr>
          <w:ilvl w:val="0"/>
          <w:numId w:val="1017"/>
        </w:numPr>
        <w:pStyle w:val="Compact"/>
      </w:pPr>
      <w:r>
        <w:t xml:space="preserve">Colombia Ministerio del Trabajo OCUPACOL — CUOC 53292 Auxiliares de salud oral:</w:t>
      </w:r>
      <w:r>
        <w:t xml:space="preserve"> </w:t>
      </w:r>
      <w:hyperlink r:id="rId54">
        <w:r>
          <w:rPr>
            <w:rStyle w:val="Hyperlink"/>
          </w:rPr>
          <w:t xml:space="preserve">https://ocupacol.mintrabajo.gov.co/Profile/OccupationalProfile/53292</w:t>
        </w:r>
      </w:hyperlink>
    </w:p>
    <w:p>
      <w:pPr>
        <w:numPr>
          <w:ilvl w:val="0"/>
          <w:numId w:val="1017"/>
        </w:numPr>
        <w:pStyle w:val="Compact"/>
      </w:pPr>
      <w:r>
        <w:t xml:space="preserve">SENA Normograma — Decreto 1409 de 2024:</w:t>
      </w:r>
      <w:r>
        <w:t xml:space="preserve"> </w:t>
      </w:r>
      <w:hyperlink r:id="rId56">
        <w:r>
          <w:rPr>
            <w:rStyle w:val="Hyperlink"/>
          </w:rPr>
          <w:t xml:space="preserve">https://normograma.sena.edu.co/compilacion/docs/decreto_1409_2024.htm</w:t>
        </w:r>
      </w:hyperlink>
    </w:p>
    <w:p>
      <w:pPr>
        <w:numPr>
          <w:ilvl w:val="0"/>
          <w:numId w:val="1017"/>
        </w:numPr>
        <w:pStyle w:val="Compact"/>
      </w:pPr>
      <w:r>
        <w:t xml:space="preserve">SENA Normograma — Resolución SENA 2057 de 2025, actualización del programa Técnico Laboral en Salud Oral:</w:t>
      </w:r>
      <w:r>
        <w:t xml:space="preserve"> </w:t>
      </w:r>
      <w:hyperlink r:id="rId57">
        <w:r>
          <w:rPr>
            <w:rStyle w:val="Hyperlink"/>
          </w:rPr>
          <w:t xml:space="preserve">https://normograma.sena.edu.co/compilacion/docs/resolucion_sena_2057_2025.htm</w:t>
        </w:r>
      </w:hyperlink>
    </w:p>
    <w:p>
      <w:pPr>
        <w:numPr>
          <w:ilvl w:val="0"/>
          <w:numId w:val="1017"/>
        </w:numPr>
        <w:pStyle w:val="Compact"/>
      </w:pPr>
      <w:r>
        <w:t xml:space="preserve">SENA Betowa — Salud Oral:</w:t>
      </w:r>
      <w:r>
        <w:t xml:space="preserve"> </w:t>
      </w:r>
      <w:hyperlink r:id="rId58">
        <w:r>
          <w:rPr>
            <w:rStyle w:val="Hyperlink"/>
          </w:rPr>
          <w:t xml:space="preserve">https://betowa.sena.edu.co/oferta/salud-oral</w:t>
        </w:r>
      </w:hyperlink>
    </w:p>
    <w:p>
      <w:pPr>
        <w:numPr>
          <w:ilvl w:val="0"/>
          <w:numId w:val="1017"/>
        </w:numPr>
        <w:pStyle w:val="Compact"/>
      </w:pPr>
      <w:r>
        <w:t xml:space="preserve">SENA Normograma — Resolución Minsalud 914 de 2025, reprocesamiento de dispositivos médicos reutilizables:</w:t>
      </w:r>
      <w:r>
        <w:t xml:space="preserve"> </w:t>
      </w:r>
      <w:hyperlink r:id="rId61">
        <w:r>
          <w:rPr>
            <w:rStyle w:val="Hyperlink"/>
          </w:rPr>
          <w:t xml:space="preserve">https://normograma.sena.edu.co/compilacion/docs/resolucion_minsaludps_0914_2025.htm</w:t>
        </w:r>
      </w:hyperlink>
    </w:p>
    <w:p>
      <w:pPr>
        <w:numPr>
          <w:ilvl w:val="0"/>
          <w:numId w:val="1017"/>
        </w:numPr>
        <w:pStyle w:val="Compact"/>
      </w:pPr>
      <w:r>
        <w:t xml:space="preserve">OIT/Cinterfor regional vocational-training locator:</w:t>
      </w:r>
      <w:r>
        <w:t xml:space="preserve"> </w:t>
      </w:r>
      <w:hyperlink r:id="rId63">
        <w:r>
          <w:rPr>
            <w:rStyle w:val="Hyperlink"/>
          </w:rPr>
          <w:t xml:space="preserve">https://www.oitcinterfor.org/</w:t>
        </w:r>
      </w:hyperlink>
    </w:p>
    <w:p>
      <w:pPr>
        <w:numPr>
          <w:ilvl w:val="0"/>
          <w:numId w:val="1017"/>
        </w:numPr>
        <w:pStyle w:val="Compact"/>
      </w:pPr>
      <w:r>
        <w:t xml:space="preserve">OIT/Cinterfor institutional network:</w:t>
      </w:r>
      <w:r>
        <w:t xml:space="preserve"> </w:t>
      </w:r>
      <w:hyperlink r:id="rId64">
        <w:r>
          <w:rPr>
            <w:rStyle w:val="Hyperlink"/>
          </w:rPr>
          <w:t xml:space="preserve">https://www.oitcinterfor.org/red-institucional</w:t>
        </w:r>
      </w:hyperlink>
    </w:p>
    <w:p>
      <w:pPr>
        <w:pStyle w:val="FirstParagraph"/>
      </w:pPr>
      <w:r>
        <w:t xml:space="preserve">Localizador especializado de requisitos estatales:</w:t>
      </w:r>
    </w:p>
    <w:p>
      <w:pPr>
        <w:numPr>
          <w:ilvl w:val="0"/>
          <w:numId w:val="1018"/>
        </w:numPr>
        <w:pStyle w:val="Compact"/>
      </w:pPr>
      <w:r>
        <w:t xml:space="preserve">Dental Assisting National Board — state publications and services:</w:t>
      </w:r>
      <w:r>
        <w:t xml:space="preserve"> </w:t>
      </w:r>
      <w:hyperlink r:id="rId23">
        <w:r>
          <w:rPr>
            <w:rStyle w:val="Hyperlink"/>
          </w:rPr>
          <w:t xml:space="preserve">https://www.danb.org/state-requirements/state-publications-and-services</w:t>
        </w:r>
      </w:hyperlink>
    </w:p>
    <w:p>
      <w:pPr>
        <w:pStyle w:val="FirstParagraph"/>
      </w:pPr>
      <w:r>
        <w:t xml:space="preserve">Fuente salarial suplementaria no gubernamental:</w:t>
      </w:r>
    </w:p>
    <w:p>
      <w:pPr>
        <w:numPr>
          <w:ilvl w:val="0"/>
          <w:numId w:val="1019"/>
        </w:numPr>
        <w:pStyle w:val="Compact"/>
      </w:pPr>
      <w:r>
        <w:t xml:space="preserve">Salary.com — Dental Assistant salary, August 1, 2026:</w:t>
      </w:r>
      <w:r>
        <w:t xml:space="preserve"> </w:t>
      </w:r>
      <w:hyperlink r:id="rId44">
        <w:r>
          <w:rPr>
            <w:rStyle w:val="Hyperlink"/>
          </w:rPr>
          <w:t xml:space="preserve">https://www.salary.com/research/salary/benchmark/dental-assistant-salary</w:t>
        </w:r>
      </w:hyperlink>
    </w:p>
    <w:bookmarkEnd w:id="79"/>
    <w:bookmarkStart w:id="80" w:name="nota-de-fuentes-y-revisión"/>
    <w:p>
      <w:pPr>
        <w:pStyle w:val="Heading2"/>
      </w:pPr>
      <w:r>
        <w:t xml:space="preserve">Nota de fuentes y revisión</w:t>
      </w:r>
    </w:p>
    <w:p>
      <w:pPr>
        <w:pStyle w:val="FirstParagraph"/>
      </w:pPr>
      <w:r>
        <w:t xml:space="preserve">Esta guía utiliza investigación de fuentes actuales registrada el 19 de agosto de 2026. Los títulos ocupacionales, reglas estatales/provinciales/nacionales de alcance, permisos radiográficos, credenciales, requisitos de capacitación, procesos ReTHUS, disponibilidad de programas, salarios, financiamiento y expectativas de empleadores pueden cambiar. Vuelve a verificar fuentes oficiales vigentes y vacantes locales antes de tomar una decisión educativa o laboral.</w:t>
      </w:r>
    </w:p>
    <w:p>
      <w:pPr>
        <w:pStyle w:val="BodyText"/>
      </w:pPr>
      <w:r>
        <w:t xml:space="preserve">Esta revisión controlada fue producida con asistencia de IA y revisión auditable de fuentes.</w:t>
      </w:r>
      <w:r>
        <w:t xml:space="preserve"> </w:t>
      </w:r>
      <w:r>
        <w:rPr>
          <w:bCs/>
          <w:b/>
        </w:rPr>
        <w:t xml:space="preserve">No afirma certificación humana independiente, certificación profesional de traducción, certificación de accesibilidad, acreditación, revisión dental o legal, asesoramiento financiero, autorización de práctica clínica, aprobación de un organismo certificador, transferencia de credenciales ni resultados garantizados de admisión, empleo, salario o promoción.</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8" Target="https://betowa.sena.edu.co/oferta/salud-oral" TargetMode="External" /><Relationship Type="http://schemas.openxmlformats.org/officeDocument/2006/relationships/hyperlink" Id="rId47" Target="https://noc.esdc.gc.ca/OaSIS/OaSISHierarchy" TargetMode="External" /><Relationship Type="http://schemas.openxmlformats.org/officeDocument/2006/relationships/hyperlink" Id="rId46" Target="https://noc.esdc.gc.ca/Structure/NOCProfile?GocTemplateCulture=en-CA&amp;code=33100&amp;version=2021.0" TargetMode="External" /><Relationship Type="http://schemas.openxmlformats.org/officeDocument/2006/relationships/hyperlink" Id="rId56" Target="https://normograma.sena.edu.co/compilacion/docs/decreto_1409_2024.htm" TargetMode="External" /><Relationship Type="http://schemas.openxmlformats.org/officeDocument/2006/relationships/hyperlink" Id="rId61" Target="https://normograma.sena.edu.co/compilacion/docs/resolucion_minsaludps_0914_2025.htm" TargetMode="External" /><Relationship Type="http://schemas.openxmlformats.org/officeDocument/2006/relationships/hyperlink" Id="rId57" Target="https://normograma.sena.edu.co/compilacion/docs/resolucion_sena_2057_2025.htm" TargetMode="External" /><Relationship Type="http://schemas.openxmlformats.org/officeDocument/2006/relationships/hyperlink" Id="rId54" Target="https://ocupacol.mintrabajo.gov.co/Profile/OccupationalProfile/53292" TargetMode="External" /><Relationship Type="http://schemas.openxmlformats.org/officeDocument/2006/relationships/hyperlink" Id="rId37" Target="https://www.apprenticeship.gov/apprenticeship-industries/healthcare" TargetMode="External" /><Relationship Type="http://schemas.openxmlformats.org/officeDocument/2006/relationships/hyperlink" Id="rId35" Target="https://www.bls.gov/ooh/healthcare/dental-assistants.htm" TargetMode="External" /><Relationship Type="http://schemas.openxmlformats.org/officeDocument/2006/relationships/hyperlink" Id="rId52" Target="https://www.canada.ca/en/services/benefits/education/student-aid/grants-loans/full-time.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28" Target="https://www.cdc.gov/dental-infection-control/hcp/dental-ipc-faqs/dental-sterilization.html" TargetMode="External" /><Relationship Type="http://schemas.openxmlformats.org/officeDocument/2006/relationships/hyperlink" Id="rId26" Target="https://www.cdc.gov/dental-infection-control/hcp/summary/" TargetMode="External" /><Relationship Type="http://schemas.openxmlformats.org/officeDocument/2006/relationships/hyperlink" Id="rId27" Target="https://www.cdc.gov/dental-infection-control/hcp/summary/standard-precautions.html" TargetMode="External" /><Relationship Type="http://schemas.openxmlformats.org/officeDocument/2006/relationships/hyperlink" Id="rId23" Target="https://www.danb.org/state-requirements/state-publications-and-services" TargetMode="External" /><Relationship Type="http://schemas.openxmlformats.org/officeDocument/2006/relationships/hyperlink" Id="rId66" Target="https://www.hhs.gov/hipaa/for-professionals/privacy/index.html" TargetMode="External" /><Relationship Type="http://schemas.openxmlformats.org/officeDocument/2006/relationships/hyperlink" Id="rId67" Target="https://www.hhs.gov/hipaa/for-professionals/security/index.html" TargetMode="External" /><Relationship Type="http://schemas.openxmlformats.org/officeDocument/2006/relationships/hyperlink" Id="rId49" Target="https://www.jobbank.gc.ca/marketreport/requirements/4475/ca" TargetMode="External" /><Relationship Type="http://schemas.openxmlformats.org/officeDocument/2006/relationships/hyperlink" Id="rId51" Target="https://www.jobbank.gc.ca/marketreport/wages-occupation/4475/ca" TargetMode="External" /><Relationship Type="http://schemas.openxmlformats.org/officeDocument/2006/relationships/hyperlink" Id="rId63" Target="https://www.oitcinterfor.org/" TargetMode="External" /><Relationship Type="http://schemas.openxmlformats.org/officeDocument/2006/relationships/hyperlink" Id="rId64" Target="https://www.oitcinterfor.org/red-institucional" TargetMode="External" /><Relationship Type="http://schemas.openxmlformats.org/officeDocument/2006/relationships/hyperlink" Id="rId78" Target="https://www.onetonline.org/link/details/31-9091.00" TargetMode="External" /><Relationship Type="http://schemas.openxmlformats.org/officeDocument/2006/relationships/hyperlink" Id="rId42" Target="https://www.onetonline.org/link/summary/31-9091.00" TargetMode="External" /><Relationship Type="http://schemas.openxmlformats.org/officeDocument/2006/relationships/hyperlink" Id="rId31" Target="https://www.osha.gov/bloodborne-pathogens/worker-protections" TargetMode="External" /><Relationship Type="http://schemas.openxmlformats.org/officeDocument/2006/relationships/hyperlink" Id="rId30" Target="https://www.osha.gov/dentistry" TargetMode="External" /><Relationship Type="http://schemas.openxmlformats.org/officeDocument/2006/relationships/hyperlink" Id="rId44" Target="https://www.salary.com/research/salary/benchmark/dental-assistant-salary" TargetMode="External" /></Relationships>
</file>

<file path=word/_rels/footnotes.xml.rels><?xml version="1.0" encoding="UTF-8"?><Relationships xmlns="http://schemas.openxmlformats.org/package/2006/relationships"><Relationship Type="http://schemas.openxmlformats.org/officeDocument/2006/relationships/hyperlink" Id="rId58" Target="https://betowa.sena.edu.co/oferta/salud-oral" TargetMode="External" /><Relationship Type="http://schemas.openxmlformats.org/officeDocument/2006/relationships/hyperlink" Id="rId47" Target="https://noc.esdc.gc.ca/OaSIS/OaSISHierarchy" TargetMode="External" /><Relationship Type="http://schemas.openxmlformats.org/officeDocument/2006/relationships/hyperlink" Id="rId46" Target="https://noc.esdc.gc.ca/Structure/NOCProfile?GocTemplateCulture=en-CA&amp;code=33100&amp;version=2021.0" TargetMode="External" /><Relationship Type="http://schemas.openxmlformats.org/officeDocument/2006/relationships/hyperlink" Id="rId56" Target="https://normograma.sena.edu.co/compilacion/docs/decreto_1409_2024.htm" TargetMode="External" /><Relationship Type="http://schemas.openxmlformats.org/officeDocument/2006/relationships/hyperlink" Id="rId61" Target="https://normograma.sena.edu.co/compilacion/docs/resolucion_minsaludps_0914_2025.htm" TargetMode="External" /><Relationship Type="http://schemas.openxmlformats.org/officeDocument/2006/relationships/hyperlink" Id="rId57" Target="https://normograma.sena.edu.co/compilacion/docs/resolucion_sena_2057_2025.htm" TargetMode="External" /><Relationship Type="http://schemas.openxmlformats.org/officeDocument/2006/relationships/hyperlink" Id="rId54" Target="https://ocupacol.mintrabajo.gov.co/Profile/OccupationalProfile/53292" TargetMode="External" /><Relationship Type="http://schemas.openxmlformats.org/officeDocument/2006/relationships/hyperlink" Id="rId37" Target="https://www.apprenticeship.gov/apprenticeship-industries/healthcare" TargetMode="External" /><Relationship Type="http://schemas.openxmlformats.org/officeDocument/2006/relationships/hyperlink" Id="rId35" Target="https://www.bls.gov/ooh/healthcare/dental-assistants.htm" TargetMode="External" /><Relationship Type="http://schemas.openxmlformats.org/officeDocument/2006/relationships/hyperlink" Id="rId52" Target="https://www.canada.ca/en/services/benefits/education/student-aid/grants-loans/full-time.html" TargetMode="External" /><Relationship Type="http://schemas.openxmlformats.org/officeDocument/2006/relationships/hyperlink" Id="rId39" Target="https://www.careeronestop.org/LocalHelp/EmploymentAndTraining/find-WIOA-training-programs.aspx" TargetMode="External" /><Relationship Type="http://schemas.openxmlformats.org/officeDocument/2006/relationships/hyperlink" Id="rId28" Target="https://www.cdc.gov/dental-infection-control/hcp/dental-ipc-faqs/dental-sterilization.html" TargetMode="External" /><Relationship Type="http://schemas.openxmlformats.org/officeDocument/2006/relationships/hyperlink" Id="rId26" Target="https://www.cdc.gov/dental-infection-control/hcp/summary/" TargetMode="External" /><Relationship Type="http://schemas.openxmlformats.org/officeDocument/2006/relationships/hyperlink" Id="rId27" Target="https://www.cdc.gov/dental-infection-control/hcp/summary/standard-precautions.html" TargetMode="External" /><Relationship Type="http://schemas.openxmlformats.org/officeDocument/2006/relationships/hyperlink" Id="rId23" Target="https://www.danb.org/state-requirements/state-publications-and-services" TargetMode="External" /><Relationship Type="http://schemas.openxmlformats.org/officeDocument/2006/relationships/hyperlink" Id="rId66" Target="https://www.hhs.gov/hipaa/for-professionals/privacy/index.html" TargetMode="External" /><Relationship Type="http://schemas.openxmlformats.org/officeDocument/2006/relationships/hyperlink" Id="rId67" Target="https://www.hhs.gov/hipaa/for-professionals/security/index.html" TargetMode="External" /><Relationship Type="http://schemas.openxmlformats.org/officeDocument/2006/relationships/hyperlink" Id="rId49" Target="https://www.jobbank.gc.ca/marketreport/requirements/4475/ca" TargetMode="External" /><Relationship Type="http://schemas.openxmlformats.org/officeDocument/2006/relationships/hyperlink" Id="rId51" Target="https://www.jobbank.gc.ca/marketreport/wages-occupation/4475/ca" TargetMode="External" /><Relationship Type="http://schemas.openxmlformats.org/officeDocument/2006/relationships/hyperlink" Id="rId63" Target="https://www.oitcinterfor.org/" TargetMode="External" /><Relationship Type="http://schemas.openxmlformats.org/officeDocument/2006/relationships/hyperlink" Id="rId64" Target="https://www.oitcinterfor.org/red-institucional" TargetMode="External" /><Relationship Type="http://schemas.openxmlformats.org/officeDocument/2006/relationships/hyperlink" Id="rId78" Target="https://www.onetonline.org/link/details/31-9091.00" TargetMode="External" /><Relationship Type="http://schemas.openxmlformats.org/officeDocument/2006/relationships/hyperlink" Id="rId42" Target="https://www.onetonline.org/link/summary/31-9091.00" TargetMode="External" /><Relationship Type="http://schemas.openxmlformats.org/officeDocument/2006/relationships/hyperlink" Id="rId31" Target="https://www.osha.gov/bloodborne-pathogens/worker-protections" TargetMode="External" /><Relationship Type="http://schemas.openxmlformats.org/officeDocument/2006/relationships/hyperlink" Id="rId30" Target="https://www.osha.gov/dentistry" TargetMode="External" /><Relationship Type="http://schemas.openxmlformats.org/officeDocument/2006/relationships/hyperlink" Id="rId44" Target="https://www.salary.com/research/salary/benchmark/dental-assistant-salar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2026-08-19T12:38:26Z</dcterms:created>
  <dcterms:modified xsi:type="dcterms:W3CDTF">2026-08-19T12:38:26Z</dcterms:modified>
</cp:coreProperties>
</file>

<file path=docProps/custom.xml><?xml version="1.0" encoding="utf-8"?>
<Properties xmlns="http://schemas.openxmlformats.org/officeDocument/2006/custom-properties" xmlns:vt="http://schemas.openxmlformats.org/officeDocument/2006/docPropsVTypes"/>
</file>