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guia-50--técnico-em-flebotomia"/>
    <w:p>
      <w:pPr>
        <w:pStyle w:val="Heading1"/>
      </w:pPr>
      <w:r>
        <w:t xml:space="preserve">Guia 50 — Técnico em Flebotomia</w:t>
      </w:r>
    </w:p>
    <w:p>
      <w:pPr>
        <w:pStyle w:val="FirstParagraph"/>
      </w:pPr>
      <w:r>
        <w:rPr>
          <w:bCs/>
          <w:b/>
        </w:rPr>
        <w:t xml:space="preserve">Mestre de trabalho controlado em português do Brasil (pt-BR) — versão 2.0</w:t>
      </w:r>
      <w:r>
        <w:br/>
      </w:r>
      <w:r>
        <w:rPr>
          <w:bCs/>
          <w:b/>
        </w:rPr>
        <w:t xml:space="preserve">Data da revisão:</w:t>
      </w:r>
      <w:r>
        <w:t xml:space="preserve"> </w:t>
      </w:r>
      <w:r>
        <w:t xml:space="preserve">19 de agosto de 2026</w:t>
      </w:r>
      <w:r>
        <w:br/>
      </w:r>
      <w:r>
        <w:rPr>
          <w:bCs/>
          <w:b/>
        </w:rPr>
        <w:t xml:space="preserve">Licença:</w:t>
      </w:r>
      <w:r>
        <w:t xml:space="preserve"> </w:t>
      </w:r>
      <w:r>
        <w:t xml:space="preserve">CC BY-NC-SA 4.0</w:t>
      </w:r>
    </w:p>
    <w:bookmarkStart w:id="20" w:name="o-que-é-este-trabalho"/>
    <w:p>
      <w:pPr>
        <w:pStyle w:val="Heading2"/>
      </w:pPr>
      <w:r>
        <w:t xml:space="preserve">O que é este trabalho</w:t>
      </w:r>
    </w:p>
    <w:p>
      <w:pPr>
        <w:pStyle w:val="FirstParagraph"/>
      </w:pPr>
      <w:r>
        <w:t xml:space="preserve">Técnicos em flebotomia coletam amostras de sangue e apoiam a identificação, rotulagem, manipulação e transferência corretas das amostras para exames laboratoriais. Costumam trabalhar em hospitais, laboratórios ambulatoriais, consultórios médicos, serviços de doação de sangue, clínicas, serviços de saúde pública e outros ambientes de atenção à saúde.</w:t>
      </w:r>
    </w:p>
    <w:p>
      <w:pPr>
        <w:pStyle w:val="BodyText"/>
      </w:pPr>
      <w:r>
        <w:t xml:space="preserve">Nos Estados Unidos, o O*NET classifica Phlebotomists como</w:t>
      </w:r>
      <w:r>
        <w:t xml:space="preserve"> </w:t>
      </w:r>
      <w:r>
        <w:rPr>
          <w:bCs/>
          <w:b/>
        </w:rPr>
        <w:t xml:space="preserve">31-9097.00</w:t>
      </w:r>
      <w:r>
        <w:t xml:space="preserve">. É um trabalho crítico para a segurança porque envolve contato direto com pacientes, exposição a sangue, perfurocortantes contaminados, informações de saúde protegidas e controles de identidade de amostras.</w:t>
      </w:r>
    </w:p>
    <w:p>
      <w:pPr>
        <w:pStyle w:val="BodyText"/>
      </w:pPr>
      <w:r>
        <w:t xml:space="preserve">Este guia serve para exploração e preparação profissional.</w:t>
      </w:r>
      <w:r>
        <w:t xml:space="preserve"> </w:t>
      </w:r>
      <w:r>
        <w:rPr>
          <w:bCs/>
          <w:b/>
        </w:rPr>
        <w:t xml:space="preserve">Não</w:t>
      </w:r>
      <w:r>
        <w:t xml:space="preserve"> </w:t>
      </w:r>
      <w:r>
        <w:t xml:space="preserve">é um manual de procedimento de venopunção, aconselhamento médico, aconselhamento jurídico, orientação sobre licenciamento nem autorização para executar uma tarefa clínica. A coleta de sangue e o manuseio de amostras exigem formação, autorização, supervisão e procedimentos adequados do empregador ou da instituição.</w:t>
      </w:r>
    </w:p>
    <w:bookmarkEnd w:id="20"/>
    <w:bookmarkStart w:id="21" w:name="o-que-você-pode-fazer"/>
    <w:p>
      <w:pPr>
        <w:pStyle w:val="Heading2"/>
      </w:pPr>
      <w:r>
        <w:t xml:space="preserve">O que você pode fazer</w:t>
      </w:r>
    </w:p>
    <w:p>
      <w:pPr>
        <w:pStyle w:val="FirstParagraph"/>
      </w:pPr>
      <w:r>
        <w:t xml:space="preserve">Dependendo do empregador, jurisdição, formação, supervisão e escopo autorizado, as funções podem incluir:</w:t>
      </w:r>
    </w:p>
    <w:p>
      <w:pPr>
        <w:numPr>
          <w:ilvl w:val="0"/>
          <w:numId w:val="1001"/>
        </w:numPr>
        <w:pStyle w:val="Compact"/>
      </w:pPr>
      <w:r>
        <w:t xml:space="preserve">confirmar a identidade do paciente por meio de procedimentos aprovados;</w:t>
      </w:r>
    </w:p>
    <w:p>
      <w:pPr>
        <w:numPr>
          <w:ilvl w:val="0"/>
          <w:numId w:val="1001"/>
        </w:numPr>
        <w:pStyle w:val="Compact"/>
      </w:pPr>
      <w:r>
        <w:t xml:space="preserve">preparar pacientes para uma coleta de sangue autorizada;</w:t>
      </w:r>
    </w:p>
    <w:p>
      <w:pPr>
        <w:numPr>
          <w:ilvl w:val="0"/>
          <w:numId w:val="1001"/>
        </w:numPr>
        <w:pStyle w:val="Compact"/>
      </w:pPr>
      <w:r>
        <w:t xml:space="preserve">coletar amostras de sangue quando treinado e autorizado;</w:t>
      </w:r>
    </w:p>
    <w:p>
      <w:pPr>
        <w:numPr>
          <w:ilvl w:val="0"/>
          <w:numId w:val="1001"/>
        </w:numPr>
        <w:pStyle w:val="Compact"/>
      </w:pPr>
      <w:r>
        <w:t xml:space="preserve">rotular amostras com precisão no ponto exigido pela política da instituição;</w:t>
      </w:r>
    </w:p>
    <w:p>
      <w:pPr>
        <w:numPr>
          <w:ilvl w:val="0"/>
          <w:numId w:val="1001"/>
        </w:numPr>
        <w:pStyle w:val="Compact"/>
      </w:pPr>
      <w:r>
        <w:t xml:space="preserve">preparar amostras para transporte ou processamento laboratorial;</w:t>
      </w:r>
    </w:p>
    <w:p>
      <w:pPr>
        <w:numPr>
          <w:ilvl w:val="0"/>
          <w:numId w:val="1001"/>
        </w:numPr>
        <w:pStyle w:val="Compact"/>
      </w:pPr>
      <w:r>
        <w:t xml:space="preserve">manter suprimentos de coleta e equipamentos aprovados;</w:t>
      </w:r>
    </w:p>
    <w:p>
      <w:pPr>
        <w:numPr>
          <w:ilvl w:val="0"/>
          <w:numId w:val="1001"/>
        </w:numPr>
        <w:pStyle w:val="Compact"/>
      </w:pPr>
      <w:r>
        <w:t xml:space="preserve">seguir requisitos de prevenção de infecções, segurança com perfurocortantes, controle de exposição e descarte de resíduos;</w:t>
      </w:r>
    </w:p>
    <w:p>
      <w:pPr>
        <w:numPr>
          <w:ilvl w:val="0"/>
          <w:numId w:val="1001"/>
        </w:numPr>
        <w:pStyle w:val="Compact"/>
      </w:pPr>
      <w:r>
        <w:t xml:space="preserve">inserir ou verificar informações rotineiras em sistemas aprovados de laboratório ou saúde;</w:t>
      </w:r>
    </w:p>
    <w:p>
      <w:pPr>
        <w:numPr>
          <w:ilvl w:val="0"/>
          <w:numId w:val="1001"/>
        </w:numPr>
        <w:pStyle w:val="Compact"/>
      </w:pPr>
      <w:r>
        <w:t xml:space="preserve">comunicar-se com pacientes de forma calma e respeitosa;</w:t>
      </w:r>
    </w:p>
    <w:p>
      <w:pPr>
        <w:numPr>
          <w:ilvl w:val="0"/>
          <w:numId w:val="1001"/>
        </w:numPr>
        <w:pStyle w:val="Compact"/>
      </w:pPr>
      <w:r>
        <w:t xml:space="preserve">reconhecer quando uma situação está fora da sua função e escalá-la adequadamente; e</w:t>
      </w:r>
    </w:p>
    <w:p>
      <w:pPr>
        <w:numPr>
          <w:ilvl w:val="0"/>
          <w:numId w:val="1001"/>
        </w:numPr>
        <w:pStyle w:val="Compact"/>
      </w:pPr>
      <w:r>
        <w:t xml:space="preserve">documentar o trabalho de acordo com os procedimentos do empregador e da instituição.</w:t>
      </w:r>
    </w:p>
    <w:p>
      <w:pPr>
        <w:pStyle w:val="FirstParagraph"/>
      </w:pPr>
      <w:r>
        <w:t xml:space="preserve">A lista exata de tarefas varia. Um título de cargo, certificado de curso ou credencial privada não cria automaticamente o mesmo escopo de prática em todos os estados, províncias, territórios, países, empregadores ou ambientes clínicos.</w:t>
      </w:r>
    </w:p>
    <w:bookmarkEnd w:id="21"/>
    <w:bookmarkStart w:id="22" w:name="X224af1cd098dbfad4ebfb8eaaa45624c4ee0a8b"/>
    <w:p>
      <w:pPr>
        <w:pStyle w:val="Heading2"/>
      </w:pPr>
      <w:r>
        <w:t xml:space="preserve">O que este trabalho não autoriza por si só</w:t>
      </w:r>
    </w:p>
    <w:p>
      <w:pPr>
        <w:pStyle w:val="FirstParagraph"/>
      </w:pPr>
      <w:r>
        <w:t xml:space="preserve">Um título ou certificado de flebotomia não transforma uma pessoa em médico, enfermeiro, tecnólogo de laboratório médico, farmacêutico ou outro profissional clínico com licença independente.</w:t>
      </w:r>
    </w:p>
    <w:p>
      <w:pPr>
        <w:pStyle w:val="BodyText"/>
      </w:pPr>
      <w:r>
        <w:t xml:space="preserve">A menos que esteja separadamente treinado, autorizado e legalmente permitido, não faça de forma independente:</w:t>
      </w:r>
    </w:p>
    <w:p>
      <w:pPr>
        <w:numPr>
          <w:ilvl w:val="0"/>
          <w:numId w:val="1002"/>
        </w:numPr>
        <w:pStyle w:val="Compact"/>
      </w:pPr>
      <w:r>
        <w:t xml:space="preserve">diagnóstico de uma condição;</w:t>
      </w:r>
    </w:p>
    <w:p>
      <w:pPr>
        <w:numPr>
          <w:ilvl w:val="0"/>
          <w:numId w:val="1002"/>
        </w:numPr>
        <w:pStyle w:val="Compact"/>
      </w:pPr>
      <w:r>
        <w:t xml:space="preserve">interpretação de resultados laboratoriais para um paciente;</w:t>
      </w:r>
    </w:p>
    <w:p>
      <w:pPr>
        <w:numPr>
          <w:ilvl w:val="0"/>
          <w:numId w:val="1002"/>
        </w:numPr>
        <w:pStyle w:val="Compact"/>
      </w:pPr>
      <w:r>
        <w:t xml:space="preserve">escolha de exames ou alteração de uma solicitação clínica;</w:t>
      </w:r>
    </w:p>
    <w:p>
      <w:pPr>
        <w:numPr>
          <w:ilvl w:val="0"/>
          <w:numId w:val="1002"/>
        </w:numPr>
        <w:pStyle w:val="Compact"/>
      </w:pPr>
      <w:r>
        <w:t xml:space="preserve">recomendações de tratamento;</w:t>
      </w:r>
    </w:p>
    <w:p>
      <w:pPr>
        <w:numPr>
          <w:ilvl w:val="0"/>
          <w:numId w:val="1002"/>
        </w:numPr>
        <w:pStyle w:val="Compact"/>
      </w:pPr>
      <w:r>
        <w:t xml:space="preserve">decisão sobre interromper ou mudar medicamentos;</w:t>
      </w:r>
    </w:p>
    <w:p>
      <w:pPr>
        <w:numPr>
          <w:ilvl w:val="0"/>
          <w:numId w:val="1002"/>
        </w:numPr>
        <w:pStyle w:val="Compact"/>
      </w:pPr>
      <w:r>
        <w:t xml:space="preserve">procedimentos clínicos fora da função autorizada;</w:t>
      </w:r>
    </w:p>
    <w:p>
      <w:pPr>
        <w:numPr>
          <w:ilvl w:val="0"/>
          <w:numId w:val="1002"/>
        </w:numPr>
        <w:pStyle w:val="Compact"/>
      </w:pPr>
      <w:r>
        <w:t xml:space="preserve">desvio de controles de identificação do paciente ou rotulagem de amostras; ou</w:t>
      </w:r>
    </w:p>
    <w:p>
      <w:pPr>
        <w:numPr>
          <w:ilvl w:val="0"/>
          <w:numId w:val="1002"/>
        </w:numPr>
        <w:pStyle w:val="Compact"/>
      </w:pPr>
      <w:r>
        <w:t xml:space="preserve">declaração de possuir licença ou certificação que não possui de fato.</w:t>
      </w:r>
    </w:p>
    <w:p>
      <w:pPr>
        <w:pStyle w:val="FirstParagraph"/>
      </w:pPr>
      <w:r>
        <w:t xml:space="preserve">Quando ocorrer um problema clínico, de segurança, exposição, identidade ou amostra inesperado, siga o processo de escalonamento do empregador em vez de improvisar.</w:t>
      </w:r>
    </w:p>
    <w:bookmarkEnd w:id="22"/>
    <w:bookmarkStart w:id="23" w:name="Xe910fcca8e617bb66b2fa01d48f99900a5d6cdf"/>
    <w:p>
      <w:pPr>
        <w:pStyle w:val="Heading2"/>
      </w:pPr>
      <w:r>
        <w:t xml:space="preserve">Ambiente de trabalho e exigências físicas</w:t>
      </w:r>
    </w:p>
    <w:p>
      <w:pPr>
        <w:pStyle w:val="FirstParagraph"/>
      </w:pPr>
      <w:r>
        <w:t xml:space="preserve">O trabalho de flebotomia pode envolver longos períodos em pé ou caminhando, movimentos repetitivos das mãos, interação próxima com pacientes, inclinar-se, alcançar objetos, usar computadores, movimentar suprimentos e trabalhar em ambientes clínicos movimentados. Alguns cargos incluem manhãs muito cedo, noites, fins de semana, feriados, coleta móvel ou deslocamento entre unidades.</w:t>
      </w:r>
    </w:p>
    <w:p>
      <w:pPr>
        <w:pStyle w:val="BodyText"/>
      </w:pPr>
      <w:r>
        <w:t xml:space="preserve">O trabalho pode expor funcionários a sangue, outros materiais potencialmente infecciosos, perfurocortantes, produtos químicos de limpeza, doenças infecciosas, interações estressantes com pacientes e fluxos de trabalho de amostras sensíveis ao tempo.</w:t>
      </w:r>
    </w:p>
    <w:p>
      <w:pPr>
        <w:pStyle w:val="BodyText"/>
      </w:pPr>
      <w:r>
        <w:t xml:space="preserve">Siga os procedimentos atuais do empregador e da instituição para equipamentos de proteção individual, higiene das mãos, manuseio de perfurocortantes, resíduos contaminados, resposta a exposição, transporte de amostras, limpeza e escalonamento de emergências. Não pratique venopunção em si mesmo ou em outra pessoa com base em instruções escritas, vídeos ou conteúdo gerado por IA.</w:t>
      </w:r>
    </w:p>
    <w:bookmarkEnd w:id="23"/>
    <w:bookmarkStart w:id="24" w:name="habilidades-importantes"/>
    <w:p>
      <w:pPr>
        <w:pStyle w:val="Heading2"/>
      </w:pPr>
      <w:r>
        <w:t xml:space="preserve">Habilidades importantes</w:t>
      </w:r>
    </w:p>
    <w:p>
      <w:pPr>
        <w:pStyle w:val="FirstParagraph"/>
      </w:pPr>
      <w:r>
        <w:t xml:space="preserve">Os empregadores costumam valorizar:</w:t>
      </w:r>
    </w:p>
    <w:p>
      <w:pPr>
        <w:numPr>
          <w:ilvl w:val="0"/>
          <w:numId w:val="1003"/>
        </w:numPr>
        <w:pStyle w:val="Compact"/>
      </w:pPr>
      <w:r>
        <w:t xml:space="preserve">identificação cuidadosa do paciente;</w:t>
      </w:r>
    </w:p>
    <w:p>
      <w:pPr>
        <w:numPr>
          <w:ilvl w:val="0"/>
          <w:numId w:val="1003"/>
        </w:numPr>
        <w:pStyle w:val="Compact"/>
      </w:pPr>
      <w:r>
        <w:t xml:space="preserve">rotulagem e documentação precisas de amostras;</w:t>
      </w:r>
    </w:p>
    <w:p>
      <w:pPr>
        <w:numPr>
          <w:ilvl w:val="0"/>
          <w:numId w:val="1003"/>
        </w:numPr>
        <w:pStyle w:val="Compact"/>
      </w:pPr>
      <w:r>
        <w:t xml:space="preserve">comunicação calma e respeitosa com pacientes;</w:t>
      </w:r>
    </w:p>
    <w:p>
      <w:pPr>
        <w:numPr>
          <w:ilvl w:val="0"/>
          <w:numId w:val="1003"/>
        </w:numPr>
        <w:pStyle w:val="Compact"/>
      </w:pPr>
      <w:r>
        <w:t xml:space="preserve">atenção aos detalhes;</w:t>
      </w:r>
    </w:p>
    <w:p>
      <w:pPr>
        <w:numPr>
          <w:ilvl w:val="0"/>
          <w:numId w:val="1003"/>
        </w:numPr>
        <w:pStyle w:val="Compact"/>
      </w:pPr>
      <w:r>
        <w:t xml:space="preserve">capacidade de seguir exatamente procedimentos escritos;</w:t>
      </w:r>
    </w:p>
    <w:p>
      <w:pPr>
        <w:numPr>
          <w:ilvl w:val="0"/>
          <w:numId w:val="1003"/>
        </w:numPr>
        <w:pStyle w:val="Compact"/>
      </w:pPr>
      <w:r>
        <w:t xml:space="preserve">conhecimento de prevenção de infecções e segurança com perfurocortantes;</w:t>
      </w:r>
    </w:p>
    <w:p>
      <w:pPr>
        <w:numPr>
          <w:ilvl w:val="0"/>
          <w:numId w:val="1003"/>
        </w:numPr>
        <w:pStyle w:val="Compact"/>
      </w:pPr>
      <w:r>
        <w:t xml:space="preserve">confidencialidade e discrição;</w:t>
      </w:r>
    </w:p>
    <w:p>
      <w:pPr>
        <w:numPr>
          <w:ilvl w:val="0"/>
          <w:numId w:val="1003"/>
        </w:numPr>
        <w:pStyle w:val="Compact"/>
      </w:pPr>
      <w:r>
        <w:t xml:space="preserve">aritmética básica e entrada de dados confiáveis;</w:t>
      </w:r>
    </w:p>
    <w:p>
      <w:pPr>
        <w:numPr>
          <w:ilvl w:val="0"/>
          <w:numId w:val="1003"/>
        </w:numPr>
        <w:pStyle w:val="Compact"/>
      </w:pPr>
      <w:r>
        <w:t xml:space="preserve">trabalho em equipe com enfermeiros, equipe de laboratório, médicos e outros profissionais de saúde;</w:t>
      </w:r>
    </w:p>
    <w:p>
      <w:pPr>
        <w:numPr>
          <w:ilvl w:val="0"/>
          <w:numId w:val="1003"/>
        </w:numPr>
        <w:pStyle w:val="Compact"/>
      </w:pPr>
      <w:r>
        <w:t xml:space="preserve">capacidade de trabalhar sob pressão sem pular controles de segurança;</w:t>
      </w:r>
    </w:p>
    <w:p>
      <w:pPr>
        <w:numPr>
          <w:ilvl w:val="0"/>
          <w:numId w:val="1003"/>
        </w:numPr>
        <w:pStyle w:val="Compact"/>
      </w:pPr>
      <w:r>
        <w:t xml:space="preserve">consciência situacional e escalonamento seguro; e</w:t>
      </w:r>
    </w:p>
    <w:p>
      <w:pPr>
        <w:numPr>
          <w:ilvl w:val="0"/>
          <w:numId w:val="1003"/>
        </w:numPr>
        <w:pStyle w:val="Compact"/>
      </w:pPr>
      <w:r>
        <w:t xml:space="preserve">disposição para aprender fluxos de trabalho específicos do empregador em sistemas de informação laboratorial e prontuários eletrônicos de saúde.</w:t>
      </w:r>
    </w:p>
    <w:p>
      <w:pPr>
        <w:pStyle w:val="FirstParagraph"/>
      </w:pPr>
      <w:r>
        <w:t xml:space="preserve">A comunicação bilíngue pode ser valiosa, mas o trabalhador não deve alegar qualificação profissional como intérprete médico sem a preparação ou credencial necessária.</w:t>
      </w:r>
    </w:p>
    <w:bookmarkEnd w:id="24"/>
    <w:bookmarkStart w:id="29" w:name="educação-e-caminhos-de-entrada"/>
    <w:p>
      <w:pPr>
        <w:pStyle w:val="Heading2"/>
      </w:pPr>
      <w:r>
        <w:t xml:space="preserve">Educação e caminhos de entrada</w:t>
      </w:r>
    </w:p>
    <w:bookmarkStart w:id="25" w:name="estados-unidos"/>
    <w:p>
      <w:pPr>
        <w:pStyle w:val="Heading3"/>
      </w:pPr>
      <w:r>
        <w:t xml:space="preserve">Estados Unidos</w:t>
      </w:r>
    </w:p>
    <w:p>
      <w:pPr>
        <w:pStyle w:val="FirstParagraph"/>
      </w:pPr>
      <w:r>
        <w:t xml:space="preserve">O U.S. Bureau of Labor Statistics informa que flebotomistas normalmente entram na ocupação com certificado de um programa pós-secundário de flebotomia. Algumas pessoas se qualificam com diploma de ensino médio e treinamento no trabalho. Empregadores podem preferir certificação profissional, mas esta versão não afirma que uma única certificação nacional seja legalmente obrigatória em todas as jurisdições ou ambientes dos Estados Unidos.</w:t>
      </w:r>
    </w:p>
    <w:p>
      <w:pPr>
        <w:pStyle w:val="BodyText"/>
      </w:pPr>
      <w:r>
        <w:t xml:space="preserve">Uma sequência prática de entrada é:</w:t>
      </w:r>
    </w:p>
    <w:p>
      <w:pPr>
        <w:numPr>
          <w:ilvl w:val="0"/>
          <w:numId w:val="1004"/>
        </w:numPr>
        <w:pStyle w:val="Compact"/>
      </w:pPr>
      <w:r>
        <w:t xml:space="preserve">Revisar vagas locais atuais de flebotomia e registrar requisitos recorrentes de educação, certificação, RCP, horários, experiência e prática clínica.</w:t>
      </w:r>
    </w:p>
    <w:p>
      <w:pPr>
        <w:numPr>
          <w:ilvl w:val="0"/>
          <w:numId w:val="1004"/>
        </w:numPr>
        <w:pStyle w:val="Compact"/>
      </w:pPr>
      <w:r>
        <w:t xml:space="preserve">Verificar os requisitos do estado e do empregador antes de escolher um programa.</w:t>
      </w:r>
    </w:p>
    <w:p>
      <w:pPr>
        <w:numPr>
          <w:ilvl w:val="0"/>
          <w:numId w:val="1004"/>
        </w:numPr>
        <w:pStyle w:val="Compact"/>
      </w:pPr>
      <w:r>
        <w:t xml:space="preserve">Comparar community colleges, escolas técnicas públicas, programas financiados pelo sistema de emprego, treinamento patrocinado por empregadores, oportunidades de Registered Apprenticeship e programas privados.</w:t>
      </w:r>
    </w:p>
    <w:p>
      <w:pPr>
        <w:numPr>
          <w:ilvl w:val="0"/>
          <w:numId w:val="1004"/>
        </w:numPr>
        <w:pStyle w:val="Compact"/>
      </w:pPr>
      <w:r>
        <w:t xml:space="preserve">Confirmar se a prática clínica supervisionada está incluída e quem a organiza.</w:t>
      </w:r>
    </w:p>
    <w:p>
      <w:pPr>
        <w:numPr>
          <w:ilvl w:val="0"/>
          <w:numId w:val="1004"/>
        </w:numPr>
        <w:pStyle w:val="Compact"/>
      </w:pPr>
      <w:r>
        <w:t xml:space="preserve">Verificar custo total de matrícula, suprimentos, uniformes, EPI, exames de saúde, verificações de antecedentes, taxas de exame, recertificação e regras de reembolso.</w:t>
      </w:r>
    </w:p>
    <w:p>
      <w:pPr>
        <w:numPr>
          <w:ilvl w:val="0"/>
          <w:numId w:val="1004"/>
        </w:numPr>
        <w:pStyle w:val="Compact"/>
      </w:pPr>
      <w:r>
        <w:t xml:space="preserve">Candidatar-se apenas a funções compatíveis com sua formação, autorização e credenciais verificadas.</w:t>
      </w:r>
    </w:p>
    <w:p>
      <w:pPr>
        <w:pStyle w:val="FirstParagraph"/>
      </w:pPr>
      <w:r>
        <w:t xml:space="preserve">O O*NET identifica</w:t>
      </w:r>
      <w:r>
        <w:t xml:space="preserve"> </w:t>
      </w:r>
      <w:r>
        <w:rPr>
          <w:bCs/>
          <w:b/>
        </w:rPr>
        <w:t xml:space="preserve">Phlebotomist</w:t>
      </w:r>
      <w:r>
        <w:t xml:space="preserve"> </w:t>
      </w:r>
      <w:r>
        <w:t xml:space="preserve">como um título ocupacional validado para Registered Apprenticeship do Departamento do Trabalho dos Estados Unidos. Isso torna a aprendizagem formal uma via legítima a pesquisar, mas as vagas reais variam conforme empregador, patrocinador, local e momento.</w:t>
      </w:r>
    </w:p>
    <w:bookmarkEnd w:id="25"/>
    <w:bookmarkStart w:id="26" w:name="canadá"/>
    <w:p>
      <w:pPr>
        <w:pStyle w:val="Heading3"/>
      </w:pPr>
      <w:r>
        <w:t xml:space="preserve">Canadá</w:t>
      </w:r>
    </w:p>
    <w:p>
      <w:pPr>
        <w:pStyle w:val="FirstParagraph"/>
      </w:pPr>
      <w:r>
        <w:t xml:space="preserve">O Job Bank do Governo do Canadá inclui o título</w:t>
      </w:r>
      <w:r>
        <w:t xml:space="preserve"> </w:t>
      </w:r>
      <w:r>
        <w:rPr>
          <w:bCs/>
          <w:b/>
        </w:rPr>
        <w:t xml:space="preserve">phlebotomist</w:t>
      </w:r>
      <w:r>
        <w:t xml:space="preserve"> </w:t>
      </w:r>
      <w:r>
        <w:t xml:space="preserve">em</w:t>
      </w:r>
      <w:r>
        <w:t xml:space="preserve"> </w:t>
      </w:r>
      <w:r>
        <w:rPr>
          <w:bCs/>
          <w:b/>
        </w:rPr>
        <w:t xml:space="preserve">Medical laboratory assistants and related technical occupations, NOC 33101</w:t>
      </w:r>
      <w:r>
        <w:t xml:space="preserve">. Esse agrupamento canadense é mais amplo que o título independente de flebotomista dos Estados Unidos e pode incluir coleta e processamento de amostras, preparação de reagentes, apoio laboratorial rotineiro e preparação ou limpeza de equipamentos.</w:t>
      </w:r>
    </w:p>
    <w:p>
      <w:pPr>
        <w:pStyle w:val="BodyText"/>
      </w:pPr>
      <w:r>
        <w:t xml:space="preserve">O Job Bank informa que trabalhadores desse grupo normalmente precisam concluir um</w:t>
      </w:r>
      <w:r>
        <w:t xml:space="preserve"> </w:t>
      </w:r>
      <w:r>
        <w:rPr>
          <w:bCs/>
          <w:b/>
        </w:rPr>
        <w:t xml:space="preserve">programa de certificado universitário ou técnico em ciência de laboratório médico</w:t>
      </w:r>
      <w:r>
        <w:t xml:space="preserve"> </w:t>
      </w:r>
      <w:r>
        <w:t xml:space="preserve">e que</w:t>
      </w:r>
      <w:r>
        <w:t xml:space="preserve"> </w:t>
      </w:r>
      <w:r>
        <w:rPr>
          <w:bCs/>
          <w:b/>
        </w:rPr>
        <w:t xml:space="preserve">a certificação pela Canadian Society for Medical Laboratory Science costuma ser exigida pelos empregadores</w:t>
      </w:r>
      <w:r>
        <w:t xml:space="preserve">. O registro nacional atual do Job Bank informa que a ocupação</w:t>
      </w:r>
      <w:r>
        <w:t xml:space="preserve"> </w:t>
      </w:r>
      <w:r>
        <w:rPr>
          <w:bCs/>
          <w:b/>
        </w:rPr>
        <w:t xml:space="preserve">não é regulamentada no Canadá</w:t>
      </w:r>
      <w:r>
        <w:t xml:space="preserve"> </w:t>
      </w:r>
      <w:r>
        <w:t xml:space="preserve">segundo seus dados.</w:t>
      </w:r>
    </w:p>
    <w:p>
      <w:pPr>
        <w:pStyle w:val="BodyText"/>
      </w:pPr>
      <w:r>
        <w:t xml:space="preserve">Essa distinção é importante: uma expectativa de certificação do empregador não é o mesmo que regulamentação ocupacional legal em âmbito nacional. Verifique os requisitos atuais provinciais, territoriais, do empregador, do laboratório e de credenciais onde pretende trabalhar.</w:t>
      </w:r>
    </w:p>
    <w:bookmarkEnd w:id="26"/>
    <w:bookmarkStart w:id="27" w:name="colômbia"/>
    <w:p>
      <w:pPr>
        <w:pStyle w:val="Heading3"/>
      </w:pPr>
      <w:r>
        <w:t xml:space="preserve">Colômbia</w:t>
      </w:r>
    </w:p>
    <w:p>
      <w:pPr>
        <w:pStyle w:val="FirstParagraph"/>
      </w:pPr>
      <w:r>
        <w:t xml:space="preserve">O SENA Betowa atualmente lista</w:t>
      </w:r>
      <w:r>
        <w:t xml:space="preserve"> </w:t>
      </w:r>
      <w:r>
        <w:rPr>
          <w:bCs/>
          <w:b/>
        </w:rPr>
        <w:t xml:space="preserve">Toma de muestras para procesamiento en el laboratorio clínico</w:t>
      </w:r>
      <w:r>
        <w:t xml:space="preserve">, um curso complementar presencial de</w:t>
      </w:r>
      <w:r>
        <w:t xml:space="preserve"> </w:t>
      </w:r>
      <w:r>
        <w:rPr>
          <w:bCs/>
          <w:b/>
        </w:rPr>
        <w:t xml:space="preserve">48 horas</w:t>
      </w:r>
      <w:r>
        <w:t xml:space="preserve">. Os requisitos atuais informam que o aluno deve ser</w:t>
      </w:r>
      <w:r>
        <w:t xml:space="preserve"> </w:t>
      </w:r>
      <w:r>
        <w:rPr>
          <w:bCs/>
          <w:b/>
        </w:rPr>
        <w:t xml:space="preserve">técnico o auxiliar en enfermería</w:t>
      </w:r>
      <w:r>
        <w:t xml:space="preserve">, possuir carta de apresentação da instituição solicitante e concluir o processo de seleção definido pelo centro de formação.</w:t>
      </w:r>
    </w:p>
    <w:p>
      <w:pPr>
        <w:pStyle w:val="BodyText"/>
      </w:pPr>
      <w:r>
        <w:t xml:space="preserve">Trata-se de uma</w:t>
      </w:r>
      <w:r>
        <w:t xml:space="preserve"> </w:t>
      </w:r>
      <w:r>
        <w:rPr>
          <w:bCs/>
          <w:b/>
        </w:rPr>
        <w:t xml:space="preserve">via de aperfeiçoamento para trabalhadores de saúde elegíveis</w:t>
      </w:r>
      <w:r>
        <w:t xml:space="preserve">, não de um curso geral de flebotomia para iniciantes aberto a qualquer pessoa. Concluir um curso curto não autoriza de forma independente a coleta de sangue ou funções laboratoriais fora dos requisitos colombianos atuais de saúde, empregador, profissão, instituição, biossegurança e escopo de prática.</w:t>
      </w:r>
    </w:p>
    <w:p>
      <w:pPr>
        <w:pStyle w:val="BodyText"/>
      </w:pPr>
      <w:r>
        <w:t xml:space="preserve">Antes de pagar por formação na Colômbia, verifique a oferta atual do SENA/Betowa, requisitos institucionais de admissão, regras de prestação de serviços de saúde, credencial prévia exigida, expectativas do empregador e quaisquer requisitos atuais do Ministério da Saúde ou da educação relevantes para a função.</w:t>
      </w:r>
    </w:p>
    <w:bookmarkEnd w:id="27"/>
    <w:bookmarkStart w:id="28" w:name="américa-latina-e-caribe"/>
    <w:p>
      <w:pPr>
        <w:pStyle w:val="Heading3"/>
      </w:pPr>
      <w:r>
        <w:t xml:space="preserve">América Latina e Caribe</w:t>
      </w:r>
    </w:p>
    <w:p>
      <w:pPr>
        <w:pStyle w:val="FirstParagraph"/>
      </w:pPr>
      <w:r>
        <w:t xml:space="preserve">Títulos ocupacionais, funções laboratoriais, sistemas de formação e normas de saúde variam amplamente por país. Use a</w:t>
      </w:r>
      <w:r>
        <w:t xml:space="preserve"> </w:t>
      </w:r>
      <w:r>
        <w:rPr>
          <w:bCs/>
          <w:b/>
        </w:rPr>
        <w:t xml:space="preserve">OIT/Cinterfor</w:t>
      </w:r>
      <w:r>
        <w:t xml:space="preserve"> </w:t>
      </w:r>
      <w:r>
        <w:t xml:space="preserve">como localizador regional de instituições nacionais de formação profissional e depois verifique localmente os requisitos de saúde, educação, laboratório e profissão aplicáveis.</w:t>
      </w:r>
    </w:p>
    <w:p>
      <w:pPr>
        <w:pStyle w:val="BodyText"/>
      </w:pPr>
      <w:r>
        <w:t xml:space="preserve">Não presuma que um certificado dos Estados Unidos, uma credencial universitária canadense, um curso colombiano ou uma credencial privada de flebotomia seja automaticamente transferível entre países.</w:t>
      </w:r>
    </w:p>
    <w:bookmarkEnd w:id="28"/>
    <w:bookmarkEnd w:id="29"/>
    <w:bookmarkStart w:id="30" w:name="X95d56f2e7a3e6ad78c76615e9bf059755be45e2"/>
    <w:p>
      <w:pPr>
        <w:pStyle w:val="Heading2"/>
      </w:pPr>
      <w:r>
        <w:t xml:space="preserve">Controle de infecções, patógenos transmitidos pelo sangue e segurança com perfurocortantes</w:t>
      </w:r>
    </w:p>
    <w:p>
      <w:pPr>
        <w:pStyle w:val="FirstParagraph"/>
      </w:pPr>
      <w:r>
        <w:t xml:space="preserve">A norma da OSHA dos Estados Unidos sobre Bloodborne Pathogens,</w:t>
      </w:r>
      <w:r>
        <w:t xml:space="preserve"> </w:t>
      </w:r>
      <w:r>
        <w:rPr>
          <w:bCs/>
          <w:b/>
        </w:rPr>
        <w:t xml:space="preserve">29 CFR 1910.1030</w:t>
      </w:r>
      <w:r>
        <w:t xml:space="preserve">, aplica-se à exposição ocupacional a sangue ou outros materiais potencialmente infecciosos. Ela aborda planos de controle de exposição, controles de engenharia, práticas de trabalho, equipamento de proteção individual, treinamento e manuseio de perfurocortantes contaminados.</w:t>
      </w:r>
    </w:p>
    <w:p>
      <w:pPr>
        <w:pStyle w:val="BodyText"/>
      </w:pPr>
      <w:r>
        <w:t xml:space="preserve">As Standard Precautions do CDC aplicam-se ao cuidado do paciente e incluem higiene das mãos, EPI adequado conforme a exposição prevista, práticas seguras de injeção e perfurocortantes e manuseio apropriado de equipamentos e do ambiente de cuidado.</w:t>
      </w:r>
    </w:p>
    <w:p>
      <w:pPr>
        <w:pStyle w:val="BodyText"/>
      </w:pPr>
      <w:r>
        <w:t xml:space="preserve">Este guia deliberadamente não fornece um procedimento passo a passo de venopunção. Aprenda a técnica clínica apenas por meio de formação autorizada e supervisionada e protocolos atuais do empregador ou da instituição.</w:t>
      </w:r>
    </w:p>
    <w:p>
      <w:pPr>
        <w:pStyle w:val="BodyText"/>
      </w:pPr>
      <w:r>
        <w:t xml:space="preserve">Identificação do paciente, rotulagem de amostras, controle de infecções, segurança com perfurocortantes, resposta a exposição e transporte ou armazenamento de amostras são controles críticos de segurança. Nunca os ignore para economizar tempo.</w:t>
      </w:r>
    </w:p>
    <w:bookmarkEnd w:id="30"/>
    <w:bookmarkStart w:id="31" w:name="X9b3a1f2acab15b90a4b84dc251dba7eaed41672"/>
    <w:p>
      <w:pPr>
        <w:pStyle w:val="Heading2"/>
      </w:pPr>
      <w:r>
        <w:t xml:space="preserve">Estratégia de aprendizagem gratuita primeiro e de menor custo</w:t>
      </w:r>
    </w:p>
    <w:p>
      <w:pPr>
        <w:pStyle w:val="FirstParagraph"/>
      </w:pPr>
      <w:r>
        <w:t xml:space="preserve">Antes de pagar um provedor privado:</w:t>
      </w:r>
    </w:p>
    <w:p>
      <w:pPr>
        <w:numPr>
          <w:ilvl w:val="0"/>
          <w:numId w:val="1005"/>
        </w:numPr>
        <w:pStyle w:val="Compact"/>
      </w:pPr>
      <w:r>
        <w:t xml:space="preserve">Revise 15–20 vagas locais atuais.</w:t>
      </w:r>
    </w:p>
    <w:p>
      <w:pPr>
        <w:numPr>
          <w:ilvl w:val="0"/>
          <w:numId w:val="1005"/>
        </w:numPr>
        <w:pStyle w:val="Compact"/>
      </w:pPr>
      <w:r>
        <w:t xml:space="preserve">Anote os requisitos que aparecem repetidamente.</w:t>
      </w:r>
    </w:p>
    <w:p>
      <w:pPr>
        <w:numPr>
          <w:ilvl w:val="0"/>
          <w:numId w:val="1005"/>
        </w:numPr>
        <w:pStyle w:val="Compact"/>
      </w:pPr>
      <w:r>
        <w:t xml:space="preserve">Compare instituições públicas, escolas técnicas, programas de emprego, patrocinadores de aprendizagem, hospitais, laboratórios e vias patrocinadas por empregadores.</w:t>
      </w:r>
    </w:p>
    <w:p>
      <w:pPr>
        <w:numPr>
          <w:ilvl w:val="0"/>
          <w:numId w:val="1005"/>
        </w:numPr>
        <w:pStyle w:val="Compact"/>
      </w:pPr>
      <w:r>
        <w:t xml:space="preserve">Verifique se prática ou colocação clínica supervisionada está incluída.</w:t>
      </w:r>
    </w:p>
    <w:p>
      <w:pPr>
        <w:numPr>
          <w:ilvl w:val="0"/>
          <w:numId w:val="1005"/>
        </w:numPr>
        <w:pStyle w:val="Compact"/>
      </w:pPr>
      <w:r>
        <w:t xml:space="preserve">Confirme o custo total, e não apenas a matrícula anunciada.</w:t>
      </w:r>
    </w:p>
    <w:p>
      <w:pPr>
        <w:numPr>
          <w:ilvl w:val="0"/>
          <w:numId w:val="1005"/>
        </w:numPr>
        <w:pStyle w:val="Compact"/>
      </w:pPr>
      <w:r>
        <w:t xml:space="preserve">Verifique se a credencial é realmente solicitada por empregadores da sua região-alvo.</w:t>
      </w:r>
    </w:p>
    <w:p>
      <w:pPr>
        <w:numPr>
          <w:ilvl w:val="0"/>
          <w:numId w:val="1005"/>
        </w:numPr>
        <w:pStyle w:val="Compact"/>
      </w:pPr>
      <w:r>
        <w:t xml:space="preserve">Confirme se o programa o torna elegível para qualquer exame de certificação que pretende fazer.</w:t>
      </w:r>
    </w:p>
    <w:p>
      <w:pPr>
        <w:numPr>
          <w:ilvl w:val="0"/>
          <w:numId w:val="1005"/>
        </w:numPr>
        <w:pStyle w:val="Compact"/>
      </w:pPr>
      <w:r>
        <w:t xml:space="preserve">Use estudo gratuito on-line para terminologia, comunicação com pacientes, privacidade e conceitos de segurança, mas não como substituto de treinamento supervisionado em coleta de sangue.</w:t>
      </w:r>
    </w:p>
    <w:bookmarkEnd w:id="31"/>
    <w:bookmarkStart w:id="36" w:name="X78abcaaa30122abcdb041f8e88676c3c3a7d544"/>
    <w:p>
      <w:pPr>
        <w:pStyle w:val="Heading2"/>
      </w:pPr>
      <w:r>
        <w:t xml:space="preserve">Financiamento, bolsas e apoio do empregador</w:t>
      </w:r>
    </w:p>
    <w:bookmarkStart w:id="32" w:name="Xf5fe19f213dee30ebb0808dac7cf6ebc3693f14"/>
    <w:p>
      <w:pPr>
        <w:pStyle w:val="Heading3"/>
      </w:pPr>
      <w:r>
        <w:t xml:space="preserve">Estados Unidos — WIOA e serviços de emprego</w:t>
      </w:r>
    </w:p>
    <w:p>
      <w:pPr>
        <w:pStyle w:val="FirstParagraph"/>
      </w:pPr>
      <w:r>
        <w:t xml:space="preserve">O CareerOneStop oferece um</w:t>
      </w:r>
      <w:r>
        <w:t xml:space="preserve"> </w:t>
      </w:r>
      <w:r>
        <w:rPr>
          <w:bCs/>
          <w:b/>
        </w:rPr>
        <w:t xml:space="preserve">WIOA-Eligible Training Program Finder</w:t>
      </w:r>
      <w:r>
        <w:t xml:space="preserve"> </w:t>
      </w:r>
      <w:r>
        <w:t xml:space="preserve">e outros localizadores de formação. Pessoas elegíveis podem receber apoio de treinamento sob a Workforce Innovation and Opportunity Act por meio de programas locais, mas elegibilidade, provedores aprovados, valores e disponibilidade variam. O financiamento WIOA não é garantido.</w:t>
      </w:r>
    </w:p>
    <w:p>
      <w:pPr>
        <w:pStyle w:val="BodyText"/>
      </w:pPr>
      <w:r>
        <w:t xml:space="preserve">Entre em contato com o American Job Center ou agência local de emprego antes de se matricular se pretende solicitar apoio WIOA.</w:t>
      </w:r>
    </w:p>
    <w:bookmarkEnd w:id="32"/>
    <w:bookmarkStart w:id="33" w:name="X7846a46501a10f847143ebe648cfcab54d84d1b"/>
    <w:p>
      <w:pPr>
        <w:pStyle w:val="Heading3"/>
      </w:pPr>
      <w:r>
        <w:t xml:space="preserve">Estados Unidos — Registered Apprenticeship e apoio do empregador</w:t>
      </w:r>
    </w:p>
    <w:p>
      <w:pPr>
        <w:pStyle w:val="FirstParagraph"/>
      </w:pPr>
      <w:r>
        <w:t xml:space="preserve">Pesquise no</w:t>
      </w:r>
      <w:r>
        <w:t xml:space="preserve"> </w:t>
      </w:r>
      <w:r>
        <w:rPr>
          <w:bCs/>
          <w:b/>
        </w:rPr>
        <w:t xml:space="preserve">Apprenticeship.gov</w:t>
      </w:r>
      <w:r>
        <w:t xml:space="preserve"> </w:t>
      </w:r>
      <w:r>
        <w:t xml:space="preserve">oportunidades atuais de Registered Apprenticeship em flebotomia ou saúde relacionada. A disponibilidade varia.</w:t>
      </w:r>
    </w:p>
    <w:p>
      <w:pPr>
        <w:pStyle w:val="BodyText"/>
      </w:pPr>
      <w:r>
        <w:t xml:space="preserve">Os empregadores podem oferecer:</w:t>
      </w:r>
    </w:p>
    <w:p>
      <w:pPr>
        <w:numPr>
          <w:ilvl w:val="0"/>
          <w:numId w:val="1006"/>
        </w:numPr>
        <w:pStyle w:val="Compact"/>
      </w:pPr>
      <w:r>
        <w:t xml:space="preserve">integração remunerada;</w:t>
      </w:r>
    </w:p>
    <w:p>
      <w:pPr>
        <w:numPr>
          <w:ilvl w:val="0"/>
          <w:numId w:val="1006"/>
        </w:numPr>
        <w:pStyle w:val="Compact"/>
      </w:pPr>
      <w:r>
        <w:t xml:space="preserve">treinamento supervisionado no trabalho;</w:t>
      </w:r>
    </w:p>
    <w:p>
      <w:pPr>
        <w:numPr>
          <w:ilvl w:val="0"/>
          <w:numId w:val="1006"/>
        </w:numPr>
        <w:pStyle w:val="Compact"/>
      </w:pPr>
      <w:r>
        <w:t xml:space="preserve">caminhos de aprendizagem ou trainee;</w:t>
      </w:r>
    </w:p>
    <w:p>
      <w:pPr>
        <w:numPr>
          <w:ilvl w:val="0"/>
          <w:numId w:val="1006"/>
        </w:numPr>
        <w:pStyle w:val="Compact"/>
      </w:pPr>
      <w:r>
        <w:t xml:space="preserve">colocação clínica;</w:t>
      </w:r>
    </w:p>
    <w:p>
      <w:pPr>
        <w:numPr>
          <w:ilvl w:val="0"/>
          <w:numId w:val="1006"/>
        </w:numPr>
        <w:pStyle w:val="Compact"/>
      </w:pPr>
      <w:r>
        <w:t xml:space="preserve">auxílio para mensalidade;</w:t>
      </w:r>
    </w:p>
    <w:p>
      <w:pPr>
        <w:numPr>
          <w:ilvl w:val="0"/>
          <w:numId w:val="1006"/>
        </w:numPr>
        <w:pStyle w:val="Compact"/>
      </w:pPr>
      <w:r>
        <w:t xml:space="preserve">uniformes ou EPI;</w:t>
      </w:r>
    </w:p>
    <w:p>
      <w:pPr>
        <w:numPr>
          <w:ilvl w:val="0"/>
          <w:numId w:val="1006"/>
        </w:numPr>
        <w:pStyle w:val="Compact"/>
      </w:pPr>
      <w:r>
        <w:t xml:space="preserve">reembolso de exame de certificação;</w:t>
      </w:r>
    </w:p>
    <w:p>
      <w:pPr>
        <w:numPr>
          <w:ilvl w:val="0"/>
          <w:numId w:val="1006"/>
        </w:numPr>
        <w:pStyle w:val="Compact"/>
      </w:pPr>
      <w:r>
        <w:t xml:space="preserve">educação continuada paga; ou</w:t>
      </w:r>
    </w:p>
    <w:p>
      <w:pPr>
        <w:numPr>
          <w:ilvl w:val="0"/>
          <w:numId w:val="1006"/>
        </w:numPr>
        <w:pStyle w:val="Compact"/>
      </w:pPr>
      <w:r>
        <w:t xml:space="preserve">progressão interna para funções de laboratório, atendimento ao paciente ou apoio à saúde para as quais você venha a se qualificar.</w:t>
      </w:r>
    </w:p>
    <w:p>
      <w:pPr>
        <w:pStyle w:val="FirstParagraph"/>
      </w:pPr>
      <w:r>
        <w:t xml:space="preserve">Obtenha por escrito as condições de reembolso ou permanência mínima antes de gastar dinheiro.</w:t>
      </w:r>
    </w:p>
    <w:bookmarkEnd w:id="33"/>
    <w:bookmarkStart w:id="34" w:name="canadá--auxílio-estudantil"/>
    <w:p>
      <w:pPr>
        <w:pStyle w:val="Heading3"/>
      </w:pPr>
      <w:r>
        <w:t xml:space="preserve">Canadá — auxílio estudantil</w:t>
      </w:r>
    </w:p>
    <w:p>
      <w:pPr>
        <w:pStyle w:val="FirstParagraph"/>
      </w:pPr>
      <w:r>
        <w:t xml:space="preserve">Como o caminho canadense normalmente envolve um certificado universitário ou técnico, compare instituições públicas e verifique se a escola e o programa são designados para auxílio estudantil. O</w:t>
      </w:r>
      <w:r>
        <w:t xml:space="preserve"> </w:t>
      </w:r>
      <w:r>
        <w:rPr>
          <w:bCs/>
          <w:b/>
        </w:rPr>
        <w:t xml:space="preserve">Canada Student Financial Assistance Program</w:t>
      </w:r>
      <w:r>
        <w:t xml:space="preserve"> </w:t>
      </w:r>
      <w:r>
        <w:t xml:space="preserve">oferece bolsas e empréstimos por meio das províncias e territórios participantes para estudantes e programas elegíveis.</w:t>
      </w:r>
    </w:p>
    <w:p>
      <w:pPr>
        <w:pStyle w:val="BodyText"/>
      </w:pPr>
      <w:r>
        <w:t xml:space="preserve">Não presuma que todo programa de assistente de laboratório médico ou relacionado à flebotomia se qualifica. Verifique a instituição, programa, província ou território e sua elegibilidade pessoal antes de comprometer recursos.</w:t>
      </w:r>
    </w:p>
    <w:bookmarkEnd w:id="34"/>
    <w:bookmarkStart w:id="35" w:name="colômbia-e-américa-latina"/>
    <w:p>
      <w:pPr>
        <w:pStyle w:val="Heading3"/>
      </w:pPr>
      <w:r>
        <w:t xml:space="preserve">Colômbia e América Latina</w:t>
      </w:r>
    </w:p>
    <w:p>
      <w:pPr>
        <w:pStyle w:val="FirstParagraph"/>
      </w:pPr>
      <w:r>
        <w:t xml:space="preserve">Na Colômbia, consulte SENA/Betowa antes de pagar um provedor privado, lembrando que o curso identificado de 48 horas para coleta de amostras tem elegibilidade restrita e não é uma via aberta de entrada para iniciantes.</w:t>
      </w:r>
    </w:p>
    <w:p>
      <w:pPr>
        <w:pStyle w:val="BodyText"/>
      </w:pPr>
      <w:r>
        <w:t xml:space="preserve">Em outros países da América Latina e Caribe, use a OIT/Cinterfor para identificar instituições nacionais de formação profissional e depois verifique localmente bolsas, formação pública, programas do empregador e requisitos de credenciais de saúde.</w:t>
      </w:r>
    </w:p>
    <w:bookmarkEnd w:id="35"/>
    <w:bookmarkEnd w:id="36"/>
    <w:bookmarkStart w:id="40" w:name="renda-e-perspectiva-de-emprego"/>
    <w:p>
      <w:pPr>
        <w:pStyle w:val="Heading2"/>
      </w:pPr>
      <w:r>
        <w:t xml:space="preserve">Renda e perspectiva de emprego</w:t>
      </w:r>
    </w:p>
    <w:bookmarkStart w:id="37" w:name="estados-unidos--dados-oficiais-atuais"/>
    <w:p>
      <w:pPr>
        <w:pStyle w:val="Heading3"/>
      </w:pPr>
      <w:r>
        <w:t xml:space="preserve">Estados Unidos — dados oficiais atuais</w:t>
      </w:r>
    </w:p>
    <w:p>
      <w:pPr>
        <w:pStyle w:val="FirstParagraph"/>
      </w:pPr>
      <w:r>
        <w:t xml:space="preserve">A página nacional de salários do O*NET usa</w:t>
      </w:r>
      <w:r>
        <w:t xml:space="preserve"> </w:t>
      </w:r>
      <w:r>
        <w:rPr>
          <w:bCs/>
          <w:b/>
        </w:rPr>
        <w:t xml:space="preserve">dados salariais de 2025 do Bureau of Labor Statistics</w:t>
      </w:r>
      <w:r>
        <w:t xml:space="preserve"> </w:t>
      </w:r>
      <w:r>
        <w:t xml:space="preserve">para Phlebotomists:</w:t>
      </w:r>
    </w:p>
    <w:p>
      <w:pPr>
        <w:numPr>
          <w:ilvl w:val="0"/>
          <w:numId w:val="1007"/>
        </w:numPr>
        <w:pStyle w:val="Compact"/>
      </w:pPr>
      <w:r>
        <w:rPr>
          <w:bCs/>
          <w:b/>
        </w:rPr>
        <w:t xml:space="preserve">salário mediano por hora: USD $21.75</w:t>
      </w:r>
      <w:r>
        <w:t xml:space="preserve">;</w:t>
      </w:r>
    </w:p>
    <w:p>
      <w:pPr>
        <w:numPr>
          <w:ilvl w:val="0"/>
          <w:numId w:val="1007"/>
        </w:numPr>
        <w:pStyle w:val="Compact"/>
      </w:pPr>
      <w:r>
        <w:rPr>
          <w:bCs/>
          <w:b/>
        </w:rPr>
        <w:t xml:space="preserve">salário mediano anual: USD $45,230</w:t>
      </w:r>
      <w:r>
        <w:t xml:space="preserve">;</w:t>
      </w:r>
    </w:p>
    <w:p>
      <w:pPr>
        <w:numPr>
          <w:ilvl w:val="0"/>
          <w:numId w:val="1007"/>
        </w:numPr>
        <w:pStyle w:val="Compact"/>
      </w:pPr>
      <w:r>
        <w:rPr>
          <w:bCs/>
          <w:b/>
        </w:rPr>
        <w:t xml:space="preserve">10º percentil: USD $17.20/hora / $35,780/ano</w:t>
      </w:r>
      <w:r>
        <w:t xml:space="preserve">; e</w:t>
      </w:r>
    </w:p>
    <w:p>
      <w:pPr>
        <w:numPr>
          <w:ilvl w:val="0"/>
          <w:numId w:val="1007"/>
        </w:numPr>
        <w:pStyle w:val="Compact"/>
      </w:pPr>
      <w:r>
        <w:rPr>
          <w:bCs/>
          <w:b/>
        </w:rPr>
        <w:t xml:space="preserve">90º percentil: USD $28.26/hora / $58,780/ano</w:t>
      </w:r>
      <w:r>
        <w:t xml:space="preserve">.</w:t>
      </w:r>
    </w:p>
    <w:p>
      <w:pPr>
        <w:pStyle w:val="FirstParagraph"/>
      </w:pPr>
      <w:r>
        <w:t xml:space="preserve">O O*NET/BLS informa cerca de</w:t>
      </w:r>
      <w:r>
        <w:t xml:space="preserve"> </w:t>
      </w:r>
      <w:r>
        <w:rPr>
          <w:bCs/>
          <w:b/>
        </w:rPr>
        <w:t xml:space="preserve">139,700 trabalhadores em 2024</w:t>
      </w:r>
      <w:r>
        <w:t xml:space="preserve">, crescimento projetado de aproximadamente</w:t>
      </w:r>
      <w:r>
        <w:t xml:space="preserve"> </w:t>
      </w:r>
      <w:r>
        <w:rPr>
          <w:bCs/>
          <w:b/>
        </w:rPr>
        <w:t xml:space="preserve">5%–6% de 2024 a 2034</w:t>
      </w:r>
      <w:r>
        <w:t xml:space="preserve"> </w:t>
      </w:r>
      <w:r>
        <w:t xml:space="preserve">e cerca de</w:t>
      </w:r>
      <w:r>
        <w:t xml:space="preserve"> </w:t>
      </w:r>
      <w:r>
        <w:rPr>
          <w:bCs/>
          <w:b/>
        </w:rPr>
        <w:t xml:space="preserve">18,400 vagas projetadas por ano</w:t>
      </w:r>
      <w:r>
        <w:t xml:space="preserve"> </w:t>
      </w:r>
      <w:r>
        <w:t xml:space="preserve">por crescimento e reposição.</w:t>
      </w:r>
    </w:p>
    <w:p>
      <w:pPr>
        <w:pStyle w:val="BodyText"/>
      </w:pPr>
      <w:r>
        <w:t xml:space="preserve">O BLS Occupational Outlook Handbook ainda mostra mediana de maio de 2024 de</w:t>
      </w:r>
      <w:r>
        <w:t xml:space="preserve"> </w:t>
      </w:r>
      <w:r>
        <w:rPr>
          <w:bCs/>
          <w:b/>
        </w:rPr>
        <w:t xml:space="preserve">USD $43,660</w:t>
      </w:r>
      <w:r>
        <w:t xml:space="preserve">. Este guia usa os valores salariais mais recentes de 2025 do BLS exibidos pelo O*NET como principal referência salarial e usa o BLS OOH para contexto de entrada e perspectiva.</w:t>
      </w:r>
    </w:p>
    <w:p>
      <w:pPr>
        <w:pStyle w:val="BodyText"/>
      </w:pPr>
      <w:r>
        <w:t xml:space="preserve">São estatísticas nacionais, não salários iniciais garantidos. A remuneração varia conforme local, empregador, horário, experiência, funções e credenciais.</w:t>
      </w:r>
    </w:p>
    <w:bookmarkEnd w:id="37"/>
    <w:bookmarkStart w:id="38" w:name="X9d1b3b1465e2535644553a9bc9c92a376bf0807"/>
    <w:p>
      <w:pPr>
        <w:pStyle w:val="Heading3"/>
      </w:pPr>
      <w:r>
        <w:t xml:space="preserve">Estados Unidos — estimativa não governamental atual</w:t>
      </w:r>
    </w:p>
    <w:p>
      <w:pPr>
        <w:pStyle w:val="FirstParagraph"/>
      </w:pPr>
      <w:r>
        <w:t xml:space="preserve">O Salary.com informou salário médio estimado nos Estados Unidos para o título</w:t>
      </w:r>
      <w:r>
        <w:t xml:space="preserve"> </w:t>
      </w:r>
      <w:r>
        <w:rPr>
          <w:bCs/>
          <w:b/>
        </w:rPr>
        <w:t xml:space="preserve">Phlebotomist</w:t>
      </w:r>
      <w:r>
        <w:t xml:space="preserve"> </w:t>
      </w:r>
      <w:r>
        <w:t xml:space="preserve">de aproximadamente</w:t>
      </w:r>
      <w:r>
        <w:t xml:space="preserve"> </w:t>
      </w:r>
      <w:r>
        <w:rPr>
          <w:bCs/>
          <w:b/>
        </w:rPr>
        <w:t xml:space="preserve">USD $41,314 por ano / cerca de $20 por hora</w:t>
      </w:r>
      <w:r>
        <w:t xml:space="preserve"> </w:t>
      </w:r>
      <w:r>
        <w:t xml:space="preserve">em</w:t>
      </w:r>
      <w:r>
        <w:t xml:space="preserve"> </w:t>
      </w:r>
      <w:r>
        <w:rPr>
          <w:bCs/>
          <w:b/>
        </w:rPr>
        <w:t xml:space="preserve">1º de agosto de 2026</w:t>
      </w:r>
      <w:r>
        <w:t xml:space="preserve">, com faixa anual declarada do 25º ao 75º percentil de aproximadamente</w:t>
      </w:r>
      <w:r>
        <w:t xml:space="preserve"> </w:t>
      </w:r>
      <w:r>
        <w:rPr>
          <w:bCs/>
          <w:b/>
        </w:rPr>
        <w:t xml:space="preserve">USD $38,353–$44,694</w:t>
      </w:r>
      <w:r>
        <w:t xml:space="preserve">.</w:t>
      </w:r>
    </w:p>
    <w:p>
      <w:pPr>
        <w:pStyle w:val="BodyText"/>
      </w:pPr>
      <w:r>
        <w:t xml:space="preserve">Esta é uma</w:t>
      </w:r>
      <w:r>
        <w:t xml:space="preserve"> </w:t>
      </w:r>
      <w:r>
        <w:rPr>
          <w:bCs/>
          <w:b/>
        </w:rPr>
        <w:t xml:space="preserve">estimativa de mercado não governamental</w:t>
      </w:r>
      <w:r>
        <w:t xml:space="preserve"> </w:t>
      </w:r>
      <w:r>
        <w:t xml:space="preserve">com metodologia e definições de título próprias. Ela não deve ser misturada aos dados oficiais BLS/O*NET nem tratada como oferta ou salário inicial garantido.</w:t>
      </w:r>
    </w:p>
    <w:bookmarkEnd w:id="38"/>
    <w:bookmarkStart w:id="39" w:name="canadá--salários-oficiais-do-job-bank"/>
    <w:p>
      <w:pPr>
        <w:pStyle w:val="Heading3"/>
      </w:pPr>
      <w:r>
        <w:t xml:space="preserve">Canadá — salários oficiais do Job Bank</w:t>
      </w:r>
    </w:p>
    <w:p>
      <w:pPr>
        <w:pStyle w:val="FirstParagraph"/>
      </w:pPr>
      <w:r>
        <w:t xml:space="preserve">O Job Bank do Governo do Canadá informa salários nacionais atuais para o grupo mais amplo NOC 33101 de aproximadamente:</w:t>
      </w:r>
    </w:p>
    <w:p>
      <w:pPr>
        <w:numPr>
          <w:ilvl w:val="0"/>
          <w:numId w:val="1008"/>
        </w:numPr>
        <w:pStyle w:val="Compact"/>
      </w:pPr>
      <w:r>
        <w:rPr>
          <w:bCs/>
          <w:b/>
        </w:rPr>
        <w:t xml:space="preserve">CAD $19.18/hora — baixo</w:t>
      </w:r>
      <w:r>
        <w:t xml:space="preserve">;</w:t>
      </w:r>
    </w:p>
    <w:p>
      <w:pPr>
        <w:numPr>
          <w:ilvl w:val="0"/>
          <w:numId w:val="1008"/>
        </w:numPr>
        <w:pStyle w:val="Compact"/>
      </w:pPr>
      <w:r>
        <w:rPr>
          <w:bCs/>
          <w:b/>
        </w:rPr>
        <w:t xml:space="preserve">CAD $27.00/hora — mediano</w:t>
      </w:r>
      <w:r>
        <w:t xml:space="preserve">; e</w:t>
      </w:r>
    </w:p>
    <w:p>
      <w:pPr>
        <w:numPr>
          <w:ilvl w:val="0"/>
          <w:numId w:val="1008"/>
        </w:numPr>
        <w:pStyle w:val="Compact"/>
      </w:pPr>
      <w:r>
        <w:rPr>
          <w:bCs/>
          <w:b/>
        </w:rPr>
        <w:t xml:space="preserve">CAD $36.11/hora — alto</w:t>
      </w:r>
      <w:r>
        <w:t xml:space="preserve">.</w:t>
      </w:r>
    </w:p>
    <w:p>
      <w:pPr>
        <w:pStyle w:val="FirstParagraph"/>
      </w:pPr>
      <w:r>
        <w:t xml:space="preserve">Esses valores se aplicam ao grupo ocupacional canadense mais amplo e não são salários iniciais garantidos de flebotomista. Use os filtros provinciais, territoriais e regionais do Job Bank antes de tomar uma decisão de formação ou mudança.</w:t>
      </w:r>
    </w:p>
    <w:bookmarkEnd w:id="39"/>
    <w:bookmarkEnd w:id="40"/>
    <w:bookmarkStart w:id="41" w:name="plano-prático-de-início-de-12-semanas"/>
    <w:p>
      <w:pPr>
        <w:pStyle w:val="Heading2"/>
      </w:pPr>
      <w:r>
        <w:t xml:space="preserve">Plano prático de início de 12 semanas</w:t>
      </w:r>
    </w:p>
    <w:p>
      <w:pPr>
        <w:pStyle w:val="FirstParagraph"/>
      </w:pPr>
      <w:r>
        <w:rPr>
          <w:bCs/>
          <w:b/>
        </w:rPr>
        <w:t xml:space="preserve">Semanas 1–2:</w:t>
      </w:r>
      <w:r>
        <w:t xml:space="preserve"> </w:t>
      </w:r>
      <w:r>
        <w:t xml:space="preserve">Revise 15–20 vagas locais. Registre requisitos de educação, certificação, RCP, horário, prática clínica, experiência, idioma e software.</w:t>
      </w:r>
    </w:p>
    <w:p>
      <w:pPr>
        <w:pStyle w:val="BodyText"/>
      </w:pPr>
      <w:r>
        <w:rPr>
          <w:bCs/>
          <w:b/>
        </w:rPr>
        <w:t xml:space="preserve">Semanas 3–4:</w:t>
      </w:r>
      <w:r>
        <w:t xml:space="preserve"> </w:t>
      </w:r>
      <w:r>
        <w:t xml:space="preserve">Estude terminologia médica, comunicação com pacientes, privacidade, princípios de identidade de amostras, prevenção de infecções e consciência sobre patógenos transmitidos pelo sangue usando materiais educacionais confiáveis. Não pratique habilidades invasivas sem supervisão.</w:t>
      </w:r>
    </w:p>
    <w:p>
      <w:pPr>
        <w:pStyle w:val="BodyText"/>
      </w:pPr>
      <w:r>
        <w:rPr>
          <w:bCs/>
          <w:b/>
        </w:rPr>
        <w:t xml:space="preserve">Semanas 5–6:</w:t>
      </w:r>
      <w:r>
        <w:t xml:space="preserve"> </w:t>
      </w:r>
      <w:r>
        <w:t xml:space="preserve">Compare pelo menos três caminhos legítimos de formação. Verifique custo total, experiência clínica supervisionada, elegibilidade para exame, regras de reembolso, verificações de antecedentes, avaliação de saúde e suprimentos.</w:t>
      </w:r>
    </w:p>
    <w:p>
      <w:pPr>
        <w:pStyle w:val="BodyText"/>
      </w:pPr>
      <w:r>
        <w:rPr>
          <w:bCs/>
          <w:b/>
        </w:rPr>
        <w:t xml:space="preserve">Semanas 7–8:</w:t>
      </w:r>
      <w:r>
        <w:t xml:space="preserve"> </w:t>
      </w:r>
      <w:r>
        <w:t xml:space="preserve">Conclua apenas treinamento de habilidades clínicas supervisionado por programa ou empregador autorizado. Siga procedimentos aprovados de identificação do paciente, controle de infecções, perfurocortantes, rotulagem, resposta a exposição e documentação.</w:t>
      </w:r>
    </w:p>
    <w:p>
      <w:pPr>
        <w:pStyle w:val="BodyText"/>
      </w:pPr>
      <w:r>
        <w:rPr>
          <w:bCs/>
          <w:b/>
        </w:rPr>
        <w:t xml:space="preserve">Semanas 9–10:</w:t>
      </w:r>
      <w:r>
        <w:t xml:space="preserve"> </w:t>
      </w:r>
      <w:r>
        <w:t xml:space="preserve">Construa evidências para a busca de emprego: currículo claro, registro preciso de formação, credenciais realmente obtidas, horas ou experiência clínica supervisionada quando documentadas e exemplos de comunicação com pacientes e consciência de segurança.</w:t>
      </w:r>
    </w:p>
    <w:p>
      <w:pPr>
        <w:pStyle w:val="BodyText"/>
      </w:pPr>
      <w:r>
        <w:rPr>
          <w:bCs/>
          <w:b/>
        </w:rPr>
        <w:t xml:space="preserve">Semanas 11–12:</w:t>
      </w:r>
      <w:r>
        <w:t xml:space="preserve"> </w:t>
      </w:r>
      <w:r>
        <w:t xml:space="preserve">Candidate-se a funções compatíveis com sua preparação verificada. Prepare exemplos de entrevista que demonstrem precisão, confidencialidade, respeito ao paciente, trabalho em equipe, escalonamento seguro e capacidade de seguir procedimentos sob pressão.</w:t>
      </w:r>
    </w:p>
    <w:bookmarkEnd w:id="41"/>
    <w:bookmarkStart w:id="42" w:name="Xc9d5d1a01198d6f2b7fe60adc0c28ccb7ebc337"/>
    <w:p>
      <w:pPr>
        <w:pStyle w:val="Heading2"/>
      </w:pPr>
      <w:r>
        <w:t xml:space="preserve">Como construir experiência sem exagerar seu escopo</w:t>
      </w:r>
    </w:p>
    <w:p>
      <w:pPr>
        <w:pStyle w:val="FirstParagraph"/>
      </w:pPr>
      <w:r>
        <w:t xml:space="preserve">Experiência transferível útil pode vir de:</w:t>
      </w:r>
    </w:p>
    <w:p>
      <w:pPr>
        <w:numPr>
          <w:ilvl w:val="0"/>
          <w:numId w:val="1009"/>
        </w:numPr>
        <w:pStyle w:val="Compact"/>
      </w:pPr>
      <w:r>
        <w:t xml:space="preserve">recepção em saúde ou acesso de pacientes;</w:t>
      </w:r>
    </w:p>
    <w:p>
      <w:pPr>
        <w:numPr>
          <w:ilvl w:val="0"/>
          <w:numId w:val="1009"/>
        </w:numPr>
        <w:pStyle w:val="Compact"/>
      </w:pPr>
      <w:r>
        <w:t xml:space="preserve">trabalho como auxiliar de enfermagem ou apoio de enfermagem quando descrito com precisão;</w:t>
      </w:r>
    </w:p>
    <w:p>
      <w:pPr>
        <w:numPr>
          <w:ilvl w:val="0"/>
          <w:numId w:val="1009"/>
        </w:numPr>
        <w:pStyle w:val="Compact"/>
      </w:pPr>
      <w:r>
        <w:t xml:space="preserve">prontuários médicos ou recebimento e registro de amostras;</w:t>
      </w:r>
    </w:p>
    <w:p>
      <w:pPr>
        <w:numPr>
          <w:ilvl w:val="0"/>
          <w:numId w:val="1009"/>
        </w:numPr>
        <w:pStyle w:val="Compact"/>
      </w:pPr>
      <w:r>
        <w:t xml:space="preserve">funções de apoio laboratorial;</w:t>
      </w:r>
    </w:p>
    <w:p>
      <w:pPr>
        <w:numPr>
          <w:ilvl w:val="0"/>
          <w:numId w:val="1009"/>
        </w:numPr>
        <w:pStyle w:val="Compact"/>
      </w:pPr>
      <w:r>
        <w:t xml:space="preserve">serviços de doação de sangue ou saúde comunitária;</w:t>
      </w:r>
    </w:p>
    <w:p>
      <w:pPr>
        <w:numPr>
          <w:ilvl w:val="0"/>
          <w:numId w:val="1009"/>
        </w:numPr>
        <w:pStyle w:val="Compact"/>
      </w:pPr>
      <w:r>
        <w:t xml:space="preserve">atendimento ao cliente em ambientes regulados;</w:t>
      </w:r>
    </w:p>
    <w:p>
      <w:pPr>
        <w:numPr>
          <w:ilvl w:val="0"/>
          <w:numId w:val="1009"/>
        </w:numPr>
        <w:pStyle w:val="Compact"/>
      </w:pPr>
      <w:r>
        <w:t xml:space="preserve">apoio de estoque e suprimentos;</w:t>
      </w:r>
    </w:p>
    <w:p>
      <w:pPr>
        <w:numPr>
          <w:ilvl w:val="0"/>
          <w:numId w:val="1009"/>
        </w:numPr>
        <w:pStyle w:val="Compact"/>
      </w:pPr>
      <w:r>
        <w:t xml:space="preserve">estágios ou colocações clínicas supervisionadas; e</w:t>
      </w:r>
    </w:p>
    <w:p>
      <w:pPr>
        <w:numPr>
          <w:ilvl w:val="0"/>
          <w:numId w:val="1009"/>
        </w:numPr>
        <w:pStyle w:val="Compact"/>
      </w:pPr>
      <w:r>
        <w:t xml:space="preserve">treinamento do empregador.</w:t>
      </w:r>
    </w:p>
    <w:p>
      <w:pPr>
        <w:pStyle w:val="FirstParagraph"/>
      </w:pPr>
      <w:r>
        <w:t xml:space="preserve">Descreva o que realmente fez. Não transforme prática de sala de aula, observação, simulação ou exposição supervisionada limitada em alegação de competência clínica independente.</w:t>
      </w:r>
    </w:p>
    <w:bookmarkEnd w:id="42"/>
    <w:bookmarkStart w:id="43" w:name="progressão-profissional"/>
    <w:p>
      <w:pPr>
        <w:pStyle w:val="Heading2"/>
      </w:pPr>
      <w:r>
        <w:t xml:space="preserve">Progressão profissional</w:t>
      </w:r>
    </w:p>
    <w:p>
      <w:pPr>
        <w:pStyle w:val="FirstParagraph"/>
      </w:pPr>
      <w:r>
        <w:t xml:space="preserve">Com educação, credenciais e experiência adicionais, possíveis caminhos incluem flebotomista sênior, líder de flebotomia, serviços de doadores, assistente de laboratório, coordenador de atendimento ao paciente, assistente médico, caminhos para técnico ou tecnólogo de laboratório médico, enfermagem ou outras ocupações de apoio à saúde.</w:t>
      </w:r>
    </w:p>
    <w:p>
      <w:pPr>
        <w:pStyle w:val="BodyText"/>
      </w:pPr>
      <w:r>
        <w:t xml:space="preserve">Muitas dessas funções possuem requisitos separados de educação, certificação, licença ou regulamentação. Verifique-os antes de investir em formação.</w:t>
      </w:r>
    </w:p>
    <w:bookmarkEnd w:id="43"/>
    <w:bookmarkStart w:id="44" w:name="uso-responsável-de-ia-neste-trabalho"/>
    <w:p>
      <w:pPr>
        <w:pStyle w:val="Heading2"/>
      </w:pPr>
      <w:r>
        <w:t xml:space="preserve">Uso responsável de IA neste trabalho</w:t>
      </w:r>
    </w:p>
    <w:p>
      <w:pPr>
        <w:pStyle w:val="FirstParagraph"/>
      </w:pPr>
      <w:r>
        <w:t xml:space="preserve">A IA pode apoiar aprendizagem de baixo risco e tarefas administrativas, por exemplo:</w:t>
      </w:r>
    </w:p>
    <w:p>
      <w:pPr>
        <w:numPr>
          <w:ilvl w:val="0"/>
          <w:numId w:val="1010"/>
        </w:numPr>
        <w:pStyle w:val="Compact"/>
      </w:pPr>
      <w:r>
        <w:t xml:space="preserve">explicar terminologia geral para estudo;</w:t>
      </w:r>
    </w:p>
    <w:p>
      <w:pPr>
        <w:numPr>
          <w:ilvl w:val="0"/>
          <w:numId w:val="1010"/>
        </w:numPr>
        <w:pStyle w:val="Compact"/>
      </w:pPr>
      <w:r>
        <w:t xml:space="preserve">gerar perguntas fictícias de entrevista para prática;</w:t>
      </w:r>
    </w:p>
    <w:p>
      <w:pPr>
        <w:numPr>
          <w:ilvl w:val="0"/>
          <w:numId w:val="1010"/>
        </w:numPr>
        <w:pStyle w:val="Compact"/>
      </w:pPr>
      <w:r>
        <w:t xml:space="preserve">organizar um plano de estudo não sensível;</w:t>
      </w:r>
    </w:p>
    <w:p>
      <w:pPr>
        <w:numPr>
          <w:ilvl w:val="0"/>
          <w:numId w:val="1010"/>
        </w:numPr>
        <w:pStyle w:val="Compact"/>
      </w:pPr>
      <w:r>
        <w:t xml:space="preserve">elaborar uma lista de verificação genérica que depois seja comparada à política do empregador; ou</w:t>
      </w:r>
    </w:p>
    <w:p>
      <w:pPr>
        <w:numPr>
          <w:ilvl w:val="0"/>
          <w:numId w:val="1010"/>
        </w:numPr>
        <w:pStyle w:val="Compact"/>
      </w:pPr>
      <w:r>
        <w:t xml:space="preserve">resumir material educacional público.</w:t>
      </w:r>
    </w:p>
    <w:p>
      <w:pPr>
        <w:pStyle w:val="FirstParagraph"/>
      </w:pPr>
      <w:r>
        <w:t xml:space="preserve">A IA</w:t>
      </w:r>
      <w:r>
        <w:t xml:space="preserve"> </w:t>
      </w:r>
      <w:r>
        <w:rPr>
          <w:bCs/>
          <w:b/>
        </w:rPr>
        <w:t xml:space="preserve">não deve</w:t>
      </w:r>
      <w:r>
        <w:t xml:space="preserve"> </w:t>
      </w:r>
      <w:r>
        <w:t xml:space="preserve">substituir protocolos aprovados, julgamento clínico, supervisão licenciada, controles do sistema de informação laboratorial, procedimentos de identificação do paciente, procedimentos de rotulagem de amostras, regras de controle de infecção, procedimentos de resposta a exposição ou escalonamento de emergência.</w:t>
      </w:r>
    </w:p>
    <w:p>
      <w:pPr>
        <w:pStyle w:val="BodyText"/>
      </w:pPr>
      <w:r>
        <w:t xml:space="preserve">Nunca insira nomes de pacientes, datas de nascimento, números de prontuário, pedidos de exames, resultados, identificadores de amostras, fotografias, credenciais, dados internos de laboratório, informações confidenciais do empregador ou outras informações de saúde protegidas em um serviço público de IA não aprovado.</w:t>
      </w:r>
    </w:p>
    <w:p>
      <w:pPr>
        <w:pStyle w:val="BodyText"/>
      </w:pPr>
      <w:r>
        <w:t xml:space="preserve">Verifique qualquer afirmação gerada por IA em relação à política atual do empregador e fontes autorizadas antes de usá-la em trabalho de saúde.</w:t>
      </w:r>
    </w:p>
    <w:bookmarkEnd w:id="44"/>
    <w:bookmarkStart w:id="45" w:name="X356fdc2e85bc057c4a052aa3e43ca44bd86592f"/>
    <w:p>
      <w:pPr>
        <w:pStyle w:val="Heading2"/>
      </w:pPr>
      <w:r>
        <w:t xml:space="preserve">Noções básicas de cibersegurança e privacidade</w:t>
      </w:r>
    </w:p>
    <w:p>
      <w:pPr>
        <w:pStyle w:val="FirstParagraph"/>
      </w:pPr>
      <w:r>
        <w:t xml:space="preserve">O trabalho de flebotomia pode envolver prontuários eletrônicos de saúde, sistemas de informação laboratorial, sistemas de código de barras ou rotulagem de amostras, plataformas de agendamento, dispositivos móveis e portais de pacientes.</w:t>
      </w:r>
    </w:p>
    <w:p>
      <w:pPr>
        <w:pStyle w:val="BodyText"/>
      </w:pPr>
      <w:r>
        <w:t xml:space="preserve">Siga os requisitos do empregador para:</w:t>
      </w:r>
    </w:p>
    <w:p>
      <w:pPr>
        <w:numPr>
          <w:ilvl w:val="0"/>
          <w:numId w:val="1011"/>
        </w:numPr>
        <w:pStyle w:val="Compact"/>
      </w:pPr>
      <w:r>
        <w:t xml:space="preserve">contas individuais e autenticação multifator;</w:t>
      </w:r>
    </w:p>
    <w:p>
      <w:pPr>
        <w:numPr>
          <w:ilvl w:val="0"/>
          <w:numId w:val="1011"/>
        </w:numPr>
        <w:pStyle w:val="Compact"/>
      </w:pPr>
      <w:r>
        <w:t xml:space="preserve">proteção de senhas e credenciais;</w:t>
      </w:r>
    </w:p>
    <w:p>
      <w:pPr>
        <w:numPr>
          <w:ilvl w:val="0"/>
          <w:numId w:val="1011"/>
        </w:numPr>
        <w:pStyle w:val="Compact"/>
      </w:pPr>
      <w:r>
        <w:t xml:space="preserve">relato de phishing e mensagens suspeitas;</w:t>
      </w:r>
    </w:p>
    <w:p>
      <w:pPr>
        <w:numPr>
          <w:ilvl w:val="0"/>
          <w:numId w:val="1011"/>
        </w:numPr>
        <w:pStyle w:val="Compact"/>
      </w:pPr>
      <w:r>
        <w:t xml:space="preserve">dispositivos e softwares aprovados;</w:t>
      </w:r>
    </w:p>
    <w:p>
      <w:pPr>
        <w:numPr>
          <w:ilvl w:val="0"/>
          <w:numId w:val="1011"/>
        </w:numPr>
        <w:pStyle w:val="Compact"/>
      </w:pPr>
      <w:r>
        <w:t xml:space="preserve">privacidade do paciente e acesso pelo mínimo necessário;</w:t>
      </w:r>
    </w:p>
    <w:p>
      <w:pPr>
        <w:numPr>
          <w:ilvl w:val="0"/>
          <w:numId w:val="1011"/>
        </w:numPr>
        <w:pStyle w:val="Compact"/>
      </w:pPr>
      <w:r>
        <w:t xml:space="preserve">manuseio seguro de etiquetas e requisições impressas;</w:t>
      </w:r>
    </w:p>
    <w:p>
      <w:pPr>
        <w:numPr>
          <w:ilvl w:val="0"/>
          <w:numId w:val="1011"/>
        </w:numPr>
        <w:pStyle w:val="Compact"/>
      </w:pPr>
      <w:r>
        <w:t xml:space="preserve">bloqueio de tela quando não estiver em uso;</w:t>
      </w:r>
    </w:p>
    <w:p>
      <w:pPr>
        <w:numPr>
          <w:ilvl w:val="0"/>
          <w:numId w:val="1011"/>
        </w:numPr>
        <w:pStyle w:val="Compact"/>
      </w:pPr>
      <w:r>
        <w:t xml:space="preserve">canais de comunicação aprovados; e</w:t>
      </w:r>
    </w:p>
    <w:p>
      <w:pPr>
        <w:numPr>
          <w:ilvl w:val="0"/>
          <w:numId w:val="1011"/>
        </w:numPr>
        <w:pStyle w:val="Compact"/>
      </w:pPr>
      <w:r>
        <w:t xml:space="preserve">relato imediato de possíveis incidentes de privacidade ou segurança.</w:t>
      </w:r>
    </w:p>
    <w:p>
      <w:pPr>
        <w:pStyle w:val="FirstParagraph"/>
      </w:pPr>
      <w:r>
        <w:t xml:space="preserve">Não use e-mail pessoal, armazenamento em nuvem de consumo, aplicativos de mensagens ou ferramentas públicas de IA para informações protegidas de pacientes, salvo aprovação explícita do empregador.</w:t>
      </w:r>
    </w:p>
    <w:bookmarkEnd w:id="45"/>
    <w:bookmarkStart w:id="46" w:name="Xbffcddb9ddf196cb2ca10ad021842c1dd7ffbf8"/>
    <w:p>
      <w:pPr>
        <w:pStyle w:val="Heading2"/>
      </w:pPr>
      <w:r>
        <w:t xml:space="preserve">Evite golpes e ofertas de formação fracas</w:t>
      </w:r>
    </w:p>
    <w:p>
      <w:pPr>
        <w:pStyle w:val="FirstParagraph"/>
      </w:pPr>
      <w:r>
        <w:t xml:space="preserve">Tenha cautela quando uma escola, recrutador, vendedor de certificação ou empregador:</w:t>
      </w:r>
    </w:p>
    <w:p>
      <w:pPr>
        <w:numPr>
          <w:ilvl w:val="0"/>
          <w:numId w:val="1012"/>
        </w:numPr>
        <w:pStyle w:val="Compact"/>
      </w:pPr>
      <w:r>
        <w:t xml:space="preserve">garante emprego, licença, certificação ou salário;</w:t>
      </w:r>
    </w:p>
    <w:p>
      <w:pPr>
        <w:numPr>
          <w:ilvl w:val="0"/>
          <w:numId w:val="1012"/>
        </w:numPr>
        <w:pStyle w:val="Compact"/>
      </w:pPr>
      <w:r>
        <w:t xml:space="preserve">afirma que um certificado privado é legalmente obrigatório em todos os lugares;</w:t>
      </w:r>
    </w:p>
    <w:p>
      <w:pPr>
        <w:numPr>
          <w:ilvl w:val="0"/>
          <w:numId w:val="1012"/>
        </w:numPr>
        <w:pStyle w:val="Compact"/>
      </w:pPr>
      <w:r>
        <w:t xml:space="preserve">promete competência clínica sem prática supervisionada;</w:t>
      </w:r>
    </w:p>
    <w:p>
      <w:pPr>
        <w:numPr>
          <w:ilvl w:val="0"/>
          <w:numId w:val="1012"/>
        </w:numPr>
        <w:pStyle w:val="Compact"/>
      </w:pPr>
      <w:r>
        <w:t xml:space="preserve">não informa quem organiza a colocação clínica;</w:t>
      </w:r>
    </w:p>
    <w:p>
      <w:pPr>
        <w:numPr>
          <w:ilvl w:val="0"/>
          <w:numId w:val="1012"/>
        </w:numPr>
        <w:pStyle w:val="Compact"/>
      </w:pPr>
      <w:r>
        <w:t xml:space="preserve">oculta custos totais de matrícula, suprimentos, exame, repetição de exame, verificação de antecedentes, avaliação de saúde ou recertificação;</w:t>
      </w:r>
    </w:p>
    <w:p>
      <w:pPr>
        <w:numPr>
          <w:ilvl w:val="0"/>
          <w:numId w:val="1012"/>
        </w:numPr>
        <w:pStyle w:val="Compact"/>
      </w:pPr>
      <w:r>
        <w:t xml:space="preserve">se recusa a fornecer por escrito regras de reembolso ou desistência;</w:t>
      </w:r>
    </w:p>
    <w:p>
      <w:pPr>
        <w:numPr>
          <w:ilvl w:val="0"/>
          <w:numId w:val="1012"/>
        </w:numPr>
        <w:pStyle w:val="Compact"/>
      </w:pPr>
      <w:r>
        <w:t xml:space="preserve">não consegue explicar quais empregadores reconhecem a credencial;</w:t>
      </w:r>
    </w:p>
    <w:p>
      <w:pPr>
        <w:numPr>
          <w:ilvl w:val="0"/>
          <w:numId w:val="1012"/>
        </w:numPr>
        <w:pStyle w:val="Compact"/>
      </w:pPr>
      <w:r>
        <w:t xml:space="preserve">pressiona para pagamento imediato; ou</w:t>
      </w:r>
    </w:p>
    <w:p>
      <w:pPr>
        <w:numPr>
          <w:ilvl w:val="0"/>
          <w:numId w:val="1012"/>
        </w:numPr>
        <w:pStyle w:val="Compact"/>
      </w:pPr>
      <w:r>
        <w:t xml:space="preserve">solicita formas de pagamento incomuns ou informações sensíveis de identidade antes que você tenha verificado a organização.</w:t>
      </w:r>
    </w:p>
    <w:p>
      <w:pPr>
        <w:pStyle w:val="FirstParagraph"/>
      </w:pPr>
      <w:r>
        <w:t xml:space="preserve">Antes de pagar, confirme que empregadores locais reconhecem a formação e que o programa atende aos pré-requisitos de exame de certificação ou emprego que você pretende cumprir.</w:t>
      </w:r>
    </w:p>
    <w:bookmarkEnd w:id="46"/>
    <w:bookmarkStart w:id="65" w:name="fontes-atuais"/>
    <w:p>
      <w:pPr>
        <w:pStyle w:val="Heading2"/>
      </w:pPr>
      <w:r>
        <w:t xml:space="preserve">Fontes atuais</w:t>
      </w:r>
    </w:p>
    <w:p>
      <w:pPr>
        <w:pStyle w:val="FirstParagraph"/>
      </w:pPr>
      <w:r>
        <w:t xml:space="preserve">Fontes oficiais/públicas/institucionais:</w:t>
      </w:r>
    </w:p>
    <w:p>
      <w:pPr>
        <w:numPr>
          <w:ilvl w:val="0"/>
          <w:numId w:val="1013"/>
        </w:numPr>
        <w:pStyle w:val="Compact"/>
      </w:pPr>
      <w:r>
        <w:t xml:space="preserve">O*NET OnLine — Phlebotomists 31-9097.00:</w:t>
      </w:r>
      <w:r>
        <w:t xml:space="preserve"> </w:t>
      </w:r>
      <w:hyperlink r:id="rId47">
        <w:r>
          <w:rPr>
            <w:rStyle w:val="Hyperlink"/>
          </w:rPr>
          <w:t xml:space="preserve">https://www.onetonline.org/link/details/31-9097.00</w:t>
        </w:r>
      </w:hyperlink>
    </w:p>
    <w:p>
      <w:pPr>
        <w:numPr>
          <w:ilvl w:val="0"/>
          <w:numId w:val="1013"/>
        </w:numPr>
        <w:pStyle w:val="Compact"/>
      </w:pPr>
      <w:r>
        <w:t xml:space="preserve">O*NET national wages — Phlebotomists:</w:t>
      </w:r>
      <w:r>
        <w:t xml:space="preserve"> </w:t>
      </w:r>
      <w:hyperlink r:id="rId48">
        <w:r>
          <w:rPr>
            <w:rStyle w:val="Hyperlink"/>
          </w:rPr>
          <w:t xml:space="preserve">https://www.onetonline.org/link/localwages/31-9097.00</w:t>
        </w:r>
      </w:hyperlink>
    </w:p>
    <w:p>
      <w:pPr>
        <w:numPr>
          <w:ilvl w:val="0"/>
          <w:numId w:val="1013"/>
        </w:numPr>
        <w:pStyle w:val="Compact"/>
      </w:pPr>
      <w:r>
        <w:t xml:space="preserve">U.S. Bureau of Labor Statistics — Phlebotomists:</w:t>
      </w:r>
      <w:r>
        <w:t xml:space="preserve"> </w:t>
      </w:r>
      <w:hyperlink r:id="rId49">
        <w:r>
          <w:rPr>
            <w:rStyle w:val="Hyperlink"/>
          </w:rPr>
          <w:t xml:space="preserve">https://www.bls.gov/ooh/healthcare/phlebotomists.htm</w:t>
        </w:r>
      </w:hyperlink>
    </w:p>
    <w:p>
      <w:pPr>
        <w:numPr>
          <w:ilvl w:val="0"/>
          <w:numId w:val="1013"/>
        </w:numPr>
        <w:pStyle w:val="Compact"/>
      </w:pPr>
      <w:r>
        <w:t xml:space="preserve">Apprenticeship.gov:</w:t>
      </w:r>
      <w:r>
        <w:t xml:space="preserve"> </w:t>
      </w:r>
      <w:hyperlink r:id="rId50">
        <w:r>
          <w:rPr>
            <w:rStyle w:val="Hyperlink"/>
          </w:rPr>
          <w:t xml:space="preserve">https://www.apprenticeship.gov/</w:t>
        </w:r>
      </w:hyperlink>
    </w:p>
    <w:p>
      <w:pPr>
        <w:numPr>
          <w:ilvl w:val="0"/>
          <w:numId w:val="1013"/>
        </w:numPr>
        <w:pStyle w:val="Compact"/>
      </w:pPr>
      <w:r>
        <w:t xml:space="preserve">CareerOneStop — WIOA-Eligible Training Program Finder:</w:t>
      </w:r>
      <w:r>
        <w:t xml:space="preserve"> </w:t>
      </w:r>
      <w:hyperlink r:id="rId51">
        <w:r>
          <w:rPr>
            <w:rStyle w:val="Hyperlink"/>
          </w:rPr>
          <w:t xml:space="preserve">https://www.careeronestop.org/LocalHelp/EmploymentAndTraining/find-WIOA-training-programs.aspx</w:t>
        </w:r>
      </w:hyperlink>
    </w:p>
    <w:p>
      <w:pPr>
        <w:numPr>
          <w:ilvl w:val="0"/>
          <w:numId w:val="1013"/>
        </w:numPr>
        <w:pStyle w:val="Compact"/>
      </w:pPr>
      <w:r>
        <w:t xml:space="preserve">CareerOneStop — Find Training:</w:t>
      </w:r>
      <w:r>
        <w:t xml:space="preserve"> </w:t>
      </w:r>
      <w:hyperlink r:id="rId52">
        <w:r>
          <w:rPr>
            <w:rStyle w:val="Hyperlink"/>
          </w:rPr>
          <w:t xml:space="preserve">https://www.careeronestop.org/FindTraining/find-training.aspx</w:t>
        </w:r>
      </w:hyperlink>
    </w:p>
    <w:p>
      <w:pPr>
        <w:numPr>
          <w:ilvl w:val="0"/>
          <w:numId w:val="1013"/>
        </w:numPr>
        <w:pStyle w:val="Compact"/>
      </w:pPr>
      <w:r>
        <w:t xml:space="preserve">OSHA — Bloodborne Pathogens standard, 29 CFR 1910.1030:</w:t>
      </w:r>
      <w:r>
        <w:t xml:space="preserve"> </w:t>
      </w:r>
      <w:hyperlink r:id="rId53">
        <w:r>
          <w:rPr>
            <w:rStyle w:val="Hyperlink"/>
          </w:rPr>
          <w:t xml:space="preserve">https://www.osha.gov/laws-regs/regulations/standardnumber/1910/1910.1030</w:t>
        </w:r>
      </w:hyperlink>
    </w:p>
    <w:p>
      <w:pPr>
        <w:numPr>
          <w:ilvl w:val="0"/>
          <w:numId w:val="1013"/>
        </w:numPr>
        <w:pStyle w:val="Compact"/>
      </w:pPr>
      <w:r>
        <w:t xml:space="preserve">OSHA — Bloodborne Pathogens: Evaluating and Controlling Exposure:</w:t>
      </w:r>
      <w:r>
        <w:t xml:space="preserve"> </w:t>
      </w:r>
      <w:hyperlink r:id="rId54">
        <w:r>
          <w:rPr>
            <w:rStyle w:val="Hyperlink"/>
          </w:rPr>
          <w:t xml:space="preserve">https://www.osha.gov/bloodborne-pathogens/evaluating-controlling-exposure</w:t>
        </w:r>
      </w:hyperlink>
    </w:p>
    <w:p>
      <w:pPr>
        <w:numPr>
          <w:ilvl w:val="0"/>
          <w:numId w:val="1013"/>
        </w:numPr>
        <w:pStyle w:val="Compact"/>
      </w:pPr>
      <w:r>
        <w:t xml:space="preserve">CDC — Standard Precautions for All Patient Care:</w:t>
      </w:r>
      <w:r>
        <w:t xml:space="preserve"> </w:t>
      </w:r>
      <w:hyperlink r:id="rId55">
        <w:r>
          <w:rPr>
            <w:rStyle w:val="Hyperlink"/>
          </w:rPr>
          <w:t xml:space="preserve">https://www.cdc.gov/infection-control/hcp/basics/standard-precautions.html</w:t>
        </w:r>
      </w:hyperlink>
    </w:p>
    <w:p>
      <w:pPr>
        <w:numPr>
          <w:ilvl w:val="0"/>
          <w:numId w:val="1013"/>
        </w:numPr>
        <w:pStyle w:val="Compact"/>
      </w:pPr>
      <w:r>
        <w:t xml:space="preserve">Government of Canada Job Bank — Phlebotomist summary:</w:t>
      </w:r>
      <w:r>
        <w:t xml:space="preserve"> </w:t>
      </w:r>
      <w:hyperlink r:id="rId56">
        <w:r>
          <w:rPr>
            <w:rStyle w:val="Hyperlink"/>
          </w:rPr>
          <w:t xml:space="preserve">https://www.jobbank.gc.ca/marketreport/summary-occupation/4220/ca</w:t>
        </w:r>
      </w:hyperlink>
    </w:p>
    <w:p>
      <w:pPr>
        <w:numPr>
          <w:ilvl w:val="0"/>
          <w:numId w:val="1013"/>
        </w:numPr>
        <w:pStyle w:val="Compact"/>
      </w:pPr>
      <w:r>
        <w:t xml:space="preserve">Government of Canada Job Bank — Phlebotomist requirements:</w:t>
      </w:r>
      <w:r>
        <w:t xml:space="preserve"> </w:t>
      </w:r>
      <w:hyperlink r:id="rId57">
        <w:r>
          <w:rPr>
            <w:rStyle w:val="Hyperlink"/>
          </w:rPr>
          <w:t xml:space="preserve">https://www.jobbank.gc.ca/marketreport/requirements/4220/ca</w:t>
        </w:r>
      </w:hyperlink>
    </w:p>
    <w:p>
      <w:pPr>
        <w:numPr>
          <w:ilvl w:val="0"/>
          <w:numId w:val="1013"/>
        </w:numPr>
        <w:pStyle w:val="Compact"/>
      </w:pPr>
      <w:r>
        <w:t xml:space="preserve">Government of Canada Job Bank — Phlebotomist wages:</w:t>
      </w:r>
      <w:r>
        <w:t xml:space="preserve"> </w:t>
      </w:r>
      <w:hyperlink r:id="rId58">
        <w:r>
          <w:rPr>
            <w:rStyle w:val="Hyperlink"/>
          </w:rPr>
          <w:t xml:space="preserve">https://www.jobbank.gc.ca/marketreport/wages-occupation/4220/ca</w:t>
        </w:r>
      </w:hyperlink>
    </w:p>
    <w:p>
      <w:pPr>
        <w:numPr>
          <w:ilvl w:val="0"/>
          <w:numId w:val="1013"/>
        </w:numPr>
        <w:pStyle w:val="Compact"/>
      </w:pPr>
      <w:r>
        <w:t xml:space="preserve">Government of Canada Job Bank — Phlebotomist prospects:</w:t>
      </w:r>
      <w:r>
        <w:t xml:space="preserve"> </w:t>
      </w:r>
      <w:hyperlink r:id="rId59">
        <w:r>
          <w:rPr>
            <w:rStyle w:val="Hyperlink"/>
          </w:rPr>
          <w:t xml:space="preserve">https://www.jobbank.gc.ca/marketreport/outlook-occupation/4220/ca</w:t>
        </w:r>
      </w:hyperlink>
    </w:p>
    <w:p>
      <w:pPr>
        <w:numPr>
          <w:ilvl w:val="0"/>
          <w:numId w:val="1013"/>
        </w:numPr>
        <w:pStyle w:val="Compact"/>
      </w:pPr>
      <w:r>
        <w:t xml:space="preserve">Government of Canada — Canada Student Grants and Loans:</w:t>
      </w:r>
      <w:r>
        <w:t xml:space="preserve"> </w:t>
      </w:r>
      <w:hyperlink r:id="rId60">
        <w:r>
          <w:rPr>
            <w:rStyle w:val="Hyperlink"/>
          </w:rPr>
          <w:t xml:space="preserve">https://www.canada.ca/en/services/benefits/education/student-aid/grants-loans.html</w:t>
        </w:r>
      </w:hyperlink>
    </w:p>
    <w:p>
      <w:pPr>
        <w:numPr>
          <w:ilvl w:val="0"/>
          <w:numId w:val="1013"/>
        </w:numPr>
        <w:pStyle w:val="Compact"/>
      </w:pPr>
      <w:r>
        <w:t xml:space="preserve">Government of Canada — Apply with your province or territory:</w:t>
      </w:r>
      <w:r>
        <w:t xml:space="preserve"> </w:t>
      </w:r>
      <w:hyperlink r:id="rId61">
        <w:r>
          <w:rPr>
            <w:rStyle w:val="Hyperlink"/>
          </w:rPr>
          <w:t xml:space="preserve">https://www.canada.ca/en/services/benefits/education/student-aid/grants-loans/province-apply.html</w:t>
        </w:r>
      </w:hyperlink>
    </w:p>
    <w:p>
      <w:pPr>
        <w:numPr>
          <w:ilvl w:val="0"/>
          <w:numId w:val="1013"/>
        </w:numPr>
        <w:pStyle w:val="Compact"/>
      </w:pPr>
      <w:r>
        <w:t xml:space="preserve">SENA Betowa — Toma de muestras para procesamiento en el laboratorio clínico:</w:t>
      </w:r>
      <w:r>
        <w:t xml:space="preserve"> </w:t>
      </w:r>
      <w:hyperlink r:id="rId62">
        <w:r>
          <w:rPr>
            <w:rStyle w:val="Hyperlink"/>
          </w:rPr>
          <w:t xml:space="preserve">https://betowa.sena.edu.co/oferta/toma-de-muestras-para-procesamiento-en-el-laboratorio-clinico?location=57073001&amp;modality=P&amp;offertype=company&amp;programId=84606</w:t>
        </w:r>
      </w:hyperlink>
    </w:p>
    <w:p>
      <w:pPr>
        <w:numPr>
          <w:ilvl w:val="0"/>
          <w:numId w:val="1013"/>
        </w:numPr>
        <w:pStyle w:val="Compact"/>
      </w:pPr>
      <w:r>
        <w:t xml:space="preserve">OIT/Cinterfor:</w:t>
      </w:r>
      <w:r>
        <w:t xml:space="preserve"> </w:t>
      </w:r>
      <w:hyperlink r:id="rId63">
        <w:r>
          <w:rPr>
            <w:rStyle w:val="Hyperlink"/>
          </w:rPr>
          <w:t xml:space="preserve">https://www.oitcinterfor.org/</w:t>
        </w:r>
      </w:hyperlink>
    </w:p>
    <w:p>
      <w:pPr>
        <w:pStyle w:val="FirstParagraph"/>
      </w:pPr>
      <w:r>
        <w:t xml:space="preserve">Fonte salarial suplementar não governamental:</w:t>
      </w:r>
    </w:p>
    <w:p>
      <w:pPr>
        <w:numPr>
          <w:ilvl w:val="0"/>
          <w:numId w:val="1014"/>
        </w:numPr>
        <w:pStyle w:val="Compact"/>
      </w:pPr>
      <w:r>
        <w:t xml:space="preserve">Salary.com — Phlebotomist Salary:</w:t>
      </w:r>
      <w:r>
        <w:t xml:space="preserve"> </w:t>
      </w:r>
      <w:hyperlink r:id="rId64">
        <w:r>
          <w:rPr>
            <w:rStyle w:val="Hyperlink"/>
          </w:rPr>
          <w:t xml:space="preserve">https://www.salary.com/research/salary/benchmark/phlebotomist-salary</w:t>
        </w:r>
      </w:hyperlink>
    </w:p>
    <w:bookmarkEnd w:id="65"/>
    <w:bookmarkStart w:id="66" w:name="nota-sobre-fontes-e-revisão"/>
    <w:p>
      <w:pPr>
        <w:pStyle w:val="Heading2"/>
      </w:pPr>
      <w:r>
        <w:t xml:space="preserve">Nota sobre fontes e revisão</w:t>
      </w:r>
    </w:p>
    <w:p>
      <w:pPr>
        <w:pStyle w:val="FirstParagraph"/>
      </w:pPr>
      <w:r>
        <w:t xml:space="preserve">Este guia usa pesquisa de fontes atuais registrada em 19 de agosto de 2026. Salários, disponibilidade de formação, requisitos de certificação, normas de saúde, programas de auxílio estudantil, requisitos do empregador e condições locais de contratação podem mudar. Verifique novamente as fontes oficiais e vagas atuais antes de agir.</w:t>
      </w:r>
    </w:p>
    <w:p>
      <w:pPr>
        <w:pStyle w:val="BodyText"/>
      </w:pPr>
      <w:r>
        <w:t xml:space="preserve">Esta revisão controlada foi produzida com assistência de IA e revisão auditável de fontes.</w:t>
      </w:r>
      <w:r>
        <w:t xml:space="preserve"> </w:t>
      </w:r>
      <w:r>
        <w:rPr>
          <w:bCs/>
          <w:b/>
        </w:rPr>
        <w:t xml:space="preserve">Não</w:t>
      </w:r>
      <w:r>
        <w:t xml:space="preserve"> </w:t>
      </w:r>
      <w:r>
        <w:t xml:space="preserve">afirma certificação humana independente, certificação clínica, acreditação profissional, tradução certificada, revisão jurídica, aconselhamento financeiro ou resultados de emprego garantidos.</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2" Target="https://betowa.sena.edu.co/oferta/toma-de-muestras-para-procesamiento-en-el-laboratorio-clinico?location=57073001&amp;modality=P&amp;offertype=company&amp;programId=84606" TargetMode="External" /><Relationship Type="http://schemas.openxmlformats.org/officeDocument/2006/relationships/hyperlink" Id="rId50" Target="https://www.apprenticeship.gov/" TargetMode="External" /><Relationship Type="http://schemas.openxmlformats.org/officeDocument/2006/relationships/hyperlink" Id="rId49" Target="https://www.bls.gov/ooh/healthcare/phlebotomists.htm" TargetMode="External" /><Relationship Type="http://schemas.openxmlformats.org/officeDocument/2006/relationships/hyperlink" Id="rId60" Target="https://www.canada.ca/en/services/benefits/education/student-aid/grants-loans.html" TargetMode="External" /><Relationship Type="http://schemas.openxmlformats.org/officeDocument/2006/relationships/hyperlink" Id="rId61" Target="https://www.canada.ca/en/services/benefits/education/student-aid/grants-loans/province-apply.html" TargetMode="External" /><Relationship Type="http://schemas.openxmlformats.org/officeDocument/2006/relationships/hyperlink" Id="rId52" Target="https://www.careeronestop.org/FindTraining/find-training.aspx" TargetMode="External" /><Relationship Type="http://schemas.openxmlformats.org/officeDocument/2006/relationships/hyperlink" Id="rId51" Target="https://www.careeronestop.org/LocalHelp/EmploymentAndTraining/find-WIOA-training-programs.aspx" TargetMode="External" /><Relationship Type="http://schemas.openxmlformats.org/officeDocument/2006/relationships/hyperlink" Id="rId55" Target="https://www.cdc.gov/infection-control/hcp/basics/standard-precautions.html" TargetMode="External" /><Relationship Type="http://schemas.openxmlformats.org/officeDocument/2006/relationships/hyperlink" Id="rId59" Target="https://www.jobbank.gc.ca/marketreport/outlook-occupation/4220/ca" TargetMode="External" /><Relationship Type="http://schemas.openxmlformats.org/officeDocument/2006/relationships/hyperlink" Id="rId57" Target="https://www.jobbank.gc.ca/marketreport/requirements/4220/ca" TargetMode="External" /><Relationship Type="http://schemas.openxmlformats.org/officeDocument/2006/relationships/hyperlink" Id="rId56" Target="https://www.jobbank.gc.ca/marketreport/summary-occupation/4220/ca" TargetMode="External" /><Relationship Type="http://schemas.openxmlformats.org/officeDocument/2006/relationships/hyperlink" Id="rId58" Target="https://www.jobbank.gc.ca/marketreport/wages-occupation/4220/ca" TargetMode="External" /><Relationship Type="http://schemas.openxmlformats.org/officeDocument/2006/relationships/hyperlink" Id="rId63" Target="https://www.oitcinterfor.org/" TargetMode="External" /><Relationship Type="http://schemas.openxmlformats.org/officeDocument/2006/relationships/hyperlink" Id="rId47" Target="https://www.onetonline.org/link/details/31-9097.00" TargetMode="External" /><Relationship Type="http://schemas.openxmlformats.org/officeDocument/2006/relationships/hyperlink" Id="rId48" Target="https://www.onetonline.org/link/localwages/31-9097.00" TargetMode="External" /><Relationship Type="http://schemas.openxmlformats.org/officeDocument/2006/relationships/hyperlink" Id="rId54" Target="https://www.osha.gov/bloodborne-pathogens/evaluating-controlling-exposure" TargetMode="External" /><Relationship Type="http://schemas.openxmlformats.org/officeDocument/2006/relationships/hyperlink" Id="rId53" Target="https://www.osha.gov/laws-regs/regulations/standardnumber/1910/1910.1030" TargetMode="External" /><Relationship Type="http://schemas.openxmlformats.org/officeDocument/2006/relationships/hyperlink" Id="rId64" Target="https://www.salary.com/research/salary/benchmark/phlebotomist-salary" TargetMode="External" /></Relationships>
</file>

<file path=word/_rels/footnotes.xml.rels><?xml version="1.0" encoding="UTF-8"?><Relationships xmlns="http://schemas.openxmlformats.org/package/2006/relationships"><Relationship Type="http://schemas.openxmlformats.org/officeDocument/2006/relationships/hyperlink" Id="rId62" Target="https://betowa.sena.edu.co/oferta/toma-de-muestras-para-procesamiento-en-el-laboratorio-clinico?location=57073001&amp;modality=P&amp;offertype=company&amp;programId=84606" TargetMode="External" /><Relationship Type="http://schemas.openxmlformats.org/officeDocument/2006/relationships/hyperlink" Id="rId50" Target="https://www.apprenticeship.gov/" TargetMode="External" /><Relationship Type="http://schemas.openxmlformats.org/officeDocument/2006/relationships/hyperlink" Id="rId49" Target="https://www.bls.gov/ooh/healthcare/phlebotomists.htm" TargetMode="External" /><Relationship Type="http://schemas.openxmlformats.org/officeDocument/2006/relationships/hyperlink" Id="rId60" Target="https://www.canada.ca/en/services/benefits/education/student-aid/grants-loans.html" TargetMode="External" /><Relationship Type="http://schemas.openxmlformats.org/officeDocument/2006/relationships/hyperlink" Id="rId61" Target="https://www.canada.ca/en/services/benefits/education/student-aid/grants-loans/province-apply.html" TargetMode="External" /><Relationship Type="http://schemas.openxmlformats.org/officeDocument/2006/relationships/hyperlink" Id="rId52" Target="https://www.careeronestop.org/FindTraining/find-training.aspx" TargetMode="External" /><Relationship Type="http://schemas.openxmlformats.org/officeDocument/2006/relationships/hyperlink" Id="rId51" Target="https://www.careeronestop.org/LocalHelp/EmploymentAndTraining/find-WIOA-training-programs.aspx" TargetMode="External" /><Relationship Type="http://schemas.openxmlformats.org/officeDocument/2006/relationships/hyperlink" Id="rId55" Target="https://www.cdc.gov/infection-control/hcp/basics/standard-precautions.html" TargetMode="External" /><Relationship Type="http://schemas.openxmlformats.org/officeDocument/2006/relationships/hyperlink" Id="rId59" Target="https://www.jobbank.gc.ca/marketreport/outlook-occupation/4220/ca" TargetMode="External" /><Relationship Type="http://schemas.openxmlformats.org/officeDocument/2006/relationships/hyperlink" Id="rId57" Target="https://www.jobbank.gc.ca/marketreport/requirements/4220/ca" TargetMode="External" /><Relationship Type="http://schemas.openxmlformats.org/officeDocument/2006/relationships/hyperlink" Id="rId56" Target="https://www.jobbank.gc.ca/marketreport/summary-occupation/4220/ca" TargetMode="External" /><Relationship Type="http://schemas.openxmlformats.org/officeDocument/2006/relationships/hyperlink" Id="rId58" Target="https://www.jobbank.gc.ca/marketreport/wages-occupation/4220/ca" TargetMode="External" /><Relationship Type="http://schemas.openxmlformats.org/officeDocument/2006/relationships/hyperlink" Id="rId63" Target="https://www.oitcinterfor.org/" TargetMode="External" /><Relationship Type="http://schemas.openxmlformats.org/officeDocument/2006/relationships/hyperlink" Id="rId47" Target="https://www.onetonline.org/link/details/31-9097.00" TargetMode="External" /><Relationship Type="http://schemas.openxmlformats.org/officeDocument/2006/relationships/hyperlink" Id="rId48" Target="https://www.onetonline.org/link/localwages/31-9097.00" TargetMode="External" /><Relationship Type="http://schemas.openxmlformats.org/officeDocument/2006/relationships/hyperlink" Id="rId54" Target="https://www.osha.gov/bloodborne-pathogens/evaluating-controlling-exposure" TargetMode="External" /><Relationship Type="http://schemas.openxmlformats.org/officeDocument/2006/relationships/hyperlink" Id="rId53" Target="https://www.osha.gov/laws-regs/regulations/standardnumber/1910/1910.1030" TargetMode="External" /><Relationship Type="http://schemas.openxmlformats.org/officeDocument/2006/relationships/hyperlink" Id="rId64" Target="https://www.salary.com/research/salary/benchmark/phlebotomist-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2026-08-19T19:03:21Z</dcterms:created>
  <dcterms:modified xsi:type="dcterms:W3CDTF">2026-08-19T19:03:21Z</dcterms:modified>
</cp:coreProperties>
</file>

<file path=docProps/custom.xml><?xml version="1.0" encoding="utf-8"?>
<Properties xmlns="http://schemas.openxmlformats.org/officeDocument/2006/custom-properties" xmlns:vt="http://schemas.openxmlformats.org/officeDocument/2006/docPropsVTypes"/>
</file>