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uía-50--técnico-en-flebotomía"/>
    <w:p>
      <w:pPr>
        <w:pStyle w:val="Heading1"/>
      </w:pPr>
      <w:r>
        <w:t xml:space="preserve">Guía 50 — Técnico en flebotomía</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técnicos en flebotomía recolectan muestras de sangre y apoyan la identificación, el etiquetado, la manipulación y la transferencia correctos de las muestras para pruebas de laboratorio. Suelen trabajar en hospitales, laboratorios ambulatorios, consultorios médicos, servicios de donación de sangre, clínicas, servicios de salud pública y otros entornos de atención de salud.</w:t>
      </w:r>
    </w:p>
    <w:p>
      <w:pPr>
        <w:pStyle w:val="BodyText"/>
      </w:pPr>
      <w:r>
        <w:t xml:space="preserve">En Estados Unidos, O*NET clasifica a los flebotomistas como</w:t>
      </w:r>
      <w:r>
        <w:t xml:space="preserve"> </w:t>
      </w:r>
      <w:r>
        <w:rPr>
          <w:bCs/>
          <w:b/>
        </w:rPr>
        <w:t xml:space="preserve">31-9097.00</w:t>
      </w:r>
      <w:r>
        <w:t xml:space="preserve">. Es un trabajo crítico para la seguridad porque implica contacto directo con pacientes, exposición a sangre, objetos cortopunzantes contaminados, información médica protegida y controles de identidad de muestras.</w:t>
      </w:r>
    </w:p>
    <w:p>
      <w:pPr>
        <w:pStyle w:val="BodyText"/>
      </w:pPr>
      <w:r>
        <w:t xml:space="preserve">Esta guía sirve para exploración y preparación profesional.</w:t>
      </w:r>
      <w:r>
        <w:t xml:space="preserve"> </w:t>
      </w:r>
      <w:r>
        <w:rPr>
          <w:bCs/>
          <w:b/>
        </w:rPr>
        <w:t xml:space="preserve">No</w:t>
      </w:r>
      <w:r>
        <w:t xml:space="preserve"> </w:t>
      </w:r>
      <w:r>
        <w:t xml:space="preserve">es un manual de procedimiento de venopunción, asesoría médica, asesoría legal, asesoría sobre licencias ni autorización para realizar una tarea clínica. La extracción de sangre y el manejo de muestras requieren formación, autorización, supervisión y procedimientos apropiados del empleador o centro de salud.</w:t>
      </w:r>
    </w:p>
    <w:bookmarkEnd w:id="20"/>
    <w:bookmarkStart w:id="21" w:name="qué-puede-hacer"/>
    <w:p>
      <w:pPr>
        <w:pStyle w:val="Heading2"/>
      </w:pPr>
      <w:r>
        <w:t xml:space="preserve">Qué puede hacer</w:t>
      </w:r>
    </w:p>
    <w:p>
      <w:pPr>
        <w:pStyle w:val="FirstParagraph"/>
      </w:pPr>
      <w:r>
        <w:t xml:space="preserve">Según el empleador, la jurisdicción, la formación, la supervisión y el alcance autorizado, las funciones pueden incluir:</w:t>
      </w:r>
    </w:p>
    <w:p>
      <w:pPr>
        <w:numPr>
          <w:ilvl w:val="0"/>
          <w:numId w:val="1001"/>
        </w:numPr>
        <w:pStyle w:val="Compact"/>
      </w:pPr>
      <w:r>
        <w:t xml:space="preserve">confirmar la identidad del paciente mediante procedimientos aprobados;</w:t>
      </w:r>
    </w:p>
    <w:p>
      <w:pPr>
        <w:numPr>
          <w:ilvl w:val="0"/>
          <w:numId w:val="1001"/>
        </w:numPr>
        <w:pStyle w:val="Compact"/>
      </w:pPr>
      <w:r>
        <w:t xml:space="preserve">preparar al paciente para una extracción de sangre autorizada;</w:t>
      </w:r>
    </w:p>
    <w:p>
      <w:pPr>
        <w:numPr>
          <w:ilvl w:val="0"/>
          <w:numId w:val="1001"/>
        </w:numPr>
        <w:pStyle w:val="Compact"/>
      </w:pPr>
      <w:r>
        <w:t xml:space="preserve">recolectar muestras de sangre cuando esté capacitado y autorizado;</w:t>
      </w:r>
    </w:p>
    <w:p>
      <w:pPr>
        <w:numPr>
          <w:ilvl w:val="0"/>
          <w:numId w:val="1001"/>
        </w:numPr>
        <w:pStyle w:val="Compact"/>
      </w:pPr>
      <w:r>
        <w:t xml:space="preserve">etiquetar las muestras con precisión en el momento y lugar exigidos por la política del centro;</w:t>
      </w:r>
    </w:p>
    <w:p>
      <w:pPr>
        <w:numPr>
          <w:ilvl w:val="0"/>
          <w:numId w:val="1001"/>
        </w:numPr>
        <w:pStyle w:val="Compact"/>
      </w:pPr>
      <w:r>
        <w:t xml:space="preserve">preparar muestras para transporte o procesamiento de laboratorio;</w:t>
      </w:r>
    </w:p>
    <w:p>
      <w:pPr>
        <w:numPr>
          <w:ilvl w:val="0"/>
          <w:numId w:val="1001"/>
        </w:numPr>
        <w:pStyle w:val="Compact"/>
      </w:pPr>
      <w:r>
        <w:t xml:space="preserve">mantener suministros de recolección y equipos aprobados;</w:t>
      </w:r>
    </w:p>
    <w:p>
      <w:pPr>
        <w:numPr>
          <w:ilvl w:val="0"/>
          <w:numId w:val="1001"/>
        </w:numPr>
        <w:pStyle w:val="Compact"/>
      </w:pPr>
      <w:r>
        <w:t xml:space="preserve">seguir requisitos de prevención de infecciones, seguridad con cortopunzantes, control de exposición y eliminación de residuos;</w:t>
      </w:r>
    </w:p>
    <w:p>
      <w:pPr>
        <w:numPr>
          <w:ilvl w:val="0"/>
          <w:numId w:val="1001"/>
        </w:numPr>
        <w:pStyle w:val="Compact"/>
      </w:pPr>
      <w:r>
        <w:t xml:space="preserve">ingresar o verificar información rutinaria en sistemas aprobados de laboratorio o atención de salud;</w:t>
      </w:r>
    </w:p>
    <w:p>
      <w:pPr>
        <w:numPr>
          <w:ilvl w:val="0"/>
          <w:numId w:val="1001"/>
        </w:numPr>
        <w:pStyle w:val="Compact"/>
      </w:pPr>
      <w:r>
        <w:t xml:space="preserve">comunicarse con los pacientes de manera tranquila y respetuosa;</w:t>
      </w:r>
    </w:p>
    <w:p>
      <w:pPr>
        <w:numPr>
          <w:ilvl w:val="0"/>
          <w:numId w:val="1001"/>
        </w:numPr>
        <w:pStyle w:val="Compact"/>
      </w:pPr>
      <w:r>
        <w:t xml:space="preserve">reconocer cuándo una situación excede su función y escalarla correctamente; y</w:t>
      </w:r>
    </w:p>
    <w:p>
      <w:pPr>
        <w:numPr>
          <w:ilvl w:val="0"/>
          <w:numId w:val="1001"/>
        </w:numPr>
        <w:pStyle w:val="Compact"/>
      </w:pPr>
      <w:r>
        <w:t xml:space="preserve">documentar el trabajo de acuerdo con los procedimientos del empleador y del centro.</w:t>
      </w:r>
    </w:p>
    <w:p>
      <w:pPr>
        <w:pStyle w:val="FirstParagraph"/>
      </w:pPr>
      <w:r>
        <w:t xml:space="preserve">La lista exacta de tareas varía. Un título laboral, certificado de curso o credencial privada no crea automáticamente el mismo alcance de práctica en todos los estados, provincias, territorios, países, empleadores o entornos clínicos.</w:t>
      </w:r>
    </w:p>
    <w:bookmarkEnd w:id="21"/>
    <w:bookmarkStart w:id="22" w:name="X29d30c38b8e062018e0ccc3f1fef2363c1104a2"/>
    <w:p>
      <w:pPr>
        <w:pStyle w:val="Heading2"/>
      </w:pPr>
      <w:r>
        <w:t xml:space="preserve">Lo que este trabajo no autoriza por sí solo</w:t>
      </w:r>
    </w:p>
    <w:p>
      <w:pPr>
        <w:pStyle w:val="FirstParagraph"/>
      </w:pPr>
      <w:r>
        <w:t xml:space="preserve">Un título o certificado de flebotomía no convierte a una persona en médico, enfermero, tecnólogo de laboratorio clínico, farmacéutico ni otro profesional clínico con licencia independiente.</w:t>
      </w:r>
    </w:p>
    <w:p>
      <w:pPr>
        <w:pStyle w:val="BodyText"/>
      </w:pPr>
      <w:r>
        <w:t xml:space="preserve">Salvo que esté capacitado, autorizado y legalmente facultado por separado, no debe realizar de manera independiente lo siguiente:</w:t>
      </w:r>
    </w:p>
    <w:p>
      <w:pPr>
        <w:numPr>
          <w:ilvl w:val="0"/>
          <w:numId w:val="1002"/>
        </w:numPr>
        <w:pStyle w:val="Compact"/>
      </w:pPr>
      <w:r>
        <w:t xml:space="preserve">diagnosticar una condición;</w:t>
      </w:r>
    </w:p>
    <w:p>
      <w:pPr>
        <w:numPr>
          <w:ilvl w:val="0"/>
          <w:numId w:val="1002"/>
        </w:numPr>
        <w:pStyle w:val="Compact"/>
      </w:pPr>
      <w:r>
        <w:t xml:space="preserve">interpretar resultados de laboratorio para un paciente;</w:t>
      </w:r>
    </w:p>
    <w:p>
      <w:pPr>
        <w:numPr>
          <w:ilvl w:val="0"/>
          <w:numId w:val="1002"/>
        </w:numPr>
        <w:pStyle w:val="Compact"/>
      </w:pPr>
      <w:r>
        <w:t xml:space="preserve">seleccionar pruebas o modificar una orden clínica;</w:t>
      </w:r>
    </w:p>
    <w:p>
      <w:pPr>
        <w:numPr>
          <w:ilvl w:val="0"/>
          <w:numId w:val="1002"/>
        </w:numPr>
        <w:pStyle w:val="Compact"/>
      </w:pPr>
      <w:r>
        <w:t xml:space="preserve">dar recomendaciones de tratamiento;</w:t>
      </w:r>
    </w:p>
    <w:p>
      <w:pPr>
        <w:numPr>
          <w:ilvl w:val="0"/>
          <w:numId w:val="1002"/>
        </w:numPr>
        <w:pStyle w:val="Compact"/>
      </w:pPr>
      <w:r>
        <w:t xml:space="preserve">decidir si un paciente debe suspender o cambiar un medicamento;</w:t>
      </w:r>
    </w:p>
    <w:p>
      <w:pPr>
        <w:numPr>
          <w:ilvl w:val="0"/>
          <w:numId w:val="1002"/>
        </w:numPr>
        <w:pStyle w:val="Compact"/>
      </w:pPr>
      <w:r>
        <w:t xml:space="preserve">realizar procedimientos clínicos fuera de su función autorizada;</w:t>
      </w:r>
    </w:p>
    <w:p>
      <w:pPr>
        <w:numPr>
          <w:ilvl w:val="0"/>
          <w:numId w:val="1002"/>
        </w:numPr>
        <w:pStyle w:val="Compact"/>
      </w:pPr>
      <w:r>
        <w:t xml:space="preserve">omitir controles de identificación del paciente o etiquetado de muestras; ni</w:t>
      </w:r>
    </w:p>
    <w:p>
      <w:pPr>
        <w:numPr>
          <w:ilvl w:val="0"/>
          <w:numId w:val="1002"/>
        </w:numPr>
        <w:pStyle w:val="Compact"/>
      </w:pPr>
      <w:r>
        <w:t xml:space="preserve">presentarse como titular de una licencia o certificación que no posee realmente.</w:t>
      </w:r>
    </w:p>
    <w:p>
      <w:pPr>
        <w:pStyle w:val="FirstParagraph"/>
      </w:pPr>
      <w:r>
        <w:t xml:space="preserve">Cuando ocurra un problema clínico, de seguridad, exposición, identidad o muestra inesperado, siga el proceso de escalamiento del empleador en lugar de improvisar.</w:t>
      </w:r>
    </w:p>
    <w:bookmarkEnd w:id="22"/>
    <w:bookmarkStart w:id="23" w:name="entorno-de-trabajo-y-exigencias-físicas"/>
    <w:p>
      <w:pPr>
        <w:pStyle w:val="Heading2"/>
      </w:pPr>
      <w:r>
        <w:t xml:space="preserve">Entorno de trabajo y exigencias físicas</w:t>
      </w:r>
    </w:p>
    <w:p>
      <w:pPr>
        <w:pStyle w:val="FirstParagraph"/>
      </w:pPr>
      <w:r>
        <w:t xml:space="preserve">El trabajo de flebotomía puede implicar permanecer de pie o caminar durante periodos prolongados, movimientos repetitivos de manos, interacción cercana con pacientes, flexión, alcance, uso de computadoras, traslado de suministros y trabajo en entornos clínicos de alta actividad. Algunos puestos incluyen madrugadas, noches, fines de semana, festivos, recolección móvil o desplazamientos entre instalaciones.</w:t>
      </w:r>
    </w:p>
    <w:p>
      <w:pPr>
        <w:pStyle w:val="BodyText"/>
      </w:pPr>
      <w:r>
        <w:t xml:space="preserve">El trabajo puede exponer al personal a sangre, otros materiales potencialmente infecciosos, cortopunzantes, productos químicos de limpieza, enfermedades infecciosas, interacciones estresantes con pacientes y flujos de trabajo sensibles al tiempo.</w:t>
      </w:r>
    </w:p>
    <w:p>
      <w:pPr>
        <w:pStyle w:val="BodyText"/>
      </w:pPr>
      <w:r>
        <w:t xml:space="preserve">Siga los procedimientos vigentes del empleador y del centro para equipo de protección personal, higiene de manos, manejo de cortopunzantes, residuos contaminados, respuesta a exposiciones, transporte de muestras, limpieza y escalamiento de emergencias. No practique venopunción en usted mismo ni en otra persona a partir de instrucciones escritas, en video o generadas por IA.</w:t>
      </w:r>
    </w:p>
    <w:bookmarkEnd w:id="23"/>
    <w:bookmarkStart w:id="24" w:name="habilidades-importantes"/>
    <w:p>
      <w:pPr>
        <w:pStyle w:val="Heading2"/>
      </w:pPr>
      <w:r>
        <w:t xml:space="preserve">Habilidades importantes</w:t>
      </w:r>
    </w:p>
    <w:p>
      <w:pPr>
        <w:pStyle w:val="FirstParagraph"/>
      </w:pPr>
      <w:r>
        <w:t xml:space="preserve">Los empleadores suelen valorar:</w:t>
      </w:r>
    </w:p>
    <w:p>
      <w:pPr>
        <w:numPr>
          <w:ilvl w:val="0"/>
          <w:numId w:val="1003"/>
        </w:numPr>
        <w:pStyle w:val="Compact"/>
      </w:pPr>
      <w:r>
        <w:t xml:space="preserve">identificación cuidadosa del paciente;</w:t>
      </w:r>
    </w:p>
    <w:p>
      <w:pPr>
        <w:numPr>
          <w:ilvl w:val="0"/>
          <w:numId w:val="1003"/>
        </w:numPr>
        <w:pStyle w:val="Compact"/>
      </w:pPr>
      <w:r>
        <w:t xml:space="preserve">etiquetado y documentación precisos de muestras;</w:t>
      </w:r>
    </w:p>
    <w:p>
      <w:pPr>
        <w:numPr>
          <w:ilvl w:val="0"/>
          <w:numId w:val="1003"/>
        </w:numPr>
        <w:pStyle w:val="Compact"/>
      </w:pPr>
      <w:r>
        <w:t xml:space="preserve">comunicación tranquila y respetuosa con pacientes;</w:t>
      </w:r>
    </w:p>
    <w:p>
      <w:pPr>
        <w:numPr>
          <w:ilvl w:val="0"/>
          <w:numId w:val="1003"/>
        </w:numPr>
        <w:pStyle w:val="Compact"/>
      </w:pPr>
      <w:r>
        <w:t xml:space="preserve">atención al detalle;</w:t>
      </w:r>
    </w:p>
    <w:p>
      <w:pPr>
        <w:numPr>
          <w:ilvl w:val="0"/>
          <w:numId w:val="1003"/>
        </w:numPr>
        <w:pStyle w:val="Compact"/>
      </w:pPr>
      <w:r>
        <w:t xml:space="preserve">capacidad para seguir exactamente procedimientos escritos;</w:t>
      </w:r>
    </w:p>
    <w:p>
      <w:pPr>
        <w:numPr>
          <w:ilvl w:val="0"/>
          <w:numId w:val="1003"/>
        </w:numPr>
        <w:pStyle w:val="Compact"/>
      </w:pPr>
      <w:r>
        <w:t xml:space="preserve">conocimiento de prevención de infecciones y seguridad con cortopunzantes;</w:t>
      </w:r>
    </w:p>
    <w:p>
      <w:pPr>
        <w:numPr>
          <w:ilvl w:val="0"/>
          <w:numId w:val="1003"/>
        </w:numPr>
        <w:pStyle w:val="Compact"/>
      </w:pPr>
      <w:r>
        <w:t xml:space="preserve">confidencialidad y discreción;</w:t>
      </w:r>
    </w:p>
    <w:p>
      <w:pPr>
        <w:numPr>
          <w:ilvl w:val="0"/>
          <w:numId w:val="1003"/>
        </w:numPr>
        <w:pStyle w:val="Compact"/>
      </w:pPr>
      <w:r>
        <w:t xml:space="preserve">aritmética básica y entrada de datos confiables;</w:t>
      </w:r>
    </w:p>
    <w:p>
      <w:pPr>
        <w:numPr>
          <w:ilvl w:val="0"/>
          <w:numId w:val="1003"/>
        </w:numPr>
        <w:pStyle w:val="Compact"/>
      </w:pPr>
      <w:r>
        <w:t xml:space="preserve">trabajo en equipo con enfermería, personal de laboratorio, médicos y otros profesionales de salud;</w:t>
      </w:r>
    </w:p>
    <w:p>
      <w:pPr>
        <w:numPr>
          <w:ilvl w:val="0"/>
          <w:numId w:val="1003"/>
        </w:numPr>
        <w:pStyle w:val="Compact"/>
      </w:pPr>
      <w:r>
        <w:t xml:space="preserve">capacidad para trabajar bajo presión sin omitir controles de seguridad;</w:t>
      </w:r>
    </w:p>
    <w:p>
      <w:pPr>
        <w:numPr>
          <w:ilvl w:val="0"/>
          <w:numId w:val="1003"/>
        </w:numPr>
        <w:pStyle w:val="Compact"/>
      </w:pPr>
      <w:r>
        <w:t xml:space="preserve">conciencia situacional y escalamiento seguro; y</w:t>
      </w:r>
    </w:p>
    <w:p>
      <w:pPr>
        <w:numPr>
          <w:ilvl w:val="0"/>
          <w:numId w:val="1003"/>
        </w:numPr>
        <w:pStyle w:val="Compact"/>
      </w:pPr>
      <w:r>
        <w:t xml:space="preserve">disposición para aprender los flujos de trabajo específicos del empleador en sistemas de información de laboratorio e historias clínicas electrónicas.</w:t>
      </w:r>
    </w:p>
    <w:p>
      <w:pPr>
        <w:pStyle w:val="FirstParagraph"/>
      </w:pPr>
      <w:r>
        <w:t xml:space="preserve">La comunicación bilingüe puede ser valiosa, pero no se debe afirmar una cualificación profesional de intérprete médico sin la preparación o credencial requerida.</w:t>
      </w:r>
    </w:p>
    <w:bookmarkEnd w:id="24"/>
    <w:bookmarkStart w:id="29" w:name="educación-y-vías-de-entrada"/>
    <w:p>
      <w:pPr>
        <w:pStyle w:val="Heading2"/>
      </w:pPr>
      <w:r>
        <w:t xml:space="preserve">Educación y vías de entrada</w:t>
      </w:r>
    </w:p>
    <w:bookmarkStart w:id="25" w:name="estados-unidos"/>
    <w:p>
      <w:pPr>
        <w:pStyle w:val="Heading3"/>
      </w:pPr>
      <w:r>
        <w:t xml:space="preserve">Estados Unidos</w:t>
      </w:r>
    </w:p>
    <w:p>
      <w:pPr>
        <w:pStyle w:val="FirstParagraph"/>
      </w:pPr>
      <w:r>
        <w:t xml:space="preserve">La Oficina de Estadísticas Laborales de Estados Unidos indica que los flebotomistas normalmente ingresan a la ocupación con un certificado de un programa postsecundario de flebotomía. Algunas personas califican con diploma de secundaria y formación en el trabajo. Los empleadores pueden preferir certificación profesional, pero esta versión no afirma que exista una certificación nacional legalmente obligatoria en todas las jurisdicciones o entornos de Estados Unidos.</w:t>
      </w:r>
    </w:p>
    <w:p>
      <w:pPr>
        <w:pStyle w:val="BodyText"/>
      </w:pPr>
      <w:r>
        <w:t xml:space="preserve">Una secuencia práctica de entrada es:</w:t>
      </w:r>
    </w:p>
    <w:p>
      <w:pPr>
        <w:numPr>
          <w:ilvl w:val="0"/>
          <w:numId w:val="1004"/>
        </w:numPr>
        <w:pStyle w:val="Compact"/>
      </w:pPr>
      <w:r>
        <w:t xml:space="preserve">Revisar vacantes locales actuales de flebotomía y registrar requisitos recurrentes de educación, certificación, RCP, horarios, experiencia y práctica clínica.</w:t>
      </w:r>
    </w:p>
    <w:p>
      <w:pPr>
        <w:numPr>
          <w:ilvl w:val="0"/>
          <w:numId w:val="1004"/>
        </w:numPr>
        <w:pStyle w:val="Compact"/>
      </w:pPr>
      <w:r>
        <w:t xml:space="preserve">Verificar los requisitos del estado y del empleador antes de elegir un programa.</w:t>
      </w:r>
    </w:p>
    <w:p>
      <w:pPr>
        <w:numPr>
          <w:ilvl w:val="0"/>
          <w:numId w:val="1004"/>
        </w:numPr>
        <w:pStyle w:val="Compact"/>
      </w:pPr>
      <w:r>
        <w:t xml:space="preserve">Comparar colegios comunitarios, escuelas técnicas públicas, programas financiados por la fuerza laboral, formación patrocinada por empleadores, oportunidades de Registered Apprenticeship y programas privados.</w:t>
      </w:r>
    </w:p>
    <w:p>
      <w:pPr>
        <w:numPr>
          <w:ilvl w:val="0"/>
          <w:numId w:val="1004"/>
        </w:numPr>
        <w:pStyle w:val="Compact"/>
      </w:pPr>
      <w:r>
        <w:t xml:space="preserve">Confirmar si se incluye práctica clínica supervisada y quién la organiza.</w:t>
      </w:r>
    </w:p>
    <w:p>
      <w:pPr>
        <w:numPr>
          <w:ilvl w:val="0"/>
          <w:numId w:val="1004"/>
        </w:numPr>
        <w:pStyle w:val="Compact"/>
      </w:pPr>
      <w:r>
        <w:t xml:space="preserve">Verificar matrícula total, suministros, uniformes, EPP, evaluaciones de salud, verificaciones de antecedentes, tasas de examen, costos de recertificación y reglas de reembolso.</w:t>
      </w:r>
    </w:p>
    <w:p>
      <w:pPr>
        <w:numPr>
          <w:ilvl w:val="0"/>
          <w:numId w:val="1004"/>
        </w:numPr>
        <w:pStyle w:val="Compact"/>
      </w:pPr>
      <w:r>
        <w:t xml:space="preserve">Postularse solo a funciones que coincidan con su formación, autorización y credenciales verificadas.</w:t>
      </w:r>
    </w:p>
    <w:p>
      <w:pPr>
        <w:pStyle w:val="FirstParagraph"/>
      </w:pPr>
      <w:r>
        <w:t xml:space="preserve">O*NET identifica</w:t>
      </w:r>
      <w:r>
        <w:t xml:space="preserve"> </w:t>
      </w:r>
      <w:r>
        <w:rPr>
          <w:bCs/>
          <w:b/>
        </w:rPr>
        <w:t xml:space="preserve">Phlebotomist</w:t>
      </w:r>
      <w:r>
        <w:t xml:space="preserve"> </w:t>
      </w:r>
      <w:r>
        <w:t xml:space="preserve">como un título ocupacional validado para Registered Apprenticeship del Departamento de Trabajo de Estados Unidos. Esto hace que el aprendizaje sea una vía legítima para buscar, pero las vacantes reales dependen del empleador, patrocinador, ubicación y momento.</w:t>
      </w:r>
    </w:p>
    <w:bookmarkEnd w:id="25"/>
    <w:bookmarkStart w:id="26" w:name="canadá"/>
    <w:p>
      <w:pPr>
        <w:pStyle w:val="Heading3"/>
      </w:pPr>
      <w:r>
        <w:t xml:space="preserve">Canadá</w:t>
      </w:r>
    </w:p>
    <w:p>
      <w:pPr>
        <w:pStyle w:val="FirstParagraph"/>
      </w:pPr>
      <w:r>
        <w:t xml:space="preserve">Job Bank del Gobierno de Canadá ubica el título</w:t>
      </w:r>
      <w:r>
        <w:t xml:space="preserve"> </w:t>
      </w:r>
      <w:r>
        <w:rPr>
          <w:bCs/>
          <w:b/>
        </w:rPr>
        <w:t xml:space="preserve">phlebotomist</w:t>
      </w:r>
      <w:r>
        <w:t xml:space="preserve"> </w:t>
      </w:r>
      <w:r>
        <w:t xml:space="preserve">dentro de</w:t>
      </w:r>
      <w:r>
        <w:t xml:space="preserve"> </w:t>
      </w:r>
      <w:r>
        <w:rPr>
          <w:bCs/>
          <w:b/>
        </w:rPr>
        <w:t xml:space="preserve">Medical laboratory assistants and related technical occupations, NOC 33101</w:t>
      </w:r>
      <w:r>
        <w:t xml:space="preserve">. Esta agrupación canadiense es más amplia que el título independiente de flebotomista de Estados Unidos y puede incluir recolección y procesamiento de muestras, preparación de reactivos, apoyo rutinario de laboratorio y preparación o limpieza de equipos.</w:t>
      </w:r>
    </w:p>
    <w:p>
      <w:pPr>
        <w:pStyle w:val="BodyText"/>
      </w:pPr>
      <w:r>
        <w:t xml:space="preserve">Job Bank indica que los trabajadores de este grupo normalmente requieren completar un</w:t>
      </w:r>
      <w:r>
        <w:t xml:space="preserve"> </w:t>
      </w:r>
      <w:r>
        <w:rPr>
          <w:bCs/>
          <w:b/>
        </w:rPr>
        <w:t xml:space="preserve">programa de certificado universitario o técnico en ciencias de laboratorio médico</w:t>
      </w:r>
      <w:r>
        <w:t xml:space="preserve"> </w:t>
      </w:r>
      <w:r>
        <w:t xml:space="preserve">y que</w:t>
      </w:r>
      <w:r>
        <w:t xml:space="preserve"> </w:t>
      </w:r>
      <w:r>
        <w:rPr>
          <w:bCs/>
          <w:b/>
        </w:rPr>
        <w:t xml:space="preserve">los empleadores suelen requerir certificación de la Canadian Society for Medical Laboratory Science</w:t>
      </w:r>
      <w:r>
        <w:t xml:space="preserve">. El registro nacional vigente de Job Bank indica que la ocupación</w:t>
      </w:r>
      <w:r>
        <w:t xml:space="preserve"> </w:t>
      </w:r>
      <w:r>
        <w:rPr>
          <w:bCs/>
          <w:b/>
        </w:rPr>
        <w:t xml:space="preserve">no está regulada en Canadá</w:t>
      </w:r>
      <w:r>
        <w:t xml:space="preserve"> </w:t>
      </w:r>
      <w:r>
        <w:t xml:space="preserve">según sus datos.</w:t>
      </w:r>
    </w:p>
    <w:p>
      <w:pPr>
        <w:pStyle w:val="BodyText"/>
      </w:pPr>
      <w:r>
        <w:t xml:space="preserve">La distinción es importante: una expectativa de certificación del empleador no equivale a regulación ocupacional legal a nivel nacional. Verifique los requisitos actuales provinciales, territoriales, del empleador, del laboratorio y de credenciales donde planee trabajar.</w:t>
      </w:r>
    </w:p>
    <w:bookmarkEnd w:id="26"/>
    <w:bookmarkStart w:id="27" w:name="colombia"/>
    <w:p>
      <w:pPr>
        <w:pStyle w:val="Heading3"/>
      </w:pPr>
      <w:r>
        <w:t xml:space="preserve">Colombia</w:t>
      </w:r>
    </w:p>
    <w:p>
      <w:pPr>
        <w:pStyle w:val="FirstParagraph"/>
      </w:pPr>
      <w:r>
        <w:t xml:space="preserve">SENA Betowa actualmente ofrece</w:t>
      </w:r>
      <w:r>
        <w:t xml:space="preserve"> </w:t>
      </w:r>
      <w:r>
        <w:rPr>
          <w:bCs/>
          <w:b/>
        </w:rPr>
        <w:t xml:space="preserve">Toma de muestras para procesamiento en el laboratorio clínico</w:t>
      </w:r>
      <w:r>
        <w:t xml:space="preserve">, un curso complementario presencial de</w:t>
      </w:r>
      <w:r>
        <w:t xml:space="preserve"> </w:t>
      </w:r>
      <w:r>
        <w:rPr>
          <w:bCs/>
          <w:b/>
        </w:rPr>
        <w:t xml:space="preserve">48 horas</w:t>
      </w:r>
      <w:r>
        <w:t xml:space="preserve">. Los requisitos actuales señalan que el aprendiz debe ser</w:t>
      </w:r>
      <w:r>
        <w:t xml:space="preserve"> </w:t>
      </w:r>
      <w:r>
        <w:rPr>
          <w:bCs/>
          <w:b/>
        </w:rPr>
        <w:t xml:space="preserve">técnico o auxiliar en enfermería</w:t>
      </w:r>
      <w:r>
        <w:t xml:space="preserve">, contar con una carta de presentación de la institución solicitante y completar el proceso de selección definido por el centro de formación.</w:t>
      </w:r>
    </w:p>
    <w:p>
      <w:pPr>
        <w:pStyle w:val="BodyText"/>
      </w:pPr>
      <w:r>
        <w:t xml:space="preserve">Esta es una</w:t>
      </w:r>
      <w:r>
        <w:t xml:space="preserve"> </w:t>
      </w:r>
      <w:r>
        <w:rPr>
          <w:bCs/>
          <w:b/>
        </w:rPr>
        <w:t xml:space="preserve">vía de actualización para trabajadores de salud elegibles</w:t>
      </w:r>
      <w:r>
        <w:t xml:space="preserve">, no un curso general de flebotomía para principiantes abierto a cualquier persona. Completar un curso corto no autoriza de manera independiente a realizar extracción de sangre o funciones de laboratorio fuera de los requisitos colombianos vigentes de salud, empleador, profesión, institución, bioseguridad y alcance de práctica.</w:t>
      </w:r>
    </w:p>
    <w:p>
      <w:pPr>
        <w:pStyle w:val="BodyText"/>
      </w:pPr>
      <w:r>
        <w:t xml:space="preserve">Antes de pagar por formación en Colombia, verifique la oferta vigente de SENA/Betowa, los requisitos institucionales de admisión, las reglas de prestación de servicios de salud, la credencial previa requerida, las expectativas del empleador y cualquier requisito vigente del Ministerio de Salud o de educación relevante para la función.</w:t>
      </w:r>
    </w:p>
    <w:bookmarkEnd w:id="27"/>
    <w:bookmarkStart w:id="28" w:name="américa-latina-y-el-caribe"/>
    <w:p>
      <w:pPr>
        <w:pStyle w:val="Heading3"/>
      </w:pPr>
      <w:r>
        <w:t xml:space="preserve">América Latina y el Caribe</w:t>
      </w:r>
    </w:p>
    <w:p>
      <w:pPr>
        <w:pStyle w:val="FirstParagraph"/>
      </w:pPr>
      <w:r>
        <w:t xml:space="preserve">Los títulos ocupacionales, funciones de laboratorio, sistemas de formación y normas de salud varían ampliamente según el país. Use</w:t>
      </w:r>
      <w:r>
        <w:t xml:space="preserve"> </w:t>
      </w:r>
      <w:r>
        <w:rPr>
          <w:bCs/>
          <w:b/>
        </w:rPr>
        <w:t xml:space="preserve">OIT/Cinterfor</w:t>
      </w:r>
      <w:r>
        <w:t xml:space="preserve"> </w:t>
      </w:r>
      <w:r>
        <w:t xml:space="preserve">como localizador regional de instituciones nacionales de formación profesional y luego verifique localmente los requisitos de salud, educación, laboratorio y profesión aplicables.</w:t>
      </w:r>
    </w:p>
    <w:p>
      <w:pPr>
        <w:pStyle w:val="BodyText"/>
      </w:pPr>
      <w:r>
        <w:t xml:space="preserve">No suponga que un certificado estadounidense, una credencial universitaria canadiense, un curso colombiano o una credencial privada de flebotomía se transfiere automáticamente entre países.</w:t>
      </w:r>
    </w:p>
    <w:bookmarkEnd w:id="28"/>
    <w:bookmarkEnd w:id="29"/>
    <w:bookmarkStart w:id="30" w:name="X5d935ab66a32749c2db52979d06a27e7da16fa1"/>
    <w:p>
      <w:pPr>
        <w:pStyle w:val="Heading2"/>
      </w:pPr>
      <w:r>
        <w:t xml:space="preserve">Control de infecciones, patógenos transmitidos por sangre y seguridad con cortopunzantes</w:t>
      </w:r>
    </w:p>
    <w:p>
      <w:pPr>
        <w:pStyle w:val="FirstParagraph"/>
      </w:pPr>
      <w:r>
        <w:t xml:space="preserve">La norma de OSHA de Estados Unidos sobre patógenos transmitidos por sangre,</w:t>
      </w:r>
      <w:r>
        <w:t xml:space="preserve"> </w:t>
      </w:r>
      <w:r>
        <w:rPr>
          <w:bCs/>
          <w:b/>
        </w:rPr>
        <w:t xml:space="preserve">29 CFR 1910.1030</w:t>
      </w:r>
      <w:r>
        <w:t xml:space="preserve">, se aplica a la exposición ocupacional a sangre u otros materiales potencialmente infecciosos. Aborda planes de control de exposición, controles de ingeniería, prácticas de trabajo, equipo de protección personal, formación y manejo de cortopunzantes contaminados.</w:t>
      </w:r>
    </w:p>
    <w:p>
      <w:pPr>
        <w:pStyle w:val="BodyText"/>
      </w:pPr>
      <w:r>
        <w:t xml:space="preserve">Las Precauciones Estándar de CDC se aplican a la atención del paciente e incluyen higiene de manos, EPP adecuado según la exposición prevista, prácticas seguras de inyección y cortopunzantes y manejo apropiado de equipos y del entorno asistencial.</w:t>
      </w:r>
    </w:p>
    <w:p>
      <w:pPr>
        <w:pStyle w:val="BodyText"/>
      </w:pPr>
      <w:r>
        <w:t xml:space="preserve">Esta guía no proporciona deliberadamente un procedimiento paso a paso de venopunción. Aprenda la técnica clínica únicamente mediante formación autorizada y supervisada y protocolos vigentes del empleador o centro.</w:t>
      </w:r>
    </w:p>
    <w:p>
      <w:pPr>
        <w:pStyle w:val="BodyText"/>
      </w:pPr>
      <w:r>
        <w:t xml:space="preserve">La identificación del paciente, etiquetado de muestras, control de infecciones, seguridad con cortopunzantes, respuesta a exposiciones y transporte o almacenamiento de muestras son controles críticos. Nunca los omita para ahorrar tiempo.</w:t>
      </w:r>
    </w:p>
    <w:bookmarkEnd w:id="30"/>
    <w:bookmarkStart w:id="31" w:name="X63efd25cb4a1056aaaf88b9b09a2c5c46e761c4"/>
    <w:p>
      <w:pPr>
        <w:pStyle w:val="Heading2"/>
      </w:pPr>
      <w:r>
        <w:t xml:space="preserve">Estrategia de aprendizaje gratuito primero y de menor costo</w:t>
      </w:r>
    </w:p>
    <w:p>
      <w:pPr>
        <w:pStyle w:val="FirstParagraph"/>
      </w:pPr>
      <w:r>
        <w:t xml:space="preserve">Antes de pagar a un proveedor privado:</w:t>
      </w:r>
    </w:p>
    <w:p>
      <w:pPr>
        <w:numPr>
          <w:ilvl w:val="0"/>
          <w:numId w:val="1005"/>
        </w:numPr>
        <w:pStyle w:val="Compact"/>
      </w:pPr>
      <w:r>
        <w:t xml:space="preserve">Revise entre 15 y 20 vacantes locales actuales.</w:t>
      </w:r>
    </w:p>
    <w:p>
      <w:pPr>
        <w:numPr>
          <w:ilvl w:val="0"/>
          <w:numId w:val="1005"/>
        </w:numPr>
        <w:pStyle w:val="Compact"/>
      </w:pPr>
      <w:r>
        <w:t xml:space="preserve">Anote los requisitos que aparecen repetidamente.</w:t>
      </w:r>
    </w:p>
    <w:p>
      <w:pPr>
        <w:numPr>
          <w:ilvl w:val="0"/>
          <w:numId w:val="1005"/>
        </w:numPr>
        <w:pStyle w:val="Compact"/>
      </w:pPr>
      <w:r>
        <w:t xml:space="preserve">Compare colegios públicos, escuelas técnicas, programas de fuerza laboral, patrocinadores de aprendizaje, hospitales, laboratorios y vías patrocinadas por empleadores.</w:t>
      </w:r>
    </w:p>
    <w:p>
      <w:pPr>
        <w:numPr>
          <w:ilvl w:val="0"/>
          <w:numId w:val="1005"/>
        </w:numPr>
        <w:pStyle w:val="Compact"/>
      </w:pPr>
      <w:r>
        <w:t xml:space="preserve">Verifique si se incluye práctica o colocación clínica supervisada.</w:t>
      </w:r>
    </w:p>
    <w:p>
      <w:pPr>
        <w:numPr>
          <w:ilvl w:val="0"/>
          <w:numId w:val="1005"/>
        </w:numPr>
        <w:pStyle w:val="Compact"/>
      </w:pPr>
      <w:r>
        <w:t xml:space="preserve">Confirme el costo total y no solo la matrícula anunciada.</w:t>
      </w:r>
    </w:p>
    <w:p>
      <w:pPr>
        <w:numPr>
          <w:ilvl w:val="0"/>
          <w:numId w:val="1005"/>
        </w:numPr>
        <w:pStyle w:val="Compact"/>
      </w:pPr>
      <w:r>
        <w:t xml:space="preserve">Compruebe si la credencial realmente es solicitada por empleadores de su zona objetivo.</w:t>
      </w:r>
    </w:p>
    <w:p>
      <w:pPr>
        <w:numPr>
          <w:ilvl w:val="0"/>
          <w:numId w:val="1005"/>
        </w:numPr>
        <w:pStyle w:val="Compact"/>
      </w:pPr>
      <w:r>
        <w:t xml:space="preserve">Verifique si el programa lo hace elegible para cualquier examen de certificación que planee presentar.</w:t>
      </w:r>
    </w:p>
    <w:p>
      <w:pPr>
        <w:numPr>
          <w:ilvl w:val="0"/>
          <w:numId w:val="1005"/>
        </w:numPr>
        <w:pStyle w:val="Compact"/>
      </w:pPr>
      <w:r>
        <w:t xml:space="preserve">Use estudio gratuito en línea para terminología, comunicación con pacientes, privacidad y conceptos de seguridad, pero no como sustituto de formación supervisada en extracción de sangre.</w:t>
      </w:r>
    </w:p>
    <w:bookmarkEnd w:id="31"/>
    <w:bookmarkStart w:id="36" w:name="X06c3afe4417453673b86966c5da474921b8beda"/>
    <w:p>
      <w:pPr>
        <w:pStyle w:val="Heading2"/>
      </w:pPr>
      <w:r>
        <w:t xml:space="preserve">Financiamiento, becas y apoyo del empleador</w:t>
      </w:r>
    </w:p>
    <w:bookmarkStart w:id="32" w:name="X9f7af2aabe3a5dcdf3f558245b2f9607497603e"/>
    <w:p>
      <w:pPr>
        <w:pStyle w:val="Heading3"/>
      </w:pPr>
      <w:r>
        <w:t xml:space="preserve">Estados Unidos — WIOA y servicios de empleo</w:t>
      </w:r>
    </w:p>
    <w:p>
      <w:pPr>
        <w:pStyle w:val="FirstParagraph"/>
      </w:pPr>
      <w:r>
        <w:t xml:space="preserve">CareerOneStop ofrece un</w:t>
      </w:r>
      <w:r>
        <w:t xml:space="preserve"> </w:t>
      </w:r>
      <w:r>
        <w:rPr>
          <w:bCs/>
          <w:b/>
        </w:rPr>
        <w:t xml:space="preserve">WIOA-Eligible Training Program Finder</w:t>
      </w:r>
      <w:r>
        <w:t xml:space="preserve"> </w:t>
      </w:r>
      <w:r>
        <w:t xml:space="preserve">y otros localizadores de formación. Las personas elegibles pueden recibir apoyo de formación bajo Workforce Innovation and Opportunity Act mediante programas locales, pero la elegibilidad, proveedores aprobados, montos y disponibilidad varían. El financiamiento WIOA no está garantizado.</w:t>
      </w:r>
    </w:p>
    <w:p>
      <w:pPr>
        <w:pStyle w:val="BodyText"/>
      </w:pPr>
      <w:r>
        <w:t xml:space="preserve">Contacte al American Job Center o agencia de empleo local antes de matricularse si desea solicitar apoyo WIOA.</w:t>
      </w:r>
    </w:p>
    <w:bookmarkEnd w:id="32"/>
    <w:bookmarkStart w:id="33" w:name="X950ebeec0d84f7f4d04bf881d6a89a12c1f4a5c"/>
    <w:p>
      <w:pPr>
        <w:pStyle w:val="Heading3"/>
      </w:pPr>
      <w:r>
        <w:t xml:space="preserve">Estados Unidos — Registered Apprenticeship y apoyo del empleador</w:t>
      </w:r>
    </w:p>
    <w:p>
      <w:pPr>
        <w:pStyle w:val="FirstParagraph"/>
      </w:pPr>
      <w:r>
        <w:t xml:space="preserve">Busque en</w:t>
      </w:r>
      <w:r>
        <w:t xml:space="preserve"> </w:t>
      </w:r>
      <w:r>
        <w:rPr>
          <w:bCs/>
          <w:b/>
        </w:rPr>
        <w:t xml:space="preserve">Apprenticeship.gov</w:t>
      </w:r>
      <w:r>
        <w:t xml:space="preserve"> </w:t>
      </w:r>
      <w:r>
        <w:t xml:space="preserve">oportunidades actuales de Registered Apprenticeship en flebotomía o salud relacionada. La disponibilidad varía.</w:t>
      </w:r>
    </w:p>
    <w:p>
      <w:pPr>
        <w:pStyle w:val="BodyText"/>
      </w:pPr>
      <w:r>
        <w:t xml:space="preserve">Los empleadores pueden ofrecer:</w:t>
      </w:r>
    </w:p>
    <w:p>
      <w:pPr>
        <w:numPr>
          <w:ilvl w:val="0"/>
          <w:numId w:val="1006"/>
        </w:numPr>
        <w:pStyle w:val="Compact"/>
      </w:pPr>
      <w:r>
        <w:t xml:space="preserve">orientación pagada;</w:t>
      </w:r>
    </w:p>
    <w:p>
      <w:pPr>
        <w:numPr>
          <w:ilvl w:val="0"/>
          <w:numId w:val="1006"/>
        </w:numPr>
        <w:pStyle w:val="Compact"/>
      </w:pPr>
      <w:r>
        <w:t xml:space="preserve">formación supervisada en el trabajo;</w:t>
      </w:r>
    </w:p>
    <w:p>
      <w:pPr>
        <w:numPr>
          <w:ilvl w:val="0"/>
          <w:numId w:val="1006"/>
        </w:numPr>
        <w:pStyle w:val="Compact"/>
      </w:pPr>
      <w:r>
        <w:t xml:space="preserve">vías de aprendizaje o trainee;</w:t>
      </w:r>
    </w:p>
    <w:p>
      <w:pPr>
        <w:numPr>
          <w:ilvl w:val="0"/>
          <w:numId w:val="1006"/>
        </w:numPr>
        <w:pStyle w:val="Compact"/>
      </w:pPr>
      <w:r>
        <w:t xml:space="preserve">práctica clínica;</w:t>
      </w:r>
    </w:p>
    <w:p>
      <w:pPr>
        <w:numPr>
          <w:ilvl w:val="0"/>
          <w:numId w:val="1006"/>
        </w:numPr>
        <w:pStyle w:val="Compact"/>
      </w:pPr>
      <w:r>
        <w:t xml:space="preserve">ayuda para matrícula;</w:t>
      </w:r>
    </w:p>
    <w:p>
      <w:pPr>
        <w:numPr>
          <w:ilvl w:val="0"/>
          <w:numId w:val="1006"/>
        </w:numPr>
        <w:pStyle w:val="Compact"/>
      </w:pPr>
      <w:r>
        <w:t xml:space="preserve">uniformes o EPP;</w:t>
      </w:r>
    </w:p>
    <w:p>
      <w:pPr>
        <w:numPr>
          <w:ilvl w:val="0"/>
          <w:numId w:val="1006"/>
        </w:numPr>
        <w:pStyle w:val="Compact"/>
      </w:pPr>
      <w:r>
        <w:t xml:space="preserve">reembolso de examen de certificación;</w:t>
      </w:r>
    </w:p>
    <w:p>
      <w:pPr>
        <w:numPr>
          <w:ilvl w:val="0"/>
          <w:numId w:val="1006"/>
        </w:numPr>
        <w:pStyle w:val="Compact"/>
      </w:pPr>
      <w:r>
        <w:t xml:space="preserve">educación continua pagada; o</w:t>
      </w:r>
    </w:p>
    <w:p>
      <w:pPr>
        <w:numPr>
          <w:ilvl w:val="0"/>
          <w:numId w:val="1006"/>
        </w:numPr>
        <w:pStyle w:val="Compact"/>
      </w:pPr>
      <w:r>
        <w:t xml:space="preserve">avance interno hacia funciones de laboratorio, servicios al paciente o apoyo de salud para las que llegue a estar cualificado.</w:t>
      </w:r>
    </w:p>
    <w:p>
      <w:pPr>
        <w:pStyle w:val="FirstParagraph"/>
      </w:pPr>
      <w:r>
        <w:t xml:space="preserve">Obtenga por escrito las condiciones de reembolso o permanencia mínima antes de gastar dinero.</w:t>
      </w:r>
    </w:p>
    <w:bookmarkEnd w:id="33"/>
    <w:bookmarkStart w:id="34" w:name="canadá--ayuda-estudiantil"/>
    <w:p>
      <w:pPr>
        <w:pStyle w:val="Heading3"/>
      </w:pPr>
      <w:r>
        <w:t xml:space="preserve">Canadá — ayuda estudiantil</w:t>
      </w:r>
    </w:p>
    <w:p>
      <w:pPr>
        <w:pStyle w:val="FirstParagraph"/>
      </w:pPr>
      <w:r>
        <w:t xml:space="preserve">Dado que la vía canadiense suele implicar un certificado universitario o técnico, compare instituciones públicas y verifique si la escuela y el programa están designados para ayuda estudiantil. El</w:t>
      </w:r>
      <w:r>
        <w:t xml:space="preserve"> </w:t>
      </w:r>
      <w:r>
        <w:rPr>
          <w:bCs/>
          <w:b/>
        </w:rPr>
        <w:t xml:space="preserve">Canada Student Financial Assistance Program</w:t>
      </w:r>
      <w:r>
        <w:t xml:space="preserve"> </w:t>
      </w:r>
      <w:r>
        <w:t xml:space="preserve">ofrece becas y préstamos mediante provincias y territorios participantes para estudiantes y programas elegibles.</w:t>
      </w:r>
    </w:p>
    <w:p>
      <w:pPr>
        <w:pStyle w:val="BodyText"/>
      </w:pPr>
      <w:r>
        <w:t xml:space="preserve">No suponga que todo programa de asistente de laboratorio médico o relacionado con flebotomía califica. Verifique la institución, programa, provincia o territorio y su elegibilidad personal antes de comprometer fondos.</w:t>
      </w:r>
    </w:p>
    <w:bookmarkEnd w:id="34"/>
    <w:bookmarkStart w:id="35" w:name="colombia-y-américa-latina"/>
    <w:p>
      <w:pPr>
        <w:pStyle w:val="Heading3"/>
      </w:pPr>
      <w:r>
        <w:t xml:space="preserve">Colombia y América Latina</w:t>
      </w:r>
    </w:p>
    <w:p>
      <w:pPr>
        <w:pStyle w:val="FirstParagraph"/>
      </w:pPr>
      <w:r>
        <w:t xml:space="preserve">En Colombia, revise SENA/Betowa antes de pagar a un proveedor privado, recordando que el curso identificado de 48 horas para toma de muestras tiene elegibilidad restringida y no es una vía abierta de ingreso para principiantes.</w:t>
      </w:r>
    </w:p>
    <w:p>
      <w:pPr>
        <w:pStyle w:val="BodyText"/>
      </w:pPr>
      <w:r>
        <w:t xml:space="preserve">En otros países de América Latina y el Caribe, use OIT/Cinterfor para identificar instituciones nacionales de formación profesional y luego verifique localmente becas, formación pública, programas del empleador y requisitos de credenciales de salud.</w:t>
      </w:r>
    </w:p>
    <w:bookmarkEnd w:id="35"/>
    <w:bookmarkEnd w:id="36"/>
    <w:bookmarkStart w:id="40" w:name="ingresos-y-perspectiva-laboral"/>
    <w:p>
      <w:pPr>
        <w:pStyle w:val="Heading2"/>
      </w:pPr>
      <w:r>
        <w:t xml:space="preserve">Ingresos y perspectiva laboral</w:t>
      </w:r>
    </w:p>
    <w:bookmarkStart w:id="37" w:name="estados-unidos--datos-oficiales-actuales"/>
    <w:p>
      <w:pPr>
        <w:pStyle w:val="Heading3"/>
      </w:pPr>
      <w:r>
        <w:t xml:space="preserve">Estados Unidos — datos oficiales actuales</w:t>
      </w:r>
    </w:p>
    <w:p>
      <w:pPr>
        <w:pStyle w:val="FirstParagraph"/>
      </w:pPr>
      <w:r>
        <w:t xml:space="preserve">La página nacional de salarios de O*NET usa</w:t>
      </w:r>
      <w:r>
        <w:t xml:space="preserve"> </w:t>
      </w:r>
      <w:r>
        <w:rPr>
          <w:bCs/>
          <w:b/>
        </w:rPr>
        <w:t xml:space="preserve">datos salariales 2025 de la Oficina de Estadísticas Laborales</w:t>
      </w:r>
      <w:r>
        <w:t xml:space="preserve"> </w:t>
      </w:r>
      <w:r>
        <w:t xml:space="preserve">para flebotomistas:</w:t>
      </w:r>
    </w:p>
    <w:p>
      <w:pPr>
        <w:numPr>
          <w:ilvl w:val="0"/>
          <w:numId w:val="1007"/>
        </w:numPr>
        <w:pStyle w:val="Compact"/>
      </w:pPr>
      <w:r>
        <w:rPr>
          <w:bCs/>
          <w:b/>
        </w:rPr>
        <w:t xml:space="preserve">salario mediano por hora: USD $21.75</w:t>
      </w:r>
      <w:r>
        <w:t xml:space="preserve">;</w:t>
      </w:r>
    </w:p>
    <w:p>
      <w:pPr>
        <w:numPr>
          <w:ilvl w:val="0"/>
          <w:numId w:val="1007"/>
        </w:numPr>
        <w:pStyle w:val="Compact"/>
      </w:pPr>
      <w:r>
        <w:rPr>
          <w:bCs/>
          <w:b/>
        </w:rPr>
        <w:t xml:space="preserve">salario mediano anual: USD $45,230</w:t>
      </w:r>
      <w:r>
        <w:t xml:space="preserve">;</w:t>
      </w:r>
    </w:p>
    <w:p>
      <w:pPr>
        <w:numPr>
          <w:ilvl w:val="0"/>
          <w:numId w:val="1007"/>
        </w:numPr>
        <w:pStyle w:val="Compact"/>
      </w:pPr>
      <w:r>
        <w:rPr>
          <w:bCs/>
          <w:b/>
        </w:rPr>
        <w:t xml:space="preserve">percentil 10: USD $17.20/hora / $35,780/año</w:t>
      </w:r>
      <w:r>
        <w:t xml:space="preserve">; y</w:t>
      </w:r>
    </w:p>
    <w:p>
      <w:pPr>
        <w:numPr>
          <w:ilvl w:val="0"/>
          <w:numId w:val="1007"/>
        </w:numPr>
        <w:pStyle w:val="Compact"/>
      </w:pPr>
      <w:r>
        <w:rPr>
          <w:bCs/>
          <w:b/>
        </w:rPr>
        <w:t xml:space="preserve">percentil 90: USD $28.26/hora / $58,780/año</w:t>
      </w:r>
      <w:r>
        <w:t xml:space="preserve">.</w:t>
      </w:r>
    </w:p>
    <w:p>
      <w:pPr>
        <w:pStyle w:val="FirstParagraph"/>
      </w:pPr>
      <w:r>
        <w:t xml:space="preserve">O*NET/BLS reporta alrededor de</w:t>
      </w:r>
      <w:r>
        <w:t xml:space="preserve"> </w:t>
      </w:r>
      <w:r>
        <w:rPr>
          <w:bCs/>
          <w:b/>
        </w:rPr>
        <w:t xml:space="preserve">139,700 trabajadores en 2024</w:t>
      </w:r>
      <w:r>
        <w:t xml:space="preserve">, crecimiento proyectado de aproximadamente</w:t>
      </w:r>
      <w:r>
        <w:t xml:space="preserve"> </w:t>
      </w:r>
      <w:r>
        <w:rPr>
          <w:bCs/>
          <w:b/>
        </w:rPr>
        <w:t xml:space="preserve">5%–6% entre 2024 y 2034</w:t>
      </w:r>
      <w:r>
        <w:t xml:space="preserve"> </w:t>
      </w:r>
      <w:r>
        <w:t xml:space="preserve">y cerca de</w:t>
      </w:r>
      <w:r>
        <w:t xml:space="preserve"> </w:t>
      </w:r>
      <w:r>
        <w:rPr>
          <w:bCs/>
          <w:b/>
        </w:rPr>
        <w:t xml:space="preserve">18,400 vacantes proyectadas por año</w:t>
      </w:r>
      <w:r>
        <w:t xml:space="preserve"> </w:t>
      </w:r>
      <w:r>
        <w:t xml:space="preserve">por crecimiento y reemplazo.</w:t>
      </w:r>
    </w:p>
    <w:p>
      <w:pPr>
        <w:pStyle w:val="BodyText"/>
      </w:pPr>
      <w:r>
        <w:t xml:space="preserve">El Occupational Outlook Handbook de BLS todavía muestra una mediana de mayo de 2024 de</w:t>
      </w:r>
      <w:r>
        <w:t xml:space="preserve"> </w:t>
      </w:r>
      <w:r>
        <w:rPr>
          <w:bCs/>
          <w:b/>
        </w:rPr>
        <w:t xml:space="preserve">USD $43,660</w:t>
      </w:r>
      <w:r>
        <w:t xml:space="preserve">. Esta guía usa los valores salariales más recientes de BLS 2025 mostrados por O*NET como referencia salarial principal y usa BLS OOH para contexto de entrada y perspectiva.</w:t>
      </w:r>
    </w:p>
    <w:p>
      <w:pPr>
        <w:pStyle w:val="BodyText"/>
      </w:pPr>
      <w:r>
        <w:t xml:space="preserve">Son estadísticas nacionales, no salarios iniciales garantizados. El pago varía según ubicación, empleador, horario, experiencia, funciones y credenciales.</w:t>
      </w:r>
    </w:p>
    <w:bookmarkEnd w:id="37"/>
    <w:bookmarkStart w:id="38" w:name="X50ce86228e69f4ed8bdeef773dfd5c918c526e2"/>
    <w:p>
      <w:pPr>
        <w:pStyle w:val="Heading3"/>
      </w:pPr>
      <w:r>
        <w:t xml:space="preserve">Estados Unidos — estimación no gubernamental actual</w:t>
      </w:r>
    </w:p>
    <w:p>
      <w:pPr>
        <w:pStyle w:val="FirstParagraph"/>
      </w:pPr>
      <w:r>
        <w:t xml:space="preserve">Salary.com reportó un salario promedio estimado en Estados Unidos para el título</w:t>
      </w:r>
      <w:r>
        <w:t xml:space="preserve"> </w:t>
      </w:r>
      <w:r>
        <w:rPr>
          <w:bCs/>
          <w:b/>
        </w:rPr>
        <w:t xml:space="preserve">Phlebotomist</w:t>
      </w:r>
      <w:r>
        <w:t xml:space="preserve"> </w:t>
      </w:r>
      <w:r>
        <w:t xml:space="preserve">de aproximadamente</w:t>
      </w:r>
      <w:r>
        <w:t xml:space="preserve"> </w:t>
      </w:r>
      <w:r>
        <w:rPr>
          <w:bCs/>
          <w:b/>
        </w:rPr>
        <w:t xml:space="preserve">USD $41,314 al año / cerca de $20 por hora</w:t>
      </w:r>
      <w:r>
        <w:t xml:space="preserve"> </w:t>
      </w:r>
      <w:r>
        <w:t xml:space="preserve">al</w:t>
      </w:r>
      <w:r>
        <w:t xml:space="preserve"> </w:t>
      </w:r>
      <w:r>
        <w:rPr>
          <w:bCs/>
          <w:b/>
        </w:rPr>
        <w:t xml:space="preserve">1 de agosto de 2026</w:t>
      </w:r>
      <w:r>
        <w:t xml:space="preserve">, con un rango anual declarado del percentil 25 al 75 de aproximadamente</w:t>
      </w:r>
      <w:r>
        <w:t xml:space="preserve"> </w:t>
      </w:r>
      <w:r>
        <w:rPr>
          <w:bCs/>
          <w:b/>
        </w:rPr>
        <w:t xml:space="preserve">USD $38,353–$44,694</w:t>
      </w:r>
      <w:r>
        <w:t xml:space="preserve">.</w:t>
      </w:r>
    </w:p>
    <w:p>
      <w:pPr>
        <w:pStyle w:val="BodyText"/>
      </w:pPr>
      <w:r>
        <w:t xml:space="preserve">Esta es una</w:t>
      </w:r>
      <w:r>
        <w:t xml:space="preserve"> </w:t>
      </w:r>
      <w:r>
        <w:rPr>
          <w:bCs/>
          <w:b/>
        </w:rPr>
        <w:t xml:space="preserve">estimación de mercado no gubernamental</w:t>
      </w:r>
      <w:r>
        <w:t xml:space="preserve"> </w:t>
      </w:r>
      <w:r>
        <w:t xml:space="preserve">con metodología y definiciones de título propias. No debe mezclarse con datos oficiales BLS/O*NET ni tratarse como oferta o salario inicial garantizado.</w:t>
      </w:r>
    </w:p>
    <w:bookmarkEnd w:id="38"/>
    <w:bookmarkStart w:id="39" w:name="canadá--salarios-oficiales-de-job-bank"/>
    <w:p>
      <w:pPr>
        <w:pStyle w:val="Heading3"/>
      </w:pPr>
      <w:r>
        <w:t xml:space="preserve">Canadá — salarios oficiales de Job Bank</w:t>
      </w:r>
    </w:p>
    <w:p>
      <w:pPr>
        <w:pStyle w:val="FirstParagraph"/>
      </w:pPr>
      <w:r>
        <w:t xml:space="preserve">Job Bank del Gobierno de Canadá reporta salarios nacionales actuales para el grupo más amplio NOC 33101 de aproximadamente:</w:t>
      </w:r>
    </w:p>
    <w:p>
      <w:pPr>
        <w:numPr>
          <w:ilvl w:val="0"/>
          <w:numId w:val="1008"/>
        </w:numPr>
        <w:pStyle w:val="Compact"/>
      </w:pPr>
      <w:r>
        <w:rPr>
          <w:bCs/>
          <w:b/>
        </w:rPr>
        <w:t xml:space="preserve">CAD $19.18/hora bajo</w:t>
      </w:r>
      <w:r>
        <w:t xml:space="preserve">;</w:t>
      </w:r>
    </w:p>
    <w:p>
      <w:pPr>
        <w:numPr>
          <w:ilvl w:val="0"/>
          <w:numId w:val="1008"/>
        </w:numPr>
        <w:pStyle w:val="Compact"/>
      </w:pPr>
      <w:r>
        <w:rPr>
          <w:bCs/>
          <w:b/>
        </w:rPr>
        <w:t xml:space="preserve">CAD $27.00/hora mediano</w:t>
      </w:r>
      <w:r>
        <w:t xml:space="preserve">; y</w:t>
      </w:r>
    </w:p>
    <w:p>
      <w:pPr>
        <w:numPr>
          <w:ilvl w:val="0"/>
          <w:numId w:val="1008"/>
        </w:numPr>
        <w:pStyle w:val="Compact"/>
      </w:pPr>
      <w:r>
        <w:rPr>
          <w:bCs/>
          <w:b/>
        </w:rPr>
        <w:t xml:space="preserve">CAD $36.11/hora alto</w:t>
      </w:r>
      <w:r>
        <w:t xml:space="preserve">.</w:t>
      </w:r>
    </w:p>
    <w:p>
      <w:pPr>
        <w:pStyle w:val="FirstParagraph"/>
      </w:pPr>
      <w:r>
        <w:t xml:space="preserve">Estas cifras corresponden al grupo ocupacional canadiense más amplio y no son salarios iniciales garantizados para flebotomistas. Use los filtros provinciales, territoriales y regionales de Job Bank antes de decidir sobre formación o reubicación.</w:t>
      </w:r>
    </w:p>
    <w:bookmarkEnd w:id="39"/>
    <w:bookmarkEnd w:id="40"/>
    <w:bookmarkStart w:id="41" w:name="plan-práctico-de-inicio-de-12-semanas"/>
    <w:p>
      <w:pPr>
        <w:pStyle w:val="Heading2"/>
      </w:pPr>
      <w:r>
        <w:t xml:space="preserve">Plan práctico de inicio de 12 semanas</w:t>
      </w:r>
    </w:p>
    <w:p>
      <w:pPr>
        <w:pStyle w:val="FirstParagraph"/>
      </w:pPr>
      <w:r>
        <w:rPr>
          <w:bCs/>
          <w:b/>
        </w:rPr>
        <w:t xml:space="preserve">Semanas 1–2:</w:t>
      </w:r>
      <w:r>
        <w:t xml:space="preserve"> </w:t>
      </w:r>
      <w:r>
        <w:t xml:space="preserve">Revise 15–20 vacantes locales. Registre requisitos de educación, certificación, RCP, horario, práctica clínica, experiencia, idioma y software.</w:t>
      </w:r>
    </w:p>
    <w:p>
      <w:pPr>
        <w:pStyle w:val="BodyText"/>
      </w:pPr>
      <w:r>
        <w:rPr>
          <w:bCs/>
          <w:b/>
        </w:rPr>
        <w:t xml:space="preserve">Semanas 3–4:</w:t>
      </w:r>
      <w:r>
        <w:t xml:space="preserve"> </w:t>
      </w:r>
      <w:r>
        <w:t xml:space="preserve">Estudie terminología médica, comunicación con pacientes, privacidad, principios de identidad de muestras, prevención de infecciones y conocimiento de patógenos transmitidos por sangre mediante materiales educativos confiables. No practique habilidades invasivas sin supervisión.</w:t>
      </w:r>
    </w:p>
    <w:p>
      <w:pPr>
        <w:pStyle w:val="BodyText"/>
      </w:pPr>
      <w:r>
        <w:rPr>
          <w:bCs/>
          <w:b/>
        </w:rPr>
        <w:t xml:space="preserve">Semanas 5–6:</w:t>
      </w:r>
      <w:r>
        <w:t xml:space="preserve"> </w:t>
      </w:r>
      <w:r>
        <w:t xml:space="preserve">Compare al menos tres vías legítimas de formación. Verifique costo total, experiencia clínica supervisada, elegibilidad para examen, reglas de reembolso, verificación de antecedentes, evaluación de salud y suministros.</w:t>
      </w:r>
    </w:p>
    <w:p>
      <w:pPr>
        <w:pStyle w:val="BodyText"/>
      </w:pPr>
      <w:r>
        <w:rPr>
          <w:bCs/>
          <w:b/>
        </w:rPr>
        <w:t xml:space="preserve">Semanas 7–8:</w:t>
      </w:r>
      <w:r>
        <w:t xml:space="preserve"> </w:t>
      </w:r>
      <w:r>
        <w:t xml:space="preserve">Complete únicamente formación clínica supervisada mediante un programa o empleador autorizado. Siga procedimientos aprobados de identificación del paciente, control de infecciones, cortopunzantes, etiquetado, respuesta a exposición y documentación.</w:t>
      </w:r>
    </w:p>
    <w:p>
      <w:pPr>
        <w:pStyle w:val="BodyText"/>
      </w:pPr>
      <w:r>
        <w:rPr>
          <w:bCs/>
          <w:b/>
        </w:rPr>
        <w:t xml:space="preserve">Semanas 9–10:</w:t>
      </w:r>
      <w:r>
        <w:t xml:space="preserve"> </w:t>
      </w:r>
      <w:r>
        <w:t xml:space="preserve">Construya evidencia para la búsqueda laboral: un currículum claro, registro preciso de formación, credenciales realmente obtenidas, horas o experiencia clínica supervisada cuando estén documentadas y ejemplos de comunicación con pacientes y conciencia de seguridad.</w:t>
      </w:r>
    </w:p>
    <w:p>
      <w:pPr>
        <w:pStyle w:val="BodyText"/>
      </w:pPr>
      <w:r>
        <w:rPr>
          <w:bCs/>
          <w:b/>
        </w:rPr>
        <w:t xml:space="preserve">Semanas 11–12:</w:t>
      </w:r>
      <w:r>
        <w:t xml:space="preserve"> </w:t>
      </w:r>
      <w:r>
        <w:t xml:space="preserve">Postúlese a funciones que coincidan con su preparación verificada. Prepare ejemplos de entrevista que demuestren precisión, confidencialidad, respeto al paciente, trabajo en equipo, escalamiento seguro y capacidad para seguir procedimientos bajo presión.</w:t>
      </w:r>
    </w:p>
    <w:bookmarkEnd w:id="41"/>
    <w:bookmarkStart w:id="42" w:name="X845df125f355d5d1fcdb9c34571280be6b41660"/>
    <w:p>
      <w:pPr>
        <w:pStyle w:val="Heading2"/>
      </w:pPr>
      <w:r>
        <w:t xml:space="preserve">Construir experiencia sin exagerar su alcance</w:t>
      </w:r>
    </w:p>
    <w:p>
      <w:pPr>
        <w:pStyle w:val="FirstParagraph"/>
      </w:pPr>
      <w:r>
        <w:t xml:space="preserve">La experiencia transferible útil puede provenir de:</w:t>
      </w:r>
    </w:p>
    <w:p>
      <w:pPr>
        <w:numPr>
          <w:ilvl w:val="0"/>
          <w:numId w:val="1009"/>
        </w:numPr>
        <w:pStyle w:val="Compact"/>
      </w:pPr>
      <w:r>
        <w:t xml:space="preserve">recepción de salud o acceso de pacientes;</w:t>
      </w:r>
    </w:p>
    <w:p>
      <w:pPr>
        <w:numPr>
          <w:ilvl w:val="0"/>
          <w:numId w:val="1009"/>
        </w:numPr>
        <w:pStyle w:val="Compact"/>
      </w:pPr>
      <w:r>
        <w:t xml:space="preserve">trabajo como auxiliar de enfermería o apoyo de enfermería cuando se describe con precisión;</w:t>
      </w:r>
    </w:p>
    <w:p>
      <w:pPr>
        <w:numPr>
          <w:ilvl w:val="0"/>
          <w:numId w:val="1009"/>
        </w:numPr>
        <w:pStyle w:val="Compact"/>
      </w:pPr>
      <w:r>
        <w:t xml:space="preserve">registros médicos o recepción y registro de muestras;</w:t>
      </w:r>
    </w:p>
    <w:p>
      <w:pPr>
        <w:numPr>
          <w:ilvl w:val="0"/>
          <w:numId w:val="1009"/>
        </w:numPr>
        <w:pStyle w:val="Compact"/>
      </w:pPr>
      <w:r>
        <w:t xml:space="preserve">funciones de apoyo de laboratorio;</w:t>
      </w:r>
    </w:p>
    <w:p>
      <w:pPr>
        <w:numPr>
          <w:ilvl w:val="0"/>
          <w:numId w:val="1009"/>
        </w:numPr>
        <w:pStyle w:val="Compact"/>
      </w:pPr>
      <w:r>
        <w:t xml:space="preserve">servicios de donación de sangre o salud comunitaria;</w:t>
      </w:r>
    </w:p>
    <w:p>
      <w:pPr>
        <w:numPr>
          <w:ilvl w:val="0"/>
          <w:numId w:val="1009"/>
        </w:numPr>
        <w:pStyle w:val="Compact"/>
      </w:pPr>
      <w:r>
        <w:t xml:space="preserve">servicio al cliente en entornos regulados;</w:t>
      </w:r>
    </w:p>
    <w:p>
      <w:pPr>
        <w:numPr>
          <w:ilvl w:val="0"/>
          <w:numId w:val="1009"/>
        </w:numPr>
        <w:pStyle w:val="Compact"/>
      </w:pPr>
      <w:r>
        <w:t xml:space="preserve">apoyo de inventario y suministros;</w:t>
      </w:r>
    </w:p>
    <w:p>
      <w:pPr>
        <w:numPr>
          <w:ilvl w:val="0"/>
          <w:numId w:val="1009"/>
        </w:numPr>
        <w:pStyle w:val="Compact"/>
      </w:pPr>
      <w:r>
        <w:t xml:space="preserve">prácticas externas o colocaciones clínicas supervisadas; y</w:t>
      </w:r>
    </w:p>
    <w:p>
      <w:pPr>
        <w:numPr>
          <w:ilvl w:val="0"/>
          <w:numId w:val="1009"/>
        </w:numPr>
        <w:pStyle w:val="Compact"/>
      </w:pPr>
      <w:r>
        <w:t xml:space="preserve">formación del empleador.</w:t>
      </w:r>
    </w:p>
    <w:p>
      <w:pPr>
        <w:pStyle w:val="FirstParagraph"/>
      </w:pPr>
      <w:r>
        <w:t xml:space="preserve">Describa lo que realmente hizo. No convierta práctica de aula, observación, simulación o exposición supervisada limitada en una afirmación de competencia clínica independiente.</w:t>
      </w:r>
    </w:p>
    <w:bookmarkEnd w:id="42"/>
    <w:bookmarkStart w:id="43" w:name="progresión-profesional"/>
    <w:p>
      <w:pPr>
        <w:pStyle w:val="Heading2"/>
      </w:pPr>
      <w:r>
        <w:t xml:space="preserve">Progresión profesional</w:t>
      </w:r>
    </w:p>
    <w:p>
      <w:pPr>
        <w:pStyle w:val="FirstParagraph"/>
      </w:pPr>
      <w:r>
        <w:t xml:space="preserve">Con educación, credenciales y experiencia adicionales, posibles direcciones incluyen flebotomista senior, líder de flebotomía, servicios de donantes, asistente de laboratorio, coordinador de servicios al paciente, asistente médico, vías hacia técnico o tecnólogo de laboratorio clínico, enfermería u otras ocupaciones de apoyo de salud.</w:t>
      </w:r>
    </w:p>
    <w:p>
      <w:pPr>
        <w:pStyle w:val="BodyText"/>
      </w:pPr>
      <w:r>
        <w:t xml:space="preserve">Muchas de estas funciones tienen requisitos separados de educación, certificación, licencia o regulación. Verifíquelos antes de invertir en formación.</w:t>
      </w:r>
    </w:p>
    <w:bookmarkEnd w:id="43"/>
    <w:bookmarkStart w:id="44" w:name="uso-responsable-de-ia-en-este-trabajo"/>
    <w:p>
      <w:pPr>
        <w:pStyle w:val="Heading2"/>
      </w:pPr>
      <w:r>
        <w:t xml:space="preserve">Uso responsable de IA en este trabajo</w:t>
      </w:r>
    </w:p>
    <w:p>
      <w:pPr>
        <w:pStyle w:val="FirstParagraph"/>
      </w:pPr>
      <w:r>
        <w:t xml:space="preserve">La IA puede apoyar aprendizaje de bajo riesgo y tareas administrativas, por ejemplo:</w:t>
      </w:r>
    </w:p>
    <w:p>
      <w:pPr>
        <w:numPr>
          <w:ilvl w:val="0"/>
          <w:numId w:val="1010"/>
        </w:numPr>
        <w:pStyle w:val="Compact"/>
      </w:pPr>
      <w:r>
        <w:t xml:space="preserve">explicar terminología general para estudio;</w:t>
      </w:r>
    </w:p>
    <w:p>
      <w:pPr>
        <w:numPr>
          <w:ilvl w:val="0"/>
          <w:numId w:val="1010"/>
        </w:numPr>
        <w:pStyle w:val="Compact"/>
      </w:pPr>
      <w:r>
        <w:t xml:space="preserve">generar preguntas ficticias de práctica para entrevistas;</w:t>
      </w:r>
    </w:p>
    <w:p>
      <w:pPr>
        <w:numPr>
          <w:ilvl w:val="0"/>
          <w:numId w:val="1010"/>
        </w:numPr>
        <w:pStyle w:val="Compact"/>
      </w:pPr>
      <w:r>
        <w:t xml:space="preserve">organizar un plan de estudio no sensible;</w:t>
      </w:r>
    </w:p>
    <w:p>
      <w:pPr>
        <w:numPr>
          <w:ilvl w:val="0"/>
          <w:numId w:val="1010"/>
        </w:numPr>
        <w:pStyle w:val="Compact"/>
      </w:pPr>
      <w:r>
        <w:t xml:space="preserve">redactar una lista de verificación genérica que luego se contraste con la política del empleador; o</w:t>
      </w:r>
    </w:p>
    <w:p>
      <w:pPr>
        <w:numPr>
          <w:ilvl w:val="0"/>
          <w:numId w:val="1010"/>
        </w:numPr>
        <w:pStyle w:val="Compact"/>
      </w:pPr>
      <w:r>
        <w:t xml:space="preserve">resumir material educativo público.</w:t>
      </w:r>
    </w:p>
    <w:p>
      <w:pPr>
        <w:pStyle w:val="FirstParagraph"/>
      </w:pPr>
      <w:r>
        <w:t xml:space="preserve">La IA</w:t>
      </w:r>
      <w:r>
        <w:t xml:space="preserve"> </w:t>
      </w:r>
      <w:r>
        <w:rPr>
          <w:bCs/>
          <w:b/>
        </w:rPr>
        <w:t xml:space="preserve">no debe</w:t>
      </w:r>
      <w:r>
        <w:t xml:space="preserve"> </w:t>
      </w:r>
      <w:r>
        <w:t xml:space="preserve">reemplazar protocolos aprobados, juicio clínico, supervisión con licencia, controles del sistema de información de laboratorio, procedimientos de identificación del paciente, procedimientos de etiquetado de muestras, reglas de control de infecciones, procedimientos de respuesta a exposición ni escalamiento de emergencias.</w:t>
      </w:r>
    </w:p>
    <w:p>
      <w:pPr>
        <w:pStyle w:val="BodyText"/>
      </w:pPr>
      <w:r>
        <w:t xml:space="preserve">Nunca pegue nombres de pacientes, fechas de nacimiento, números de historia clínica, órdenes de pruebas, resultados, identificadores de muestras, fotografías, credenciales, datos internos de laboratorio, información confidencial del empleador u otra información médica protegida en un servicio público de IA no aprobado.</w:t>
      </w:r>
    </w:p>
    <w:p>
      <w:pPr>
        <w:pStyle w:val="BodyText"/>
      </w:pPr>
      <w:r>
        <w:t xml:space="preserve">Verifique cualquier afirmación generada por IA frente a la política vigente del empleador y fuentes autorizadas antes de usarla en trabajo de salud.</w:t>
      </w:r>
    </w:p>
    <w:bookmarkEnd w:id="44"/>
    <w:bookmarkStart w:id="45" w:name="X838856dc10feccea0c4ce703e3cb5417e51c5f2"/>
    <w:p>
      <w:pPr>
        <w:pStyle w:val="Heading2"/>
      </w:pPr>
      <w:r>
        <w:t xml:space="preserve">Fundamentos de ciberseguridad y privacidad</w:t>
      </w:r>
    </w:p>
    <w:p>
      <w:pPr>
        <w:pStyle w:val="FirstParagraph"/>
      </w:pPr>
      <w:r>
        <w:t xml:space="preserve">El trabajo de flebotomía puede implicar historias clínicas electrónicas, sistemas de información de laboratorio, sistemas de códigos de barras o etiquetado de muestras, plataformas de programación, dispositivos móviles y portales de pacientes.</w:t>
      </w:r>
    </w:p>
    <w:p>
      <w:pPr>
        <w:pStyle w:val="BodyText"/>
      </w:pPr>
      <w:r>
        <w:t xml:space="preserve">Siga los requisitos del empleador para:</w:t>
      </w:r>
    </w:p>
    <w:p>
      <w:pPr>
        <w:numPr>
          <w:ilvl w:val="0"/>
          <w:numId w:val="1011"/>
        </w:numPr>
        <w:pStyle w:val="Compact"/>
      </w:pPr>
      <w:r>
        <w:t xml:space="preserve">cuentas individuales y autenticación multifactor;</w:t>
      </w:r>
    </w:p>
    <w:p>
      <w:pPr>
        <w:numPr>
          <w:ilvl w:val="0"/>
          <w:numId w:val="1011"/>
        </w:numPr>
        <w:pStyle w:val="Compact"/>
      </w:pPr>
      <w:r>
        <w:t xml:space="preserve">protección de contraseñas y credenciales;</w:t>
      </w:r>
    </w:p>
    <w:p>
      <w:pPr>
        <w:numPr>
          <w:ilvl w:val="0"/>
          <w:numId w:val="1011"/>
        </w:numPr>
        <w:pStyle w:val="Compact"/>
      </w:pPr>
      <w:r>
        <w:t xml:space="preserve">reporte de phishing y mensajes sospechosos;</w:t>
      </w:r>
    </w:p>
    <w:p>
      <w:pPr>
        <w:numPr>
          <w:ilvl w:val="0"/>
          <w:numId w:val="1011"/>
        </w:numPr>
        <w:pStyle w:val="Compact"/>
      </w:pPr>
      <w:r>
        <w:t xml:space="preserve">dispositivos y software aprobados;</w:t>
      </w:r>
    </w:p>
    <w:p>
      <w:pPr>
        <w:numPr>
          <w:ilvl w:val="0"/>
          <w:numId w:val="1011"/>
        </w:numPr>
        <w:pStyle w:val="Compact"/>
      </w:pPr>
      <w:r>
        <w:t xml:space="preserve">privacidad del paciente y acceso mínimo necesario;</w:t>
      </w:r>
    </w:p>
    <w:p>
      <w:pPr>
        <w:numPr>
          <w:ilvl w:val="0"/>
          <w:numId w:val="1011"/>
        </w:numPr>
        <w:pStyle w:val="Compact"/>
      </w:pPr>
      <w:r>
        <w:t xml:space="preserve">manejo seguro de etiquetas y solicitudes impresas;</w:t>
      </w:r>
    </w:p>
    <w:p>
      <w:pPr>
        <w:numPr>
          <w:ilvl w:val="0"/>
          <w:numId w:val="1011"/>
        </w:numPr>
        <w:pStyle w:val="Compact"/>
      </w:pPr>
      <w:r>
        <w:t xml:space="preserve">bloqueo de pantalla cuando no esté atendida;</w:t>
      </w:r>
    </w:p>
    <w:p>
      <w:pPr>
        <w:numPr>
          <w:ilvl w:val="0"/>
          <w:numId w:val="1011"/>
        </w:numPr>
        <w:pStyle w:val="Compact"/>
      </w:pPr>
      <w:r>
        <w:t xml:space="preserve">canales de comunicación aprobados; y</w:t>
      </w:r>
    </w:p>
    <w:p>
      <w:pPr>
        <w:numPr>
          <w:ilvl w:val="0"/>
          <w:numId w:val="1011"/>
        </w:numPr>
        <w:pStyle w:val="Compact"/>
      </w:pPr>
      <w:r>
        <w:t xml:space="preserve">reporte inmediato de posibles incidentes de privacidad o seguridad.</w:t>
      </w:r>
    </w:p>
    <w:p>
      <w:pPr>
        <w:pStyle w:val="FirstParagraph"/>
      </w:pPr>
      <w:r>
        <w:t xml:space="preserve">No use correo personal, almacenamiento en nube de consumo, aplicaciones de mensajería ni herramientas públicas de IA para información protegida del paciente salvo aprobación explícita del empleador.</w:t>
      </w:r>
    </w:p>
    <w:bookmarkEnd w:id="45"/>
    <w:bookmarkStart w:id="46" w:name="Xadaf4c55f2a05228f0e7a57a6c8a13ef2ae3237"/>
    <w:p>
      <w:pPr>
        <w:pStyle w:val="Heading2"/>
      </w:pPr>
      <w:r>
        <w:t xml:space="preserve">Evitar estafas y ofertas de formación débiles</w:t>
      </w:r>
    </w:p>
    <w:p>
      <w:pPr>
        <w:pStyle w:val="FirstParagraph"/>
      </w:pPr>
      <w:r>
        <w:t xml:space="preserve">Tenga precaución cuando una escuela, reclutador, vendedor de certificaciones o empleador:</w:t>
      </w:r>
    </w:p>
    <w:p>
      <w:pPr>
        <w:numPr>
          <w:ilvl w:val="0"/>
          <w:numId w:val="1012"/>
        </w:numPr>
        <w:pStyle w:val="Compact"/>
      </w:pPr>
      <w:r>
        <w:t xml:space="preserve">garantice empleo, licencia, certificación o salario;</w:t>
      </w:r>
    </w:p>
    <w:p>
      <w:pPr>
        <w:numPr>
          <w:ilvl w:val="0"/>
          <w:numId w:val="1012"/>
        </w:numPr>
        <w:pStyle w:val="Compact"/>
      </w:pPr>
      <w:r>
        <w:t xml:space="preserve">afirme que un certificado privado es legalmente obligatorio en todas partes;</w:t>
      </w:r>
    </w:p>
    <w:p>
      <w:pPr>
        <w:numPr>
          <w:ilvl w:val="0"/>
          <w:numId w:val="1012"/>
        </w:numPr>
        <w:pStyle w:val="Compact"/>
      </w:pPr>
      <w:r>
        <w:t xml:space="preserve">prometa competencia clínica sin práctica supervisada;</w:t>
      </w:r>
    </w:p>
    <w:p>
      <w:pPr>
        <w:numPr>
          <w:ilvl w:val="0"/>
          <w:numId w:val="1012"/>
        </w:numPr>
        <w:pStyle w:val="Compact"/>
      </w:pPr>
      <w:r>
        <w:t xml:space="preserve">no revele quién organiza la práctica clínica;</w:t>
      </w:r>
    </w:p>
    <w:p>
      <w:pPr>
        <w:numPr>
          <w:ilvl w:val="0"/>
          <w:numId w:val="1012"/>
        </w:numPr>
        <w:pStyle w:val="Compact"/>
      </w:pPr>
      <w:r>
        <w:t xml:space="preserve">oculte matrícula total, suministros, examen, repetición de examen, verificación de antecedentes, evaluación de salud o costos de recertificación;</w:t>
      </w:r>
    </w:p>
    <w:p>
      <w:pPr>
        <w:numPr>
          <w:ilvl w:val="0"/>
          <w:numId w:val="1012"/>
        </w:numPr>
        <w:pStyle w:val="Compact"/>
      </w:pPr>
      <w:r>
        <w:t xml:space="preserve">se niegue a entregar por escrito condiciones de reembolso o retiro;</w:t>
      </w:r>
    </w:p>
    <w:p>
      <w:pPr>
        <w:numPr>
          <w:ilvl w:val="0"/>
          <w:numId w:val="1012"/>
        </w:numPr>
        <w:pStyle w:val="Compact"/>
      </w:pPr>
      <w:r>
        <w:t xml:space="preserve">no pueda explicar qué empleadores reconocen la credencial;</w:t>
      </w:r>
    </w:p>
    <w:p>
      <w:pPr>
        <w:numPr>
          <w:ilvl w:val="0"/>
          <w:numId w:val="1012"/>
        </w:numPr>
        <w:pStyle w:val="Compact"/>
      </w:pPr>
      <w:r>
        <w:t xml:space="preserve">presione para pagar inmediatamente; o</w:t>
      </w:r>
    </w:p>
    <w:p>
      <w:pPr>
        <w:numPr>
          <w:ilvl w:val="0"/>
          <w:numId w:val="1012"/>
        </w:numPr>
        <w:pStyle w:val="Compact"/>
      </w:pPr>
      <w:r>
        <w:t xml:space="preserve">solicite métodos de pago inusuales o información de identidad sensible antes de que usted haya verificado la organización.</w:t>
      </w:r>
    </w:p>
    <w:p>
      <w:pPr>
        <w:pStyle w:val="FirstParagraph"/>
      </w:pPr>
      <w:r>
        <w:t xml:space="preserve">Antes de pagar, confirme que los empleadores locales reconocen la formación y que el programa satisface los requisitos previos de examen de certificación o empleo que pretende cumplir.</w:t>
      </w:r>
    </w:p>
    <w:bookmarkEnd w:id="46"/>
    <w:bookmarkStart w:id="65" w:name="fuentes-actuales"/>
    <w:p>
      <w:pPr>
        <w:pStyle w:val="Heading2"/>
      </w:pPr>
      <w:r>
        <w:t xml:space="preserve">Fuentes actuales</w:t>
      </w:r>
    </w:p>
    <w:p>
      <w:pPr>
        <w:pStyle w:val="FirstParagraph"/>
      </w:pPr>
      <w:r>
        <w:t xml:space="preserve">Fuentes oficiales/públicas/institucionales:</w:t>
      </w:r>
    </w:p>
    <w:p>
      <w:pPr>
        <w:numPr>
          <w:ilvl w:val="0"/>
          <w:numId w:val="1013"/>
        </w:numPr>
        <w:pStyle w:val="Compact"/>
      </w:pPr>
      <w:r>
        <w:t xml:space="preserve">O*NET OnLine — Phlebotomists 31-9097.00:</w:t>
      </w:r>
      <w:r>
        <w:t xml:space="preserve"> </w:t>
      </w:r>
      <w:hyperlink r:id="rId47">
        <w:r>
          <w:rPr>
            <w:rStyle w:val="Hyperlink"/>
          </w:rPr>
          <w:t xml:space="preserve">https://www.onetonline.org/link/details/31-9097.00</w:t>
        </w:r>
      </w:hyperlink>
    </w:p>
    <w:p>
      <w:pPr>
        <w:numPr>
          <w:ilvl w:val="0"/>
          <w:numId w:val="1013"/>
        </w:numPr>
        <w:pStyle w:val="Compact"/>
      </w:pPr>
      <w:r>
        <w:t xml:space="preserve">O*NET national wages — Phlebotomists:</w:t>
      </w:r>
      <w:r>
        <w:t xml:space="preserve"> </w:t>
      </w:r>
      <w:hyperlink r:id="rId48">
        <w:r>
          <w:rPr>
            <w:rStyle w:val="Hyperlink"/>
          </w:rPr>
          <w:t xml:space="preserve">https://www.onetonline.org/link/localwages/31-9097.00</w:t>
        </w:r>
      </w:hyperlink>
    </w:p>
    <w:p>
      <w:pPr>
        <w:numPr>
          <w:ilvl w:val="0"/>
          <w:numId w:val="1013"/>
        </w:numPr>
        <w:pStyle w:val="Compact"/>
      </w:pPr>
      <w:r>
        <w:t xml:space="preserve">U.S. Bureau of Labor Statistics — Phlebotomists:</w:t>
      </w:r>
      <w:r>
        <w:t xml:space="preserve"> </w:t>
      </w:r>
      <w:hyperlink r:id="rId49">
        <w:r>
          <w:rPr>
            <w:rStyle w:val="Hyperlink"/>
          </w:rPr>
          <w:t xml:space="preserve">https://www.bls.gov/ooh/healthcare/phlebotomists.htm</w:t>
        </w:r>
      </w:hyperlink>
    </w:p>
    <w:p>
      <w:pPr>
        <w:numPr>
          <w:ilvl w:val="0"/>
          <w:numId w:val="1013"/>
        </w:numPr>
        <w:pStyle w:val="Compact"/>
      </w:pPr>
      <w:r>
        <w:t xml:space="preserve">Apprenticeship.gov:</w:t>
      </w:r>
      <w:r>
        <w:t xml:space="preserve"> </w:t>
      </w:r>
      <w:hyperlink r:id="rId50">
        <w:r>
          <w:rPr>
            <w:rStyle w:val="Hyperlink"/>
          </w:rPr>
          <w:t xml:space="preserve">https://www.apprenticeship.gov/</w:t>
        </w:r>
      </w:hyperlink>
    </w:p>
    <w:p>
      <w:pPr>
        <w:numPr>
          <w:ilvl w:val="0"/>
          <w:numId w:val="1013"/>
        </w:numPr>
        <w:pStyle w:val="Compact"/>
      </w:pPr>
      <w:r>
        <w:t xml:space="preserve">CareerOneStop — WIOA-Eligible Training Program Finder:</w:t>
      </w:r>
      <w:r>
        <w:t xml:space="preserve"> </w:t>
      </w:r>
      <w:hyperlink r:id="rId51">
        <w:r>
          <w:rPr>
            <w:rStyle w:val="Hyperlink"/>
          </w:rPr>
          <w:t xml:space="preserve">https://www.careeronestop.org/LocalHelp/EmploymentAndTraining/find-WIOA-training-programs.aspx</w:t>
        </w:r>
      </w:hyperlink>
    </w:p>
    <w:p>
      <w:pPr>
        <w:numPr>
          <w:ilvl w:val="0"/>
          <w:numId w:val="1013"/>
        </w:numPr>
        <w:pStyle w:val="Compact"/>
      </w:pPr>
      <w:r>
        <w:t xml:space="preserve">CareerOneStop — Find Training:</w:t>
      </w:r>
      <w:r>
        <w:t xml:space="preserve"> </w:t>
      </w:r>
      <w:hyperlink r:id="rId52">
        <w:r>
          <w:rPr>
            <w:rStyle w:val="Hyperlink"/>
          </w:rPr>
          <w:t xml:space="preserve">https://www.careeronestop.org/FindTraining/find-training.aspx</w:t>
        </w:r>
      </w:hyperlink>
    </w:p>
    <w:p>
      <w:pPr>
        <w:numPr>
          <w:ilvl w:val="0"/>
          <w:numId w:val="1013"/>
        </w:numPr>
        <w:pStyle w:val="Compact"/>
      </w:pPr>
      <w:r>
        <w:t xml:space="preserve">OSHA — Bloodborne Pathogens standard, 29 CFR 1910.1030:</w:t>
      </w:r>
      <w:r>
        <w:t xml:space="preserve"> </w:t>
      </w:r>
      <w:hyperlink r:id="rId53">
        <w:r>
          <w:rPr>
            <w:rStyle w:val="Hyperlink"/>
          </w:rPr>
          <w:t xml:space="preserve">https://www.osha.gov/laws-regs/regulations/standardnumber/1910/1910.1030</w:t>
        </w:r>
      </w:hyperlink>
    </w:p>
    <w:p>
      <w:pPr>
        <w:numPr>
          <w:ilvl w:val="0"/>
          <w:numId w:val="1013"/>
        </w:numPr>
        <w:pStyle w:val="Compact"/>
      </w:pPr>
      <w:r>
        <w:t xml:space="preserve">OSHA — Bloodborne Pathogens: Evaluating and Controlling Exposure:</w:t>
      </w:r>
      <w:r>
        <w:t xml:space="preserve"> </w:t>
      </w:r>
      <w:hyperlink r:id="rId54">
        <w:r>
          <w:rPr>
            <w:rStyle w:val="Hyperlink"/>
          </w:rPr>
          <w:t xml:space="preserve">https://www.osha.gov/bloodborne-pathogens/evaluating-controlling-exposure</w:t>
        </w:r>
      </w:hyperlink>
    </w:p>
    <w:p>
      <w:pPr>
        <w:numPr>
          <w:ilvl w:val="0"/>
          <w:numId w:val="1013"/>
        </w:numPr>
        <w:pStyle w:val="Compact"/>
      </w:pPr>
      <w:r>
        <w:t xml:space="preserve">CDC — Standard Precautions for All Patient Care:</w:t>
      </w:r>
      <w:r>
        <w:t xml:space="preserve"> </w:t>
      </w:r>
      <w:hyperlink r:id="rId55">
        <w:r>
          <w:rPr>
            <w:rStyle w:val="Hyperlink"/>
          </w:rPr>
          <w:t xml:space="preserve">https://www.cdc.gov/infection-control/hcp/basics/standard-precautions.html</w:t>
        </w:r>
      </w:hyperlink>
    </w:p>
    <w:p>
      <w:pPr>
        <w:numPr>
          <w:ilvl w:val="0"/>
          <w:numId w:val="1013"/>
        </w:numPr>
        <w:pStyle w:val="Compact"/>
      </w:pPr>
      <w:r>
        <w:t xml:space="preserve">Government of Canada Job Bank — Phlebotomist summary:</w:t>
      </w:r>
      <w:r>
        <w:t xml:space="preserve"> </w:t>
      </w:r>
      <w:hyperlink r:id="rId56">
        <w:r>
          <w:rPr>
            <w:rStyle w:val="Hyperlink"/>
          </w:rPr>
          <w:t xml:space="preserve">https://www.jobbank.gc.ca/marketreport/summary-occupation/4220/ca</w:t>
        </w:r>
      </w:hyperlink>
    </w:p>
    <w:p>
      <w:pPr>
        <w:numPr>
          <w:ilvl w:val="0"/>
          <w:numId w:val="1013"/>
        </w:numPr>
        <w:pStyle w:val="Compact"/>
      </w:pPr>
      <w:r>
        <w:t xml:space="preserve">Government of Canada Job Bank — Phlebotomist requirements:</w:t>
      </w:r>
      <w:r>
        <w:t xml:space="preserve"> </w:t>
      </w:r>
      <w:hyperlink r:id="rId57">
        <w:r>
          <w:rPr>
            <w:rStyle w:val="Hyperlink"/>
          </w:rPr>
          <w:t xml:space="preserve">https://www.jobbank.gc.ca/marketreport/requirements/4220/ca</w:t>
        </w:r>
      </w:hyperlink>
    </w:p>
    <w:p>
      <w:pPr>
        <w:numPr>
          <w:ilvl w:val="0"/>
          <w:numId w:val="1013"/>
        </w:numPr>
        <w:pStyle w:val="Compact"/>
      </w:pPr>
      <w:r>
        <w:t xml:space="preserve">Government of Canada Job Bank — Phlebotomist wages:</w:t>
      </w:r>
      <w:r>
        <w:t xml:space="preserve"> </w:t>
      </w:r>
      <w:hyperlink r:id="rId58">
        <w:r>
          <w:rPr>
            <w:rStyle w:val="Hyperlink"/>
          </w:rPr>
          <w:t xml:space="preserve">https://www.jobbank.gc.ca/marketreport/wages-occupation/4220/ca</w:t>
        </w:r>
      </w:hyperlink>
    </w:p>
    <w:p>
      <w:pPr>
        <w:numPr>
          <w:ilvl w:val="0"/>
          <w:numId w:val="1013"/>
        </w:numPr>
        <w:pStyle w:val="Compact"/>
      </w:pPr>
      <w:r>
        <w:t xml:space="preserve">Government of Canada Job Bank — Phlebotomist prospects:</w:t>
      </w:r>
      <w:r>
        <w:t xml:space="preserve"> </w:t>
      </w:r>
      <w:hyperlink r:id="rId59">
        <w:r>
          <w:rPr>
            <w:rStyle w:val="Hyperlink"/>
          </w:rPr>
          <w:t xml:space="preserve">https://www.jobbank.gc.ca/marketreport/outlook-occupation/4220/ca</w:t>
        </w:r>
      </w:hyperlink>
    </w:p>
    <w:p>
      <w:pPr>
        <w:numPr>
          <w:ilvl w:val="0"/>
          <w:numId w:val="1013"/>
        </w:numPr>
        <w:pStyle w:val="Compact"/>
      </w:pPr>
      <w:r>
        <w:t xml:space="preserve">Government of Canada — Canada Student Grants and Loans:</w:t>
      </w:r>
      <w:r>
        <w:t xml:space="preserve"> </w:t>
      </w:r>
      <w:hyperlink r:id="rId60">
        <w:r>
          <w:rPr>
            <w:rStyle w:val="Hyperlink"/>
          </w:rPr>
          <w:t xml:space="preserve">https://www.canada.ca/en/services/benefits/education/student-aid/grants-loans.html</w:t>
        </w:r>
      </w:hyperlink>
    </w:p>
    <w:p>
      <w:pPr>
        <w:numPr>
          <w:ilvl w:val="0"/>
          <w:numId w:val="1013"/>
        </w:numPr>
        <w:pStyle w:val="Compact"/>
      </w:pPr>
      <w:r>
        <w:t xml:space="preserve">Government of Canada — Apply with your province or territory:</w:t>
      </w:r>
      <w:r>
        <w:t xml:space="preserve"> </w:t>
      </w:r>
      <w:hyperlink r:id="rId61">
        <w:r>
          <w:rPr>
            <w:rStyle w:val="Hyperlink"/>
          </w:rPr>
          <w:t xml:space="preserve">https://www.canada.ca/en/services/benefits/education/student-aid/grants-loans/province-apply.html</w:t>
        </w:r>
      </w:hyperlink>
    </w:p>
    <w:p>
      <w:pPr>
        <w:numPr>
          <w:ilvl w:val="0"/>
          <w:numId w:val="1013"/>
        </w:numPr>
        <w:pStyle w:val="Compact"/>
      </w:pPr>
      <w:r>
        <w:t xml:space="preserve">SENA Betowa — Toma de muestras para procesamiento en el laboratorio clínico:</w:t>
      </w:r>
      <w:r>
        <w:t xml:space="preserve"> </w:t>
      </w:r>
      <w:hyperlink r:id="rId62">
        <w:r>
          <w:rPr>
            <w:rStyle w:val="Hyperlink"/>
          </w:rPr>
          <w:t xml:space="preserve">https://betowa.sena.edu.co/oferta/toma-de-muestras-para-procesamiento-en-el-laboratorio-clinico?location=57073001&amp;modality=P&amp;offertype=company&amp;programId=84606</w:t>
        </w:r>
      </w:hyperlink>
    </w:p>
    <w:p>
      <w:pPr>
        <w:numPr>
          <w:ilvl w:val="0"/>
          <w:numId w:val="1013"/>
        </w:numPr>
        <w:pStyle w:val="Compact"/>
      </w:pPr>
      <w:r>
        <w:t xml:space="preserve">OIT/Cinterfor:</w:t>
      </w:r>
      <w:r>
        <w:t xml:space="preserve"> </w:t>
      </w:r>
      <w:hyperlink r:id="rId63">
        <w:r>
          <w:rPr>
            <w:rStyle w:val="Hyperlink"/>
          </w:rPr>
          <w:t xml:space="preserve">https://www.oitcinterfor.org/</w:t>
        </w:r>
      </w:hyperlink>
    </w:p>
    <w:p>
      <w:pPr>
        <w:pStyle w:val="FirstParagraph"/>
      </w:pPr>
      <w:r>
        <w:t xml:space="preserve">Fuente salarial suplementaria no gubernamental:</w:t>
      </w:r>
    </w:p>
    <w:p>
      <w:pPr>
        <w:numPr>
          <w:ilvl w:val="0"/>
          <w:numId w:val="1014"/>
        </w:numPr>
        <w:pStyle w:val="Compact"/>
      </w:pPr>
      <w:r>
        <w:t xml:space="preserve">Salary.com — Phlebotomist Salary:</w:t>
      </w:r>
      <w:r>
        <w:t xml:space="preserve"> </w:t>
      </w:r>
      <w:hyperlink r:id="rId64">
        <w:r>
          <w:rPr>
            <w:rStyle w:val="Hyperlink"/>
          </w:rPr>
          <w:t xml:space="preserve">https://www.salary.com/research/salary/benchmark/phlebotomist-salary</w:t>
        </w:r>
      </w:hyperlink>
    </w:p>
    <w:bookmarkEnd w:id="65"/>
    <w:bookmarkStart w:id="66" w:name="nota-sobre-fuentes-y-revisión"/>
    <w:p>
      <w:pPr>
        <w:pStyle w:val="Heading2"/>
      </w:pPr>
      <w:r>
        <w:t xml:space="preserve">Nota sobre fuentes y revisión</w:t>
      </w:r>
    </w:p>
    <w:p>
      <w:pPr>
        <w:pStyle w:val="FirstParagraph"/>
      </w:pPr>
      <w:r>
        <w:t xml:space="preserve">Esta guía usa investigación de fuentes vigentes registrada el 19 de agosto de 2026. Salarios, disponibilidad de formación, requisitos de certificación, normas de salud, programas de ayuda estudiantil, requisitos del empleador y condiciones locales de contratación pueden cambiar. Revise nuevamente las fuentes oficiales y vacantes actuales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certificación clínica, acreditación profesional, traducción certificada, revisión legal, asesoría financiera ni resultados laborales garantizados.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etowa.sena.edu.co/oferta/toma-de-muestras-para-procesamiento-en-el-laboratorio-clinico?location=57073001&amp;modality=P&amp;offertype=company&amp;programId=84606" TargetMode="External" /><Relationship Type="http://schemas.openxmlformats.org/officeDocument/2006/relationships/hyperlink" Id="rId50" Target="https://www.apprenticeship.gov/" TargetMode="External" /><Relationship Type="http://schemas.openxmlformats.org/officeDocument/2006/relationships/hyperlink" Id="rId49" Target="https://www.bls.gov/ooh/healthcare/phlebotomists.htm" TargetMode="External" /><Relationship Type="http://schemas.openxmlformats.org/officeDocument/2006/relationships/hyperlink" Id="rId60" Target="https://www.canada.ca/en/services/benefits/education/student-aid/grants-loans.html" TargetMode="External" /><Relationship Type="http://schemas.openxmlformats.org/officeDocument/2006/relationships/hyperlink" Id="rId61" Target="https://www.canada.ca/en/services/benefits/education/student-aid/grants-loans/province-apply.html" TargetMode="External" /><Relationship Type="http://schemas.openxmlformats.org/officeDocument/2006/relationships/hyperlink" Id="rId52"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5" Target="https://www.cdc.gov/infection-control/hcp/basics/standard-precautions.html" TargetMode="External" /><Relationship Type="http://schemas.openxmlformats.org/officeDocument/2006/relationships/hyperlink" Id="rId59" Target="https://www.jobbank.gc.ca/marketreport/outlook-occupation/4220/ca" TargetMode="External" /><Relationship Type="http://schemas.openxmlformats.org/officeDocument/2006/relationships/hyperlink" Id="rId57" Target="https://www.jobbank.gc.ca/marketreport/requirements/4220/ca" TargetMode="External" /><Relationship Type="http://schemas.openxmlformats.org/officeDocument/2006/relationships/hyperlink" Id="rId56" Target="https://www.jobbank.gc.ca/marketreport/summary-occupation/4220/ca" TargetMode="External" /><Relationship Type="http://schemas.openxmlformats.org/officeDocument/2006/relationships/hyperlink" Id="rId58" Target="https://www.jobbank.gc.ca/marketreport/wages-occupation/4220/ca" TargetMode="External" /><Relationship Type="http://schemas.openxmlformats.org/officeDocument/2006/relationships/hyperlink" Id="rId63" Target="https://www.oitcinterfor.org/" TargetMode="External" /><Relationship Type="http://schemas.openxmlformats.org/officeDocument/2006/relationships/hyperlink" Id="rId47" Target="https://www.onetonline.org/link/details/31-9097.00" TargetMode="External" /><Relationship Type="http://schemas.openxmlformats.org/officeDocument/2006/relationships/hyperlink" Id="rId48" Target="https://www.onetonline.org/link/localwages/31-9097.00" TargetMode="External" /><Relationship Type="http://schemas.openxmlformats.org/officeDocument/2006/relationships/hyperlink" Id="rId54" Target="https://www.osha.gov/bloodborne-pathogens/evaluating-controlling-exposure" TargetMode="External" /><Relationship Type="http://schemas.openxmlformats.org/officeDocument/2006/relationships/hyperlink" Id="rId53" Target="https://www.osha.gov/laws-regs/regulations/standardnumber/1910/1910.1030" TargetMode="External" /><Relationship Type="http://schemas.openxmlformats.org/officeDocument/2006/relationships/hyperlink" Id="rId64" Target="https://www.salary.com/research/salary/benchmark/phlebotomist-salary" TargetMode="External" /></Relationships>
</file>

<file path=word/_rels/footnotes.xml.rels><?xml version="1.0" encoding="UTF-8"?><Relationships xmlns="http://schemas.openxmlformats.org/package/2006/relationships"><Relationship Type="http://schemas.openxmlformats.org/officeDocument/2006/relationships/hyperlink" Id="rId62" Target="https://betowa.sena.edu.co/oferta/toma-de-muestras-para-procesamiento-en-el-laboratorio-clinico?location=57073001&amp;modality=P&amp;offertype=company&amp;programId=84606" TargetMode="External" /><Relationship Type="http://schemas.openxmlformats.org/officeDocument/2006/relationships/hyperlink" Id="rId50" Target="https://www.apprenticeship.gov/" TargetMode="External" /><Relationship Type="http://schemas.openxmlformats.org/officeDocument/2006/relationships/hyperlink" Id="rId49" Target="https://www.bls.gov/ooh/healthcare/phlebotomists.htm" TargetMode="External" /><Relationship Type="http://schemas.openxmlformats.org/officeDocument/2006/relationships/hyperlink" Id="rId60" Target="https://www.canada.ca/en/services/benefits/education/student-aid/grants-loans.html" TargetMode="External" /><Relationship Type="http://schemas.openxmlformats.org/officeDocument/2006/relationships/hyperlink" Id="rId61" Target="https://www.canada.ca/en/services/benefits/education/student-aid/grants-loans/province-apply.html" TargetMode="External" /><Relationship Type="http://schemas.openxmlformats.org/officeDocument/2006/relationships/hyperlink" Id="rId52"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5" Target="https://www.cdc.gov/infection-control/hcp/basics/standard-precautions.html" TargetMode="External" /><Relationship Type="http://schemas.openxmlformats.org/officeDocument/2006/relationships/hyperlink" Id="rId59" Target="https://www.jobbank.gc.ca/marketreport/outlook-occupation/4220/ca" TargetMode="External" /><Relationship Type="http://schemas.openxmlformats.org/officeDocument/2006/relationships/hyperlink" Id="rId57" Target="https://www.jobbank.gc.ca/marketreport/requirements/4220/ca" TargetMode="External" /><Relationship Type="http://schemas.openxmlformats.org/officeDocument/2006/relationships/hyperlink" Id="rId56" Target="https://www.jobbank.gc.ca/marketreport/summary-occupation/4220/ca" TargetMode="External" /><Relationship Type="http://schemas.openxmlformats.org/officeDocument/2006/relationships/hyperlink" Id="rId58" Target="https://www.jobbank.gc.ca/marketreport/wages-occupation/4220/ca" TargetMode="External" /><Relationship Type="http://schemas.openxmlformats.org/officeDocument/2006/relationships/hyperlink" Id="rId63" Target="https://www.oitcinterfor.org/" TargetMode="External" /><Relationship Type="http://schemas.openxmlformats.org/officeDocument/2006/relationships/hyperlink" Id="rId47" Target="https://www.onetonline.org/link/details/31-9097.00" TargetMode="External" /><Relationship Type="http://schemas.openxmlformats.org/officeDocument/2006/relationships/hyperlink" Id="rId48" Target="https://www.onetonline.org/link/localwages/31-9097.00" TargetMode="External" /><Relationship Type="http://schemas.openxmlformats.org/officeDocument/2006/relationships/hyperlink" Id="rId54" Target="https://www.osha.gov/bloodborne-pathogens/evaluating-controlling-exposure" TargetMode="External" /><Relationship Type="http://schemas.openxmlformats.org/officeDocument/2006/relationships/hyperlink" Id="rId53" Target="https://www.osha.gov/laws-regs/regulations/standardnumber/1910/1910.1030" TargetMode="External" /><Relationship Type="http://schemas.openxmlformats.org/officeDocument/2006/relationships/hyperlink" Id="rId64" Target="https://www.salary.com/research/salary/benchmark/phlebotom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2026-08-19T19:03:20Z</dcterms:created>
  <dcterms:modified xsi:type="dcterms:W3CDTF">2026-08-19T19:03:20Z</dcterms:modified>
</cp:coreProperties>
</file>

<file path=docProps/custom.xml><?xml version="1.0" encoding="utf-8"?>
<Properties xmlns="http://schemas.openxmlformats.org/officeDocument/2006/custom-properties" xmlns:vt="http://schemas.openxmlformats.org/officeDocument/2006/docPropsVTypes"/>
</file>