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9f7829610612b223aac3a7d324ee304c8abaa19"/>
    <w:p>
      <w:pPr>
        <w:pStyle w:val="Heading1"/>
      </w:pPr>
      <w:r>
        <w:t xml:space="preserve">Guia 54 — Assistente de Terapia Ocupacional</w:t>
      </w:r>
    </w:p>
    <w:p>
      <w:pPr>
        <w:pStyle w:val="FirstParagraph"/>
      </w:pPr>
      <w:r>
        <w:rPr>
          <w:bCs/>
          <w:b/>
        </w:rPr>
        <w:t xml:space="preserve">Mestre de trabalho controlado em português brasileiro (pt-BR) — Versão 1.0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Um assistente de terapia ocupacional (OTA, na sigla em inglês) ajuda terapeutas ocupacionais a prestar serviços de terapia ocupacional a pessoas que estão desenvolvendo, recuperando, mantendo ou adaptando habilidades necessárias para a vida diária. Nos Estados Unidos, um OTA pode trabalhar com pessoas de diferentes idades em clínicas de reabilitação, hospitais, instituições de enfermagem, escolas, serviços de saúde domiciliar, programas comunitários e outros ambientes onde a terapia ocupacional é oferecida.</w:t>
      </w:r>
    </w:p>
    <w:p>
      <w:pPr>
        <w:pStyle w:val="BodyText"/>
      </w:pPr>
      <w:r>
        <w:t xml:space="preserve">Um OTA não é o mesmo que um terapeuta ocupacional, e também não é o mesmo que um auxiliar de apoio de terapia ocupacional. O terapeuta ocupacional avalia a pessoa, estabelece o plano e os objetivos de terapia ocupacional e desempenha outras funções reservadas por lei, regulamentação, padrões profissionais e política do empregador. O OTA contribui para implementação, observação, documentação, educação e retorno sobre o progresso dentro do processo de terapia ocupacional e dos requisitos de supervisão e escopo aplicáveis ao ambiente e à jurisdição.</w:t>
      </w:r>
    </w:p>
    <w:p>
      <w:pPr>
        <w:pStyle w:val="BodyText"/>
      </w:pPr>
      <w:r>
        <w:t xml:space="preserve">Auxiliares de apoio de terapia ocupacional geralmente executam tarefas rotineiras e não seguem a mesma formação credenciada, certificação nacional ou via regulatória estadual exigida dos occupational therapy assistants nos Estados Unidos.</w:t>
      </w:r>
    </w:p>
    <w:p>
      <w:pPr>
        <w:pStyle w:val="BodyText"/>
      </w:pPr>
      <w:r>
        <w:t xml:space="preserve">Este guia serve para exploração e preparação de carreira. Regras de educação, certificação, licenciamento, supervisão, escopo, financiamento e emprego podem mudar. Verifique os requisitos do local onde pretende estudar e trabalhar antes de pagar mensalidades, aceitar um emprego ou executar tarefas clínicas.</w:t>
      </w:r>
    </w:p>
    <w:bookmarkEnd w:id="20"/>
    <w:bookmarkStart w:id="21" w:name="X920020944b500b26dca10f39d703f56a5b2ce67"/>
    <w:p>
      <w:pPr>
        <w:pStyle w:val="Heading2"/>
      </w:pPr>
      <w:r>
        <w:t xml:space="preserve">O que um assistente de terapia ocupacional pode fazer</w:t>
      </w:r>
    </w:p>
    <w:p>
      <w:pPr>
        <w:pStyle w:val="FirstParagraph"/>
      </w:pPr>
      <w:r>
        <w:t xml:space="preserve">Responsabilidades típicas de um OTA podem incluir:</w:t>
      </w:r>
    </w:p>
    <w:p>
      <w:pPr>
        <w:numPr>
          <w:ilvl w:val="0"/>
          <w:numId w:val="1001"/>
        </w:numPr>
        <w:pStyle w:val="Compact"/>
      </w:pPr>
      <w:r>
        <w:t xml:space="preserve">executar atividades terapêuticas e intervenções que façam parte do plano estabelecido pelo terapeuta ocupacional;</w:t>
      </w:r>
    </w:p>
    <w:p>
      <w:pPr>
        <w:numPr>
          <w:ilvl w:val="0"/>
          <w:numId w:val="1001"/>
        </w:numPr>
        <w:pStyle w:val="Compact"/>
      </w:pPr>
      <w:r>
        <w:t xml:space="preserve">ajudar pessoas a praticar atividades de vida diária, como vestir-se, cuidar da higiene, preparar refeições, realizar tarefas domésticas, escolares, de trabalho ou de participação comunitária;</w:t>
      </w:r>
    </w:p>
    <w:p>
      <w:pPr>
        <w:numPr>
          <w:ilvl w:val="0"/>
          <w:numId w:val="1001"/>
        </w:numPr>
        <w:pStyle w:val="Compact"/>
      </w:pPr>
      <w:r>
        <w:t xml:space="preserve">orientar exercícios terapêuticos, atividades funcionais, brincadeiras ou prática de tarefas dentro do plano aprovado e da competência do OTA;</w:t>
      </w:r>
    </w:p>
    <w:p>
      <w:pPr>
        <w:numPr>
          <w:ilvl w:val="0"/>
          <w:numId w:val="1001"/>
        </w:numPr>
        <w:pStyle w:val="Compact"/>
      </w:pPr>
      <w:r>
        <w:t xml:space="preserve">ensinar o uso de equipamentos adaptativos ou estratégias selecionadas dentro do processo de terapia ocupacional;</w:t>
      </w:r>
    </w:p>
    <w:p>
      <w:pPr>
        <w:numPr>
          <w:ilvl w:val="0"/>
          <w:numId w:val="1001"/>
        </w:numPr>
        <w:pStyle w:val="Compact"/>
      </w:pPr>
      <w:r>
        <w:t xml:space="preserve">observar a resposta ao tratamento e relatar progresso, barreiras, dor, fadiga, mudanças de comportamento ou preocupações de segurança;</w:t>
      </w:r>
    </w:p>
    <w:p>
      <w:pPr>
        <w:numPr>
          <w:ilvl w:val="0"/>
          <w:numId w:val="1001"/>
        </w:numPr>
        <w:pStyle w:val="Compact"/>
      </w:pPr>
      <w:r>
        <w:t xml:space="preserve">documentar serviços e respostas com precisão e no prazo;</w:t>
      </w:r>
    </w:p>
    <w:p>
      <w:pPr>
        <w:numPr>
          <w:ilvl w:val="0"/>
          <w:numId w:val="1001"/>
        </w:numPr>
        <w:pStyle w:val="Compact"/>
      </w:pPr>
      <w:r>
        <w:t xml:space="preserve">ajudar a preparar materiais terapêuticos, dispositivos adaptativos, estações de atividade ou o ambiente clínico;</w:t>
      </w:r>
    </w:p>
    <w:p>
      <w:pPr>
        <w:numPr>
          <w:ilvl w:val="0"/>
          <w:numId w:val="1001"/>
        </w:numPr>
        <w:pStyle w:val="Compact"/>
      </w:pPr>
      <w:r>
        <w:t xml:space="preserve">colaborar com terapeutas ocupacionais e outros integrantes da equipe de saúde ou educação;</w:t>
      </w:r>
    </w:p>
    <w:p>
      <w:pPr>
        <w:numPr>
          <w:ilvl w:val="0"/>
          <w:numId w:val="1001"/>
        </w:numPr>
        <w:pStyle w:val="Compact"/>
      </w:pPr>
      <w:r>
        <w:t xml:space="preserve">reforçar instruções de segurança, programa domiciliar, orientação a cuidadores ou instruções escolares que estejam dentro do plano estabelecido e do escopo do assistente; e</w:t>
      </w:r>
    </w:p>
    <w:p>
      <w:pPr>
        <w:numPr>
          <w:ilvl w:val="0"/>
          <w:numId w:val="1001"/>
        </w:numPr>
        <w:pStyle w:val="Compact"/>
      </w:pPr>
      <w:r>
        <w:t xml:space="preserve">encaminhar questões que exijam avaliação, alteração do plano, diagnóstico, decisão de alta ou outra decisão profissional regulada.</w:t>
      </w:r>
    </w:p>
    <w:p>
      <w:pPr>
        <w:pStyle w:val="FirstParagraph"/>
      </w:pPr>
      <w:r>
        <w:t xml:space="preserve">As funções exatas dependem da legislação estadual, do plano e da supervisão do terapeuta ocupacional, do ambiente clínico ou educacional, de regras do pagador, da política do empregador e da condição da pessoa.</w:t>
      </w:r>
    </w:p>
    <w:bookmarkEnd w:id="21"/>
    <w:bookmarkStart w:id="22" w:name="o-que-um-ota-não-deve-presumir"/>
    <w:p>
      <w:pPr>
        <w:pStyle w:val="Heading2"/>
      </w:pPr>
      <w:r>
        <w:t xml:space="preserve">O que um OTA não deve presumir</w:t>
      </w:r>
    </w:p>
    <w:p>
      <w:pPr>
        <w:pStyle w:val="FirstParagraph"/>
      </w:pPr>
      <w:r>
        <w:t xml:space="preserve">Não presuma que a formação de OTA permite:</w:t>
      </w:r>
    </w:p>
    <w:p>
      <w:pPr>
        <w:numPr>
          <w:ilvl w:val="0"/>
          <w:numId w:val="1002"/>
        </w:numPr>
        <w:pStyle w:val="Compact"/>
      </w:pPr>
      <w:r>
        <w:t xml:space="preserve">diagnosticar de forma independente uma condição médica, do desenvolvimento, psiquiátrica, neurológica ou de desempenho ocupacional;</w:t>
      </w:r>
    </w:p>
    <w:p>
      <w:pPr>
        <w:numPr>
          <w:ilvl w:val="0"/>
          <w:numId w:val="1002"/>
        </w:numPr>
        <w:pStyle w:val="Compact"/>
      </w:pPr>
      <w:r>
        <w:t xml:space="preserve">realizar de forma independente a avaliação do terapeuta ocupacional ou estabelecer o plano inicial de terapia ocupacional;</w:t>
      </w:r>
    </w:p>
    <w:p>
      <w:pPr>
        <w:numPr>
          <w:ilvl w:val="0"/>
          <w:numId w:val="1002"/>
        </w:numPr>
        <w:pStyle w:val="Compact"/>
      </w:pPr>
      <w:r>
        <w:t xml:space="preserve">definir ou alterar objetivos de forma independente fora da autoridade permitida por lei e supervisão;</w:t>
      </w:r>
    </w:p>
    <w:p>
      <w:pPr>
        <w:numPr>
          <w:ilvl w:val="0"/>
          <w:numId w:val="1002"/>
        </w:numPr>
        <w:pStyle w:val="Compact"/>
      </w:pPr>
      <w:r>
        <w:t xml:space="preserve">dar alta de forma independente quando essa decisão for reservada ao terapeuta ocupacional;</w:t>
      </w:r>
    </w:p>
    <w:p>
      <w:pPr>
        <w:numPr>
          <w:ilvl w:val="0"/>
          <w:numId w:val="1002"/>
        </w:numPr>
        <w:pStyle w:val="Compact"/>
      </w:pPr>
      <w:r>
        <w:t xml:space="preserve">realizar intervenção, transferência, modalidade, tarefa de órtese/tala, atividade de alimentação, intervenção cognitiva ou outro procedimento para o qual você não tenha sido treinado e autorizado;</w:t>
      </w:r>
    </w:p>
    <w:p>
      <w:pPr>
        <w:numPr>
          <w:ilvl w:val="0"/>
          <w:numId w:val="1002"/>
        </w:numPr>
        <w:pStyle w:val="Compact"/>
      </w:pPr>
      <w:r>
        <w:t xml:space="preserve">ignorar regras obrigatórias de supervisão ou documentação;</w:t>
      </w:r>
    </w:p>
    <w:p>
      <w:pPr>
        <w:numPr>
          <w:ilvl w:val="0"/>
          <w:numId w:val="1002"/>
        </w:numPr>
        <w:pStyle w:val="Compact"/>
      </w:pPr>
      <w:r>
        <w:t xml:space="preserve">fornecer aconselhamento médico, jurídico, financeiro ou de saúde mental fora de sua função profissional; ou</w:t>
      </w:r>
    </w:p>
    <w:p>
      <w:pPr>
        <w:numPr>
          <w:ilvl w:val="0"/>
          <w:numId w:val="1002"/>
        </w:numPr>
        <w:pStyle w:val="Compact"/>
      </w:pPr>
      <w:r>
        <w:t xml:space="preserve">apresentar uma credencial estrangeira ou de nível assistencial como equivalente ao título profissional regulado de terapeuta ocupacional em outra jurisdição.</w:t>
      </w:r>
    </w:p>
    <w:p>
      <w:pPr>
        <w:pStyle w:val="FirstParagraph"/>
      </w:pPr>
      <w:r>
        <w:t xml:space="preserve">Quando o escopo não estiver claro, interrompa a atividade e verifique com o terapeuta ocupacional supervisor, o empregador e o órgão regulador aplicável.</w:t>
      </w:r>
    </w:p>
    <w:bookmarkEnd w:id="22"/>
    <w:bookmarkStart w:id="23" w:name="Xfb4310f94e248aca7bb4652559f1cf7b9c6fe08"/>
    <w:p>
      <w:pPr>
        <w:pStyle w:val="Heading2"/>
      </w:pPr>
      <w:r>
        <w:t xml:space="preserve">Ambientes de trabalho e exigências físicas</w:t>
      </w:r>
    </w:p>
    <w:p>
      <w:pPr>
        <w:pStyle w:val="FirstParagraph"/>
      </w:pPr>
      <w:r>
        <w:t xml:space="preserve">Assistentes de terapia ocupacional podem trabalhar em:</w:t>
      </w:r>
    </w:p>
    <w:p>
      <w:pPr>
        <w:numPr>
          <w:ilvl w:val="0"/>
          <w:numId w:val="1003"/>
        </w:numPr>
        <w:pStyle w:val="Compact"/>
      </w:pPr>
      <w:r>
        <w:t xml:space="preserve">consultórios ambulatoriais de terapia ocupacional ou reabilitação;</w:t>
      </w:r>
    </w:p>
    <w:p>
      <w:pPr>
        <w:numPr>
          <w:ilvl w:val="0"/>
          <w:numId w:val="1003"/>
        </w:numPr>
        <w:pStyle w:val="Compact"/>
      </w:pPr>
      <w:r>
        <w:t xml:space="preserve">hospitais;</w:t>
      </w:r>
    </w:p>
    <w:p>
      <w:pPr>
        <w:numPr>
          <w:ilvl w:val="0"/>
          <w:numId w:val="1003"/>
        </w:numPr>
        <w:pStyle w:val="Compact"/>
      </w:pPr>
      <w:r>
        <w:t xml:space="preserve">instituições de enfermagem especializada e cuidados de longa duração;</w:t>
      </w:r>
    </w:p>
    <w:p>
      <w:pPr>
        <w:numPr>
          <w:ilvl w:val="0"/>
          <w:numId w:val="1003"/>
        </w:numPr>
        <w:pStyle w:val="Compact"/>
      </w:pPr>
      <w:r>
        <w:t xml:space="preserve">serviços de saúde domiciliar;</w:t>
      </w:r>
    </w:p>
    <w:p>
      <w:pPr>
        <w:numPr>
          <w:ilvl w:val="0"/>
          <w:numId w:val="1003"/>
        </w:numPr>
        <w:pStyle w:val="Compact"/>
      </w:pPr>
      <w:r>
        <w:t xml:space="preserve">escolas e programas educacionais;</w:t>
      </w:r>
    </w:p>
    <w:p>
      <w:pPr>
        <w:numPr>
          <w:ilvl w:val="0"/>
          <w:numId w:val="1003"/>
        </w:numPr>
        <w:pStyle w:val="Compact"/>
      </w:pPr>
      <w:r>
        <w:t xml:space="preserve">programas de terapia pediátrica;</w:t>
      </w:r>
    </w:p>
    <w:p>
      <w:pPr>
        <w:numPr>
          <w:ilvl w:val="0"/>
          <w:numId w:val="1003"/>
        </w:numPr>
        <w:pStyle w:val="Compact"/>
      </w:pPr>
      <w:r>
        <w:t xml:space="preserve">ambientes de saúde mental ou comunitários;</w:t>
      </w:r>
    </w:p>
    <w:p>
      <w:pPr>
        <w:numPr>
          <w:ilvl w:val="0"/>
          <w:numId w:val="1003"/>
        </w:numPr>
        <w:pStyle w:val="Compact"/>
      </w:pPr>
      <w:r>
        <w:t xml:space="preserve">centros de reabilitação;</w:t>
      </w:r>
    </w:p>
    <w:p>
      <w:pPr>
        <w:numPr>
          <w:ilvl w:val="0"/>
          <w:numId w:val="1003"/>
        </w:numPr>
        <w:pStyle w:val="Compact"/>
      </w:pPr>
      <w:r>
        <w:t xml:space="preserve">programas de apoio a pessoas com deficiência; e</w:t>
      </w:r>
    </w:p>
    <w:p>
      <w:pPr>
        <w:numPr>
          <w:ilvl w:val="0"/>
          <w:numId w:val="1003"/>
        </w:numPr>
        <w:pStyle w:val="Compact"/>
      </w:pPr>
      <w:r>
        <w:t xml:space="preserve">outros locais onde serviços de terapia ocupacional são prestados.</w:t>
      </w:r>
    </w:p>
    <w:p>
      <w:pPr>
        <w:pStyle w:val="FirstParagraph"/>
      </w:pPr>
      <w:r>
        <w:t xml:space="preserve">O trabalho pode envolver permanecer em pé, caminhar, curvar-se, ajoelhar-se, alcançar objetos, manusear equipamentos, ajudar em transferências, proteger pessoas durante mobilidade ou tarefas funcionais e adaptar o ambiente. Alguns cargos incluem documentação frequente, uso de computador, deslocamento entre clientes ou transporte de materiais terapêuticos.</w:t>
      </w:r>
    </w:p>
    <w:p>
      <w:pPr>
        <w:pStyle w:val="BodyText"/>
      </w:pPr>
      <w:r>
        <w:t xml:space="preserve">A condição física, cognitiva, emocional, sensorial ou comportamental de uma pessoa pode mudar inesperadamente. Siga técnicas aprovadas de manejo e peça ajuda quando uma transferência, comportamento, tarefa de alimentação, configuração de equipamento ou outra atividade exceder sua competência ou limites físicos seguros.</w:t>
      </w:r>
    </w:p>
    <w:p>
      <w:pPr>
        <w:pStyle w:val="BodyText"/>
      </w:pPr>
      <w:r>
        <w:t xml:space="preserve">Os horários variam. Hospitais, instituições de enfermagem especializada, saúde domiciliar e alguns ambientes ambulatoriais ou pediátricos podem exigir trabalho noturno, fins de semana, deslocamentos, cargas variáveis ou metas de produtividade.</w:t>
      </w:r>
    </w:p>
    <w:bookmarkEnd w:id="23"/>
    <w:bookmarkStart w:id="24" w:name="Xec39930e61c04b9d0dfa2da01ff9d27d1f62e1a"/>
    <w:p>
      <w:pPr>
        <w:pStyle w:val="Heading2"/>
      </w:pPr>
      <w:r>
        <w:t xml:space="preserve">Habilidades valorizadas pelos empregadores</w:t>
      </w:r>
    </w:p>
    <w:p>
      <w:pPr>
        <w:pStyle w:val="FirstParagraph"/>
      </w:pPr>
      <w:r>
        <w:t xml:space="preserve">Bons assistentes de terapia ocupacional normalmente desenvolvem:</w:t>
      </w:r>
    </w:p>
    <w:p>
      <w:pPr>
        <w:numPr>
          <w:ilvl w:val="0"/>
          <w:numId w:val="1004"/>
        </w:numPr>
        <w:pStyle w:val="Compact"/>
      </w:pPr>
      <w:r>
        <w:t xml:space="preserve">observação cuidadosa e relato preciso;</w:t>
      </w:r>
    </w:p>
    <w:p>
      <w:pPr>
        <w:numPr>
          <w:ilvl w:val="0"/>
          <w:numId w:val="1004"/>
        </w:numPr>
        <w:pStyle w:val="Compact"/>
      </w:pPr>
      <w:r>
        <w:t xml:space="preserve">comunicação paciente e tranquila;</w:t>
      </w:r>
    </w:p>
    <w:p>
      <w:pPr>
        <w:numPr>
          <w:ilvl w:val="0"/>
          <w:numId w:val="1004"/>
        </w:numPr>
        <w:pStyle w:val="Compact"/>
      </w:pPr>
      <w:r>
        <w:t xml:space="preserve">habilidade prática para ensinar e demonstrar;</w:t>
      </w:r>
    </w:p>
    <w:p>
      <w:pPr>
        <w:numPr>
          <w:ilvl w:val="0"/>
          <w:numId w:val="1004"/>
        </w:numPr>
        <w:pStyle w:val="Compact"/>
      </w:pPr>
      <w:r>
        <w:t xml:space="preserve">manejo e posicionamento seguros de pacientes;</w:t>
      </w:r>
    </w:p>
    <w:p>
      <w:pPr>
        <w:numPr>
          <w:ilvl w:val="0"/>
          <w:numId w:val="1004"/>
        </w:numPr>
        <w:pStyle w:val="Compact"/>
      </w:pPr>
      <w:r>
        <w:t xml:space="preserve">empatia sem ultrapassar limites profissionais;</w:t>
      </w:r>
    </w:p>
    <w:p>
      <w:pPr>
        <w:numPr>
          <w:ilvl w:val="0"/>
          <w:numId w:val="1004"/>
        </w:numPr>
        <w:pStyle w:val="Compact"/>
      </w:pPr>
      <w:r>
        <w:t xml:space="preserve">documentação precisa;</w:t>
      </w:r>
    </w:p>
    <w:p>
      <w:pPr>
        <w:numPr>
          <w:ilvl w:val="0"/>
          <w:numId w:val="1004"/>
        </w:numPr>
        <w:pStyle w:val="Compact"/>
      </w:pPr>
      <w:r>
        <w:t xml:space="preserve">trabalho em equipe com terapeutas ocupacionais, enfermeiros, médicos, professores, fonoaudiólogos, fisioterapeutas, assistentes sociais, cuidadores e outros profissionais;</w:t>
      </w:r>
    </w:p>
    <w:p>
      <w:pPr>
        <w:numPr>
          <w:ilvl w:val="0"/>
          <w:numId w:val="1004"/>
        </w:numPr>
        <w:pStyle w:val="Compact"/>
      </w:pPr>
      <w:r>
        <w:t xml:space="preserve">consciência sobre prevenção de infecções;</w:t>
      </w:r>
    </w:p>
    <w:p>
      <w:pPr>
        <w:numPr>
          <w:ilvl w:val="0"/>
          <w:numId w:val="1004"/>
        </w:numPr>
        <w:pStyle w:val="Compact"/>
      </w:pPr>
      <w:r>
        <w:t xml:space="preserve">gestão de tempo e carga de casos;</w:t>
      </w:r>
    </w:p>
    <w:p>
      <w:pPr>
        <w:numPr>
          <w:ilvl w:val="0"/>
          <w:numId w:val="1004"/>
        </w:numPr>
        <w:pStyle w:val="Compact"/>
      </w:pPr>
      <w:r>
        <w:t xml:space="preserve">alfabetização digital básica para prontuários eletrônicos, agendamento, sistemas de apoio à telessaúde ou sistemas educacionais, quando aplicável;</w:t>
      </w:r>
    </w:p>
    <w:p>
      <w:pPr>
        <w:numPr>
          <w:ilvl w:val="0"/>
          <w:numId w:val="1004"/>
        </w:numPr>
        <w:pStyle w:val="Compact"/>
      </w:pPr>
      <w:r>
        <w:t xml:space="preserve">humildade cultural e respeito pelos objetivos e rotinas da pessoa;</w:t>
      </w:r>
    </w:p>
    <w:p>
      <w:pPr>
        <w:numPr>
          <w:ilvl w:val="0"/>
          <w:numId w:val="1004"/>
        </w:numPr>
        <w:pStyle w:val="Compact"/>
      </w:pPr>
      <w:r>
        <w:t xml:space="preserve">consciência sobre barreiras sensoriais, cognitivas, físicas, emocionais e ambientais; e</w:t>
      </w:r>
    </w:p>
    <w:p>
      <w:pPr>
        <w:numPr>
          <w:ilvl w:val="0"/>
          <w:numId w:val="1004"/>
        </w:numPr>
        <w:pStyle w:val="Compact"/>
      </w:pPr>
      <w:r>
        <w:t xml:space="preserve">discernimento para saber quando interromper e escalar uma situação.</w:t>
      </w:r>
    </w:p>
    <w:p>
      <w:pPr>
        <w:pStyle w:val="FirstParagraph"/>
      </w:pPr>
      <w:r>
        <w:t xml:space="preserve">A criatividade também ajuda. A terapia ocupacional frequentemente utiliza tarefas da vida real e atividades significativas, mas a criatividade deve permanecer dentro do plano do terapeuta ocupacional, dos objetivos da pessoa, das evidências disponíveis e do escopo autorizado do assistente.</w:t>
      </w:r>
    </w:p>
    <w:bookmarkEnd w:id="24"/>
    <w:bookmarkStart w:id="25" w:name="Xd37ecf9726bb6c7eb0ff4a76cdf7e5847cd297e"/>
    <w:p>
      <w:pPr>
        <w:pStyle w:val="Heading2"/>
      </w:pPr>
      <w:r>
        <w:t xml:space="preserve">Educação e via de entrada — Estados Unidos</w:t>
      </w:r>
    </w:p>
    <w:p>
      <w:pPr>
        <w:pStyle w:val="FirstParagraph"/>
      </w:pPr>
      <w:r>
        <w:t xml:space="preserve">O U.S. Bureau of Labor Statistics (BLS) informa que occupational therapy assistants normalmente precisam de um associate degree de um programa credenciado de occupational therapy assistant e, em geral, precisam de licença emitida pelo estado.</w:t>
      </w:r>
    </w:p>
    <w:p>
      <w:pPr>
        <w:pStyle w:val="BodyText"/>
      </w:pPr>
      <w:r>
        <w:t xml:space="preserve">O Accreditation Council for Occupational Therapy Education (ACOTE) credencia programas de entrada na profissão de terapia ocupacional e de occupational therapy assistant. O ACOTE informa que a entrada na profissão de OTA pode ocorrer em nível associate ou bachelor. O status de credenciamento pode mudar, portanto confirme a escola exata e o programa OTA exato no diretório atual do ACOTE antes de se matricular.</w:t>
      </w:r>
    </w:p>
    <w:p>
      <w:pPr>
        <w:pStyle w:val="BodyText"/>
      </w:pPr>
      <w:r>
        <w:t xml:space="preserve">Uma sequência prática nos Estados Unidos é:</w:t>
      </w:r>
    </w:p>
    <w:p>
      <w:pPr>
        <w:numPr>
          <w:ilvl w:val="0"/>
          <w:numId w:val="1005"/>
        </w:numPr>
        <w:pStyle w:val="Compact"/>
      </w:pPr>
      <w:r>
        <w:t xml:space="preserve">Revisar vagas locais de OTA e o conselho ou autoridade reguladora de terapia ocupacional do estado onde pretende trabalhar.</w:t>
      </w:r>
    </w:p>
    <w:p>
      <w:pPr>
        <w:numPr>
          <w:ilvl w:val="0"/>
          <w:numId w:val="1005"/>
        </w:numPr>
        <w:pStyle w:val="Compact"/>
      </w:pPr>
      <w:r>
        <w:t xml:space="preserve">Identificar programas OTA credenciados pelo ACOTE e confirmar o status atual de cada programa.</w:t>
      </w:r>
    </w:p>
    <w:p>
      <w:pPr>
        <w:numPr>
          <w:ilvl w:val="0"/>
          <w:numId w:val="1005"/>
        </w:numPr>
        <w:pStyle w:val="Compact"/>
      </w:pPr>
      <w:r>
        <w:t xml:space="preserve">Comparar pré-requisitos, mensalidades, taxas, requisitos de conclusão, estrutura de fieldwork, expectativas de deslocamento, taxas de graduação, preparação para o exame de certificação e custo total.</w:t>
      </w:r>
    </w:p>
    <w:p>
      <w:pPr>
        <w:numPr>
          <w:ilvl w:val="0"/>
          <w:numId w:val="1005"/>
        </w:numPr>
        <w:pStyle w:val="Compact"/>
      </w:pPr>
      <w:r>
        <w:t xml:space="preserve">Solicitar bolsas, grants, ajuda federal estudantil, financiamento de workforce e assistência do empregador antes de depender de empréstimos privados.</w:t>
      </w:r>
    </w:p>
    <w:p>
      <w:pPr>
        <w:numPr>
          <w:ilvl w:val="0"/>
          <w:numId w:val="1005"/>
        </w:numPr>
        <w:pStyle w:val="Compact"/>
      </w:pPr>
      <w:r>
        <w:t xml:space="preserve">Concluir a formação acadêmica e o fieldwork exigido.</w:t>
      </w:r>
    </w:p>
    <w:p>
      <w:pPr>
        <w:numPr>
          <w:ilvl w:val="0"/>
          <w:numId w:val="1005"/>
        </w:numPr>
        <w:pStyle w:val="Compact"/>
      </w:pPr>
      <w:r>
        <w:t xml:space="preserve">Cumprir os requisitos de elegibilidade do NBCOT e solicitar o exame de certificação COTA.</w:t>
      </w:r>
    </w:p>
    <w:p>
      <w:pPr>
        <w:numPr>
          <w:ilvl w:val="0"/>
          <w:numId w:val="1005"/>
        </w:numPr>
        <w:pStyle w:val="Compact"/>
      </w:pPr>
      <w:r>
        <w:t xml:space="preserve">Concluir o processo de licença ou regulamentação estadual exigido na jurisdição onde pretende exercer.</w:t>
      </w:r>
    </w:p>
    <w:p>
      <w:pPr>
        <w:numPr>
          <w:ilvl w:val="0"/>
          <w:numId w:val="1005"/>
        </w:numPr>
        <w:pStyle w:val="Compact"/>
      </w:pPr>
      <w:r>
        <w:t xml:space="preserve">Manter certificação, licença, educação continuada, verificações de antecedentes, CPR/BLS ou outros requisitos aplicáveis à jurisdição e ao empregador.</w:t>
      </w:r>
    </w:p>
    <w:p>
      <w:pPr>
        <w:pStyle w:val="FirstParagraph"/>
      </w:pPr>
      <w:r>
        <w:t xml:space="preserve">Graduação, certificação nacional e licença estadual são etapas relacionadas, mas distintas. Não presuma que concluir uma delas conclui automaticamente as demais.</w:t>
      </w:r>
    </w:p>
    <w:bookmarkEnd w:id="25"/>
    <w:bookmarkStart w:id="26" w:name="Xaf5cf56cafb5194ac5a08274d2078b41e29d2e5"/>
    <w:p>
      <w:pPr>
        <w:pStyle w:val="Heading2"/>
      </w:pPr>
      <w:r>
        <w:t xml:space="preserve">Credenciamento e verificação de programas</w:t>
      </w:r>
    </w:p>
    <w:p>
      <w:pPr>
        <w:pStyle w:val="FirstParagraph"/>
      </w:pPr>
      <w:r>
        <w:t xml:space="preserve">O ACOTE é a agência especializada de credenciamento de programas educacionais de terapia ocupacional e occupational therapy assistant. Seu diretório atual identifica os programas e seus respectivos status.</w:t>
      </w:r>
    </w:p>
    <w:p>
      <w:pPr>
        <w:pStyle w:val="BodyText"/>
      </w:pPr>
      <w:r>
        <w:t xml:space="preserve">Antes de se matricular, confirme:</w:t>
      </w:r>
    </w:p>
    <w:p>
      <w:pPr>
        <w:numPr>
          <w:ilvl w:val="0"/>
          <w:numId w:val="1006"/>
        </w:numPr>
        <w:pStyle w:val="Compact"/>
      </w:pPr>
      <w:r>
        <w:t xml:space="preserve">o status atual do programa exato perante o ACOTE;</w:t>
      </w:r>
    </w:p>
    <w:p>
      <w:pPr>
        <w:numPr>
          <w:ilvl w:val="0"/>
          <w:numId w:val="1006"/>
        </w:numPr>
        <w:pStyle w:val="Compact"/>
      </w:pPr>
      <w:r>
        <w:t xml:space="preserve">se o programa é de nível associate ou bachelor;</w:t>
      </w:r>
    </w:p>
    <w:p>
      <w:pPr>
        <w:numPr>
          <w:ilvl w:val="0"/>
          <w:numId w:val="1006"/>
        </w:numPr>
        <w:pStyle w:val="Compact"/>
      </w:pPr>
      <w:r>
        <w:t xml:space="preserve">a credencial concedida;</w:t>
      </w:r>
    </w:p>
    <w:p>
      <w:pPr>
        <w:numPr>
          <w:ilvl w:val="0"/>
          <w:numId w:val="1006"/>
        </w:numPr>
        <w:pStyle w:val="Compact"/>
      </w:pPr>
      <w:r>
        <w:t xml:space="preserve">se o programa satisfaz a via educacional para a jurisdição onde pretende solicitar licença;</w:t>
      </w:r>
    </w:p>
    <w:p>
      <w:pPr>
        <w:numPr>
          <w:ilvl w:val="0"/>
          <w:numId w:val="1006"/>
        </w:numPr>
        <w:pStyle w:val="Compact"/>
      </w:pPr>
      <w:r>
        <w:t xml:space="preserve">mensalidades e taxas institucionais obrigatórias;</w:t>
      </w:r>
    </w:p>
    <w:p>
      <w:pPr>
        <w:numPr>
          <w:ilvl w:val="0"/>
          <w:numId w:val="1006"/>
        </w:numPr>
        <w:pStyle w:val="Compact"/>
      </w:pPr>
      <w:r>
        <w:t xml:space="preserve">livros, uniformes, materiais de laboratório, verificações de antecedentes, testes de drogas, vacinas, CPR/BLS, tecnologia, transporte e custos de fieldwork;</w:t>
      </w:r>
    </w:p>
    <w:p>
      <w:pPr>
        <w:numPr>
          <w:ilvl w:val="0"/>
          <w:numId w:val="1006"/>
        </w:numPr>
        <w:pStyle w:val="Compact"/>
      </w:pPr>
      <w:r>
        <w:t xml:space="preserve">se o fieldwork pode exigir deslocamentos ou mudanças de horário;</w:t>
      </w:r>
    </w:p>
    <w:p>
      <w:pPr>
        <w:numPr>
          <w:ilvl w:val="0"/>
          <w:numId w:val="1006"/>
        </w:numPr>
        <w:pStyle w:val="Compact"/>
      </w:pPr>
      <w:r>
        <w:t xml:space="preserve">se o programa publica resultados de conclusão e do exame NBCOT;</w:t>
      </w:r>
    </w:p>
    <w:p>
      <w:pPr>
        <w:numPr>
          <w:ilvl w:val="0"/>
          <w:numId w:val="1006"/>
        </w:numPr>
        <w:pStyle w:val="Compact"/>
      </w:pPr>
      <w:r>
        <w:t xml:space="preserve">procedimentos de acessibilidade e acomodações para provas;</w:t>
      </w:r>
    </w:p>
    <w:p>
      <w:pPr>
        <w:numPr>
          <w:ilvl w:val="0"/>
          <w:numId w:val="1006"/>
        </w:numPr>
        <w:pStyle w:val="Compact"/>
      </w:pPr>
      <w:r>
        <w:t xml:space="preserve">políticas de reembolso e desistência; e</w:t>
      </w:r>
    </w:p>
    <w:p>
      <w:pPr>
        <w:numPr>
          <w:ilvl w:val="0"/>
          <w:numId w:val="1006"/>
        </w:numPr>
        <w:pStyle w:val="Compact"/>
      </w:pPr>
      <w:r>
        <w:t xml:space="preserve">se os créditos podem ser transferidos caso você prossiga para estudos adicionais.</w:t>
      </w:r>
    </w:p>
    <w:p>
      <w:pPr>
        <w:pStyle w:val="FirstParagraph"/>
      </w:pPr>
      <w:r>
        <w:t xml:space="preserve">Não dependa apenas da publicidade de uma escola. Um programa pode usar palavras como occupational therapy, rehabilitation, therapy assistant, health sciences ou allied health sem ser um programa OTA credenciado pelo ACOTE.</w:t>
      </w:r>
    </w:p>
    <w:bookmarkEnd w:id="26"/>
    <w:bookmarkStart w:id="27" w:name="X5133e0c3764c0120ef324b66b9e7f19c1e0ea32"/>
    <w:p>
      <w:pPr>
        <w:pStyle w:val="Heading2"/>
      </w:pPr>
      <w:r>
        <w:t xml:space="preserve">Certificação NBCOT e licença estadual — Estados Unidos</w:t>
      </w:r>
    </w:p>
    <w:p>
      <w:pPr>
        <w:pStyle w:val="FirstParagraph"/>
      </w:pPr>
      <w:r>
        <w:t xml:space="preserve">O National Board for Certification in Occupational Therapy (NBCOT) administra o exame nacional de certificação para profissionais de terapia ocupacional. Para um candidato COTA formado nos Estados Unidos, o NBCOT informa que a pessoa deve se graduar em um programa de occupational therapy assistant credenciado pelo ACOTE.</w:t>
      </w:r>
    </w:p>
    <w:p>
      <w:pPr>
        <w:pStyle w:val="BodyText"/>
      </w:pPr>
      <w:r>
        <w:t xml:space="preserve">A aprovação no exame NBCOT e o cumprimento dos requisitos de certificação levam à credencial</w:t>
      </w:r>
      <w:r>
        <w:t xml:space="preserve"> </w:t>
      </w:r>
      <w:r>
        <w:rPr>
          <w:bCs/>
          <w:b/>
        </w:rPr>
        <w:t xml:space="preserve">Certified Occupational Therapy Assistant (COTA®)</w:t>
      </w:r>
      <w:r>
        <w:t xml:space="preserve">. A certificação não substitui a licença estadual. O NBCOT orienta os candidatos a cumprir todos os requisitos da jurisdição onde pretendem exercer.</w:t>
      </w:r>
    </w:p>
    <w:p>
      <w:pPr>
        <w:pStyle w:val="BodyText"/>
      </w:pPr>
      <w:r>
        <w:t xml:space="preserve">O NBCOT descreve a relação profissional OTR/COTA como colaborativa. O terapeuta ocupacional avalia a pessoa, planeja intervenções terapêuticas e conclui documentos de alta. O COTA implementa e documenta intervenções terapêuticas e fornece ao terapeuta ocupacional retorno sobre o progresso.</w:t>
      </w:r>
    </w:p>
    <w:p>
      <w:pPr>
        <w:pStyle w:val="BodyText"/>
      </w:pPr>
      <w:r>
        <w:t xml:space="preserve">Antes de agendar o exame de certificação, consulte o manual atual do NBCOT para verificar:</w:t>
      </w:r>
    </w:p>
    <w:p>
      <w:pPr>
        <w:numPr>
          <w:ilvl w:val="0"/>
          <w:numId w:val="1007"/>
        </w:numPr>
        <w:pStyle w:val="Compact"/>
      </w:pPr>
      <w:r>
        <w:t xml:space="preserve">elegibilidade;</w:t>
      </w:r>
    </w:p>
    <w:p>
      <w:pPr>
        <w:numPr>
          <w:ilvl w:val="0"/>
          <w:numId w:val="1007"/>
        </w:numPr>
        <w:pStyle w:val="Compact"/>
      </w:pPr>
      <w:r>
        <w:t xml:space="preserve">procedimentos de inscrição;</w:t>
      </w:r>
    </w:p>
    <w:p>
      <w:pPr>
        <w:numPr>
          <w:ilvl w:val="0"/>
          <w:numId w:val="1007"/>
        </w:numPr>
        <w:pStyle w:val="Compact"/>
      </w:pPr>
      <w:r>
        <w:t xml:space="preserve">taxas atuais do exame;</w:t>
      </w:r>
    </w:p>
    <w:p>
      <w:pPr>
        <w:numPr>
          <w:ilvl w:val="0"/>
          <w:numId w:val="1007"/>
        </w:numPr>
        <w:pStyle w:val="Compact"/>
      </w:pPr>
      <w:r>
        <w:t xml:space="preserve">acomodações de teste;</w:t>
      </w:r>
    </w:p>
    <w:p>
      <w:pPr>
        <w:numPr>
          <w:ilvl w:val="0"/>
          <w:numId w:val="1007"/>
        </w:numPr>
        <w:pStyle w:val="Compact"/>
      </w:pPr>
      <w:r>
        <w:t xml:space="preserve">requisitos de identificação;</w:t>
      </w:r>
    </w:p>
    <w:p>
      <w:pPr>
        <w:numPr>
          <w:ilvl w:val="0"/>
          <w:numId w:val="1007"/>
        </w:numPr>
        <w:pStyle w:val="Compact"/>
      </w:pPr>
      <w:r>
        <w:t xml:space="preserve">regras de agendamento e centros de prova;</w:t>
      </w:r>
    </w:p>
    <w:p>
      <w:pPr>
        <w:numPr>
          <w:ilvl w:val="0"/>
          <w:numId w:val="1007"/>
        </w:numPr>
        <w:pStyle w:val="Compact"/>
      </w:pPr>
      <w:r>
        <w:t xml:space="preserve">regras de reagendamento ou cancelamento;</w:t>
      </w:r>
    </w:p>
    <w:p>
      <w:pPr>
        <w:numPr>
          <w:ilvl w:val="0"/>
          <w:numId w:val="1007"/>
        </w:numPr>
        <w:pStyle w:val="Compact"/>
      </w:pPr>
      <w:r>
        <w:t xml:space="preserve">regras para nova tentativa; e</w:t>
      </w:r>
    </w:p>
    <w:p>
      <w:pPr>
        <w:numPr>
          <w:ilvl w:val="0"/>
          <w:numId w:val="1007"/>
        </w:numPr>
        <w:pStyle w:val="Compact"/>
      </w:pPr>
      <w:r>
        <w:t xml:space="preserve">comunicação de resultados.</w:t>
      </w:r>
    </w:p>
    <w:p>
      <w:pPr>
        <w:pStyle w:val="FirstParagraph"/>
      </w:pPr>
      <w:r>
        <w:t xml:space="preserve">Depois, verifique os requisitos específicos do estado junto ao conselho correspondente. Eles podem incluir taxas de solicitação, verificações de antecedentes, requisitos de jurisprudência, licenças temporárias, educação continuada, regras de supervisão e procedimentos de renovação.</w:t>
      </w:r>
    </w:p>
    <w:bookmarkEnd w:id="27"/>
    <w:bookmarkStart w:id="28" w:name="X9aeb9cef7b41a0eb28a983015a684c9ce0bff00"/>
    <w:p>
      <w:pPr>
        <w:pStyle w:val="Heading2"/>
      </w:pPr>
      <w:r>
        <w:t xml:space="preserve">Renda e perspectivas — dados oficiais dos Estados Unidos</w:t>
      </w:r>
    </w:p>
    <w:p>
      <w:pPr>
        <w:pStyle w:val="FirstParagraph"/>
      </w:pPr>
      <w:r>
        <w:t xml:space="preserve">O U.S. Bureau of Labor Statistics informa os seguintes dados para occupational therapy assistants:</w:t>
      </w:r>
    </w:p>
    <w:p>
      <w:pPr>
        <w:numPr>
          <w:ilvl w:val="0"/>
          <w:numId w:val="1008"/>
        </w:numPr>
        <w:pStyle w:val="Compact"/>
      </w:pPr>
      <w:r>
        <w:rPr>
          <w:bCs/>
          <w:b/>
        </w:rPr>
        <w:t xml:space="preserve">Salário anual mediano, maio de 2024: USD $68,340</w:t>
      </w:r>
    </w:p>
    <w:p>
      <w:pPr>
        <w:numPr>
          <w:ilvl w:val="0"/>
          <w:numId w:val="1008"/>
        </w:numPr>
        <w:pStyle w:val="Compact"/>
      </w:pPr>
      <w:r>
        <w:rPr>
          <w:bCs/>
          <w:b/>
        </w:rPr>
        <w:t xml:space="preserve">Emprego em 2024: cerca de 49.200 postos OTA</w:t>
      </w:r>
    </w:p>
    <w:p>
      <w:pPr>
        <w:numPr>
          <w:ilvl w:val="0"/>
          <w:numId w:val="1008"/>
        </w:numPr>
        <w:pStyle w:val="Compact"/>
      </w:pPr>
      <w:r>
        <w:rPr>
          <w:bCs/>
          <w:b/>
        </w:rPr>
        <w:t xml:space="preserve">Emprego OTA projetado para 2034: cerca de 58.700 postos</w:t>
      </w:r>
    </w:p>
    <w:p>
      <w:pPr>
        <w:numPr>
          <w:ilvl w:val="0"/>
          <w:numId w:val="1008"/>
        </w:numPr>
        <w:pStyle w:val="Compact"/>
      </w:pPr>
      <w:r>
        <w:rPr>
          <w:bCs/>
          <w:b/>
        </w:rPr>
        <w:t xml:space="preserve">Crescimento projetado do emprego OTA, 2024–2034: 19%</w:t>
      </w:r>
    </w:p>
    <w:p>
      <w:pPr>
        <w:pStyle w:val="FirstParagraph"/>
      </w:pPr>
      <w:r>
        <w:t xml:space="preserve">O BLS informa os seguintes salários anuais medianos de maio de 2024 nas principais indústrias para OTA:</w:t>
      </w:r>
    </w:p>
    <w:p>
      <w:pPr>
        <w:numPr>
          <w:ilvl w:val="0"/>
          <w:numId w:val="1009"/>
        </w:numPr>
        <w:pStyle w:val="Compact"/>
      </w:pPr>
      <w:r>
        <w:t xml:space="preserve">Serviços de saúde domiciliar:</w:t>
      </w:r>
      <w:r>
        <w:t xml:space="preserve"> </w:t>
      </w:r>
      <w:r>
        <w:rPr>
          <w:bCs/>
          <w:b/>
        </w:rPr>
        <w:t xml:space="preserve">$76,800</w:t>
      </w:r>
    </w:p>
    <w:p>
      <w:pPr>
        <w:numPr>
          <w:ilvl w:val="0"/>
          <w:numId w:val="1009"/>
        </w:numPr>
        <w:pStyle w:val="Compact"/>
      </w:pPr>
      <w:r>
        <w:t xml:space="preserve">Instituições de enfermagem:</w:t>
      </w:r>
      <w:r>
        <w:t xml:space="preserve"> </w:t>
      </w:r>
      <w:r>
        <w:rPr>
          <w:bCs/>
          <w:b/>
        </w:rPr>
        <w:t xml:space="preserve">$75,860</w:t>
      </w:r>
    </w:p>
    <w:p>
      <w:pPr>
        <w:numPr>
          <w:ilvl w:val="0"/>
          <w:numId w:val="1009"/>
        </w:numPr>
        <w:pStyle w:val="Compact"/>
      </w:pPr>
      <w:r>
        <w:t xml:space="preserve">Consultórios de terapeutas físicos, ocupacionais e da fala e audiologistas:</w:t>
      </w:r>
      <w:r>
        <w:t xml:space="preserve"> </w:t>
      </w:r>
      <w:r>
        <w:rPr>
          <w:bCs/>
          <w:b/>
        </w:rPr>
        <w:t xml:space="preserve">$65,590</w:t>
      </w:r>
    </w:p>
    <w:p>
      <w:pPr>
        <w:numPr>
          <w:ilvl w:val="0"/>
          <w:numId w:val="1009"/>
        </w:numPr>
        <w:pStyle w:val="Compact"/>
      </w:pPr>
      <w:r>
        <w:t xml:space="preserve">Hospitais:</w:t>
      </w:r>
      <w:r>
        <w:t xml:space="preserve"> </w:t>
      </w:r>
      <w:r>
        <w:rPr>
          <w:bCs/>
          <w:b/>
        </w:rPr>
        <w:t xml:space="preserve">$65,280</w:t>
      </w:r>
    </w:p>
    <w:p>
      <w:pPr>
        <w:numPr>
          <w:ilvl w:val="0"/>
          <w:numId w:val="1009"/>
        </w:numPr>
        <w:pStyle w:val="Compact"/>
      </w:pPr>
      <w:r>
        <w:t xml:space="preserve">Serviços educacionais:</w:t>
      </w:r>
      <w:r>
        <w:t xml:space="preserve"> </w:t>
      </w:r>
      <w:r>
        <w:rPr>
          <w:bCs/>
          <w:b/>
        </w:rPr>
        <w:t xml:space="preserve">$59,240</w:t>
      </w:r>
    </w:p>
    <w:p>
      <w:pPr>
        <w:pStyle w:val="FirstParagraph"/>
      </w:pPr>
      <w:r>
        <w:t xml:space="preserve">Esses são dados nacionais, não salários iniciais prometidos. A remuneração real varia por local, experiência, empregador, horário, horas trabalhadas, ambiente, situação sindical, sistema de reembolso e demanda do mercado local.</w:t>
      </w:r>
    </w:p>
    <w:bookmarkEnd w:id="28"/>
    <w:bookmarkStart w:id="29" w:name="Xf8f06210143de18fd14ab0aadee433223847890"/>
    <w:p>
      <w:pPr>
        <w:pStyle w:val="Heading2"/>
      </w:pPr>
      <w:r>
        <w:t xml:space="preserve">Estimativa salarial privada atual — manter separada dos dados oficiais</w:t>
      </w:r>
    </w:p>
    <w:p>
      <w:pPr>
        <w:pStyle w:val="FirstParagraph"/>
      </w:pPr>
      <w:r>
        <w:t xml:space="preserve">Salary.com informou um salário médio nos Estados Unidos para Occupational Therapy Assistant de aproximadamente</w:t>
      </w:r>
      <w:r>
        <w:t xml:space="preserve"> </w:t>
      </w:r>
      <w:r>
        <w:rPr>
          <w:bCs/>
          <w:b/>
        </w:rPr>
        <w:t xml:space="preserve">USD $62,501 por ano / $30 por hora em 1º de agosto de 2026</w:t>
      </w:r>
      <w:r>
        <w:t xml:space="preserve">, com faixa declarada entre os percentis 25 e 75 de aproximadamente</w:t>
      </w:r>
      <w:r>
        <w:t xml:space="preserve"> </w:t>
      </w:r>
      <w:r>
        <w:rPr>
          <w:bCs/>
          <w:b/>
        </w:rPr>
        <w:t xml:space="preserve">$56,882–$68,464</w:t>
      </w:r>
      <w:r>
        <w:t xml:space="preserve">.</w:t>
      </w:r>
    </w:p>
    <w:p>
      <w:pPr>
        <w:pStyle w:val="BodyText"/>
      </w:pPr>
      <w:r>
        <w:t xml:space="preserve">Essa é uma estimativa comercial de mercado, não um dado salarial governamental. Mantenha-a separada da mediana do BLS e não a apresente como salário garantido.</w:t>
      </w:r>
    </w:p>
    <w:bookmarkEnd w:id="29"/>
    <w:bookmarkStart w:id="31" w:name="Xe9e2c8054de3cb480a0b4e868e2df5be42c6b7d"/>
    <w:p>
      <w:pPr>
        <w:pStyle w:val="Heading2"/>
      </w:pPr>
      <w:r>
        <w:t xml:space="preserve">Canadá — título relacionado, grupo ocupacional mais amplo</w:t>
      </w:r>
    </w:p>
    <w:p>
      <w:pPr>
        <w:pStyle w:val="FirstParagraph"/>
      </w:pPr>
      <w:r>
        <w:t xml:space="preserve">O Job Bank do Canadá mapeia</w:t>
      </w:r>
      <w:r>
        <w:t xml:space="preserve"> </w:t>
      </w:r>
      <w:r>
        <w:rPr>
          <w:bCs/>
          <w:b/>
        </w:rPr>
        <w:t xml:space="preserve">occupational therapy assistant</w:t>
      </w:r>
      <w:r>
        <w:t xml:space="preserve"> </w:t>
      </w:r>
      <w:r>
        <w:t xml:space="preserve">dentro do</w:t>
      </w:r>
      <w:r>
        <w:t xml:space="preserve"> </w:t>
      </w:r>
      <w:r>
        <w:rPr>
          <w:bCs/>
          <w:b/>
        </w:rPr>
        <w:t xml:space="preserve">NOC 32109 — Other technical occupations in therapy and assessment</w:t>
      </w:r>
      <w:r>
        <w:t xml:space="preserve">. O grupo NOC inclui várias ocupações técnicas de terapia e avaliação e pode incluir trabalhadores que auxiliam terapeutas ocupacionais, fisioterapeutas, fonoaudiólogos, audiologistas e outros profissionais.</w:t>
      </w:r>
    </w:p>
    <w:p>
      <w:pPr>
        <w:pStyle w:val="BodyText"/>
      </w:pPr>
      <w:r>
        <w:t xml:space="preserve">O Job Bank descreve o grupo amplo como normalmente exigindo preparação de nível college ou apprenticeship, mas esse resumo do grupo não constitui uma regra nacional única de credencial para todos os cargos de occupational therapy assistant.</w:t>
      </w:r>
    </w:p>
    <w:p>
      <w:pPr>
        <w:pStyle w:val="BodyText"/>
      </w:pPr>
      <w:r>
        <w:t xml:space="preserve">Verifique:</w:t>
      </w:r>
    </w:p>
    <w:p>
      <w:pPr>
        <w:numPr>
          <w:ilvl w:val="0"/>
          <w:numId w:val="1010"/>
        </w:numPr>
        <w:pStyle w:val="Compact"/>
      </w:pPr>
      <w:r>
        <w:t xml:space="preserve">os requisitos educacionais exatos do empregador;</w:t>
      </w:r>
    </w:p>
    <w:p>
      <w:pPr>
        <w:numPr>
          <w:ilvl w:val="0"/>
          <w:numId w:val="1010"/>
        </w:numPr>
        <w:pStyle w:val="Compact"/>
      </w:pPr>
      <w:r>
        <w:t xml:space="preserve">a província ou território;</w:t>
      </w:r>
    </w:p>
    <w:p>
      <w:pPr>
        <w:numPr>
          <w:ilvl w:val="0"/>
          <w:numId w:val="1010"/>
        </w:numPr>
        <w:pStyle w:val="Compact"/>
      </w:pPr>
      <w:r>
        <w:t xml:space="preserve">se o cargo é exclusivamente OTA, combinado OT/PT assistant, rehabilitation assistant ou outra ocupação do NOC 32109;</w:t>
      </w:r>
    </w:p>
    <w:p>
      <w:pPr>
        <w:numPr>
          <w:ilvl w:val="0"/>
          <w:numId w:val="1010"/>
        </w:numPr>
        <w:pStyle w:val="Compact"/>
      </w:pPr>
      <w:r>
        <w:t xml:space="preserve">funções e supervisão;</w:t>
      </w:r>
    </w:p>
    <w:p>
      <w:pPr>
        <w:numPr>
          <w:ilvl w:val="0"/>
          <w:numId w:val="1010"/>
        </w:numPr>
        <w:pStyle w:val="Compact"/>
      </w:pPr>
      <w:r>
        <w:t xml:space="preserve">se um regulador provincial ou o empregador impõe requisitos adicionais;</w:t>
      </w:r>
    </w:p>
    <w:p>
      <w:pPr>
        <w:numPr>
          <w:ilvl w:val="0"/>
          <w:numId w:val="1010"/>
        </w:numPr>
        <w:pStyle w:val="Compact"/>
      </w:pPr>
      <w:r>
        <w:t xml:space="preserve">requisitos de idioma; e</w:t>
      </w:r>
    </w:p>
    <w:p>
      <w:pPr>
        <w:numPr>
          <w:ilvl w:val="0"/>
          <w:numId w:val="1010"/>
        </w:numPr>
        <w:pStyle w:val="Compact"/>
      </w:pPr>
      <w:r>
        <w:t xml:space="preserve">autorização de trabalho.</w:t>
      </w:r>
    </w:p>
    <w:p>
      <w:pPr>
        <w:pStyle w:val="FirstParagraph"/>
      </w:pPr>
      <w:r>
        <w:t xml:space="preserve">Uma credencial COTA dos Estados Unidos não cria automaticamente reconhecimento, licença, registro ou elegibilidade de emprego no Canadá.</w:t>
      </w:r>
    </w:p>
    <w:bookmarkStart w:id="30" w:name="evidência-salarial-do-canadá"/>
    <w:p>
      <w:pPr>
        <w:pStyle w:val="Heading3"/>
      </w:pPr>
      <w:r>
        <w:t xml:space="preserve">Evidência salarial do Canadá</w:t>
      </w:r>
    </w:p>
    <w:p>
      <w:pPr>
        <w:pStyle w:val="FirstParagraph"/>
      </w:pPr>
      <w:r>
        <w:t xml:space="preserve">O Government of Canada Job Bank informa os seguintes salários horários nacionais para occupational therapy assistant / NOC 32109:</w:t>
      </w:r>
    </w:p>
    <w:p>
      <w:pPr>
        <w:numPr>
          <w:ilvl w:val="0"/>
          <w:numId w:val="1011"/>
        </w:numPr>
        <w:pStyle w:val="Compact"/>
      </w:pPr>
      <w:r>
        <w:rPr>
          <w:bCs/>
          <w:b/>
        </w:rPr>
        <w:t xml:space="preserve">Baixo: CAD $17.62/hora</w:t>
      </w:r>
    </w:p>
    <w:p>
      <w:pPr>
        <w:numPr>
          <w:ilvl w:val="0"/>
          <w:numId w:val="1011"/>
        </w:numPr>
        <w:pStyle w:val="Compact"/>
      </w:pPr>
      <w:r>
        <w:rPr>
          <w:bCs/>
          <w:b/>
        </w:rPr>
        <w:t xml:space="preserve">Mediano: CAD $26.85/hora</w:t>
      </w:r>
    </w:p>
    <w:p>
      <w:pPr>
        <w:numPr>
          <w:ilvl w:val="0"/>
          <w:numId w:val="1011"/>
        </w:numPr>
        <w:pStyle w:val="Compact"/>
      </w:pPr>
      <w:r>
        <w:rPr>
          <w:bCs/>
          <w:b/>
        </w:rPr>
        <w:t xml:space="preserve">Alto: CAD $36.71/hora</w:t>
      </w:r>
    </w:p>
    <w:p>
      <w:pPr>
        <w:pStyle w:val="FirstParagraph"/>
      </w:pPr>
      <w:r>
        <w:t xml:space="preserve">O Job Bank informa que esses salários foram atualizados em 19 de novembro de 2025 e usam o período de referência 2023–2024 da Labour Force Survey. O Job Bank também informa que</w:t>
      </w:r>
      <w:r>
        <w:t xml:space="preserve"> </w:t>
      </w:r>
      <w:r>
        <w:rPr>
          <w:bCs/>
          <w:b/>
        </w:rPr>
        <w:t xml:space="preserve">78,8%</w:t>
      </w:r>
      <w:r>
        <w:t xml:space="preserve"> </w:t>
      </w:r>
      <w:r>
        <w:t xml:space="preserve">dos trabalhadores no grupo NOC 32109 recebem pelo menos um benefício não salarial.</w:t>
      </w:r>
    </w:p>
    <w:p>
      <w:pPr>
        <w:pStyle w:val="BodyText"/>
      </w:pPr>
      <w:r>
        <w:t xml:space="preserve">As perspectivas variam por região. O Job Bank informa perspectiva</w:t>
      </w:r>
      <w:r>
        <w:t xml:space="preserve"> </w:t>
      </w:r>
      <w:r>
        <w:rPr>
          <w:bCs/>
          <w:b/>
        </w:rPr>
        <w:t xml:space="preserve">Good</w:t>
      </w:r>
      <w:r>
        <w:t xml:space="preserve"> </w:t>
      </w:r>
      <w:r>
        <w:t xml:space="preserve">para NOC 32109 em Ontario para 2025–2027, mas isso não deve ser generalizado para todas as províncias, cidades ou títulos exatos.</w:t>
      </w:r>
    </w:p>
    <w:bookmarkEnd w:id="30"/>
    <w:bookmarkEnd w:id="31"/>
    <w:bookmarkStart w:id="32" w:name="X83927bac57c4cc66e8497ee0fee2b121b0709d4"/>
    <w:p>
      <w:pPr>
        <w:pStyle w:val="Heading2"/>
      </w:pPr>
      <w:r>
        <w:t xml:space="preserve">Colômbia — não traduza um OTA dos Estados Unidos como o título profissional regulado</w:t>
      </w:r>
    </w:p>
    <w:p>
      <w:pPr>
        <w:pStyle w:val="FirstParagraph"/>
      </w:pPr>
      <w:r>
        <w:t xml:space="preserve">A Colômbia regula</w:t>
      </w:r>
      <w:r>
        <w:t xml:space="preserve"> </w:t>
      </w:r>
      <w:r>
        <w:rPr>
          <w:bCs/>
          <w:b/>
        </w:rPr>
        <w:t xml:space="preserve">Terapia Ocupacional</w:t>
      </w:r>
      <w:r>
        <w:t xml:space="preserve"> </w:t>
      </w:r>
      <w:r>
        <w:t xml:space="preserve">como profissão universitária pela</w:t>
      </w:r>
      <w:r>
        <w:t xml:space="preserve"> </w:t>
      </w:r>
      <w:r>
        <w:rPr>
          <w:bCs/>
          <w:b/>
        </w:rPr>
        <w:t xml:space="preserve">Ley 949 de 2005</w:t>
      </w:r>
      <w:r>
        <w:t xml:space="preserve">.</w:t>
      </w:r>
    </w:p>
    <w:p>
      <w:pPr>
        <w:pStyle w:val="BodyText"/>
      </w:pPr>
      <w:r>
        <w:t xml:space="preserve">A lei define terapia ocupacional como profissão liberal de formação universitária e atribui responsabilidades profissionais ao</w:t>
      </w:r>
      <w:r>
        <w:t xml:space="preserve"> </w:t>
      </w:r>
      <w:r>
        <w:rPr>
          <w:rStyle w:val="VerbatimChar"/>
        </w:rPr>
        <w:t xml:space="preserve">Terapeuta Ocupacional</w:t>
      </w:r>
      <w:r>
        <w:t xml:space="preserve">. O artigo 22 estabelece que avaliação de terapia ocupacional, diagnóstico ou planejamento de ação envolvendo usuários dos serviços não pode ser delegado pelo terapeuta ocupacional a técnicos, tecnólogos ou outras pessoas que não tenham competência legal. O artigo 35 estabelece requisitos de título e tarjeta profesional para o exercício legal como</w:t>
      </w:r>
      <w:r>
        <w:t xml:space="preserve"> </w:t>
      </w:r>
      <w:r>
        <w:rPr>
          <w:rStyle w:val="VerbatimChar"/>
        </w:rPr>
        <w:t xml:space="preserve">Terapeuta Ocupacional</w:t>
      </w:r>
      <w:r>
        <w:t xml:space="preserve"> </w:t>
      </w:r>
      <w:r>
        <w:t xml:space="preserve">na Colômbia, incluindo convalidação quando aplicável.</w:t>
      </w:r>
    </w:p>
    <w:p>
      <w:pPr>
        <w:pStyle w:val="BodyText"/>
      </w:pPr>
      <w:r>
        <w:t xml:space="preserve">Portanto:</w:t>
      </w:r>
    </w:p>
    <w:p>
      <w:pPr>
        <w:numPr>
          <w:ilvl w:val="0"/>
          <w:numId w:val="1012"/>
        </w:numPr>
        <w:pStyle w:val="Compact"/>
      </w:pPr>
      <w:r>
        <w:t xml:space="preserve">não traduza um</w:t>
      </w:r>
      <w:r>
        <w:t xml:space="preserve"> </w:t>
      </w:r>
      <w:r>
        <w:rPr>
          <w:bCs/>
          <w:b/>
        </w:rPr>
        <w:t xml:space="preserve">Occupational Therapy Assistant</w:t>
      </w:r>
      <w:r>
        <w:t xml:space="preserve">,</w:t>
      </w:r>
      <w:r>
        <w:t xml:space="preserve"> </w:t>
      </w:r>
      <w:r>
        <w:rPr>
          <w:bCs/>
          <w:b/>
        </w:rPr>
        <w:t xml:space="preserve">OTA</w:t>
      </w:r>
      <w:r>
        <w:t xml:space="preserve"> </w:t>
      </w:r>
      <w:r>
        <w:t xml:space="preserve">ou</w:t>
      </w:r>
      <w:r>
        <w:t xml:space="preserve"> </w:t>
      </w:r>
      <w:r>
        <w:rPr>
          <w:bCs/>
          <w:b/>
        </w:rPr>
        <w:t xml:space="preserve">COTA</w:t>
      </w:r>
      <w:r>
        <w:t xml:space="preserve"> </w:t>
      </w:r>
      <w:r>
        <w:t xml:space="preserve">dos Estados Unidos como se a pessoa fosse um</w:t>
      </w:r>
      <w:r>
        <w:t xml:space="preserve"> </w:t>
      </w:r>
      <w:r>
        <w:rPr>
          <w:bCs/>
          <w:b/>
        </w:rPr>
        <w:t xml:space="preserve">Terapeuta Ocupacional</w:t>
      </w:r>
      <w:r>
        <w:t xml:space="preserve"> </w:t>
      </w:r>
      <w:r>
        <w:t xml:space="preserve">colombiano;</w:t>
      </w:r>
    </w:p>
    <w:p>
      <w:pPr>
        <w:numPr>
          <w:ilvl w:val="0"/>
          <w:numId w:val="1012"/>
        </w:numPr>
        <w:pStyle w:val="Compact"/>
      </w:pPr>
      <w:r>
        <w:t xml:space="preserve">não presuma que uma credencial assistencial dos Estados Unidos autoriza o escopo profissional colombiano;</w:t>
      </w:r>
    </w:p>
    <w:p>
      <w:pPr>
        <w:numPr>
          <w:ilvl w:val="0"/>
          <w:numId w:val="1012"/>
        </w:numPr>
        <w:pStyle w:val="Compact"/>
      </w:pPr>
      <w:r>
        <w:t xml:space="preserve">não presuma que um programa colombiano técnico, tecnológico, de cuidador, apoio à reabilitação ou apoio em saúde seja equivalente a um programa OTA dos Estados Unidos credenciado pelo ACOTE; e</w:t>
      </w:r>
    </w:p>
    <w:p>
      <w:pPr>
        <w:numPr>
          <w:ilvl w:val="0"/>
          <w:numId w:val="1012"/>
        </w:numPr>
        <w:pStyle w:val="Compact"/>
      </w:pPr>
      <w:r>
        <w:t xml:space="preserve">verifique os requisitos educacionais e profissionais colombianos com as autoridades competentes antes de tomar decisões sobre matrícula ou prática.</w:t>
      </w:r>
    </w:p>
    <w:p>
      <w:pPr>
        <w:pStyle w:val="FirstParagraph"/>
      </w:pPr>
      <w:r>
        <w:t xml:space="preserve">Pessoas que exploram trabalho relacionado à reabilitação na Colômbia devem distinguir entre a profissão universitária regulada, trabalho técnico ou auxiliar de apoio, funções de apoio à deficiência, apoio em serviços de saúde, apoio educacional e funções de reabilitação específicas de empregadores.</w:t>
      </w:r>
    </w:p>
    <w:bookmarkEnd w:id="32"/>
    <w:bookmarkStart w:id="33" w:name="Xa6ea212c69f7bf4d70ed4f90b1032afde9cd204"/>
    <w:p>
      <w:pPr>
        <w:pStyle w:val="Heading2"/>
      </w:pPr>
      <w:r>
        <w:t xml:space="preserve">Exploração de formação pública na Colômbia e América Latina</w:t>
      </w:r>
    </w:p>
    <w:p>
      <w:pPr>
        <w:pStyle w:val="FirstParagraph"/>
      </w:pPr>
      <w:r>
        <w:t xml:space="preserve">O SENA e o Ministério da Educação da Colômbia são pontos de partida úteis para explorar educação pública e reconhecida. A disponibilidade de programas varia por região e período de inscrições.</w:t>
      </w:r>
    </w:p>
    <w:p>
      <w:pPr>
        <w:pStyle w:val="BodyText"/>
      </w:pPr>
      <w:r>
        <w:t xml:space="preserve">O SENA pode oferecer formação adjacente em áreas como serviços de saúde, apoio à deficiência, cuidado, atividade física, segurança e saúde no trabalho, serviços comunitários ou outros campos práticos. Essas podem ser carreiras úteis por si próprias, mas não devem ser apresentadas como a profissão regulada colombiana de terapia ocupacional a menos que a autoridade competente confirme essa condição.</w:t>
      </w:r>
    </w:p>
    <w:p>
      <w:pPr>
        <w:pStyle w:val="BodyText"/>
      </w:pPr>
      <w:r>
        <w:t xml:space="preserve">Na América Latina, títulos como terapeuta ocupacional, assistente de terapia, técnico de reabilitação, auxiliar de reabilitação e técnico de saúde não têm significado jurídico uniforme. Use ministérios nacionais, serviços públicos de formação, órgãos profissionais, universidades e instituições vocacionais reconhecidas para verificar cada país separadamente.</w:t>
      </w:r>
    </w:p>
    <w:bookmarkEnd w:id="33"/>
    <w:bookmarkStart w:id="37" w:name="X7df424128c0d621e6074b1ebaf1cc3a3b7c7b89"/>
    <w:p>
      <w:pPr>
        <w:pStyle w:val="Heading2"/>
      </w:pPr>
      <w:r>
        <w:t xml:space="preserve">Formação e financiamento gratuitos ou de baixo custo — Estados Unidos</w:t>
      </w:r>
    </w:p>
    <w:bookmarkStart w:id="34" w:name="wioa-e-american-job-centers"/>
    <w:p>
      <w:pPr>
        <w:pStyle w:val="Heading3"/>
      </w:pPr>
      <w:r>
        <w:t xml:space="preserve">WIOA e American Job Centers</w:t>
      </w:r>
    </w:p>
    <w:p>
      <w:pPr>
        <w:pStyle w:val="FirstParagraph"/>
      </w:pPr>
      <w:r>
        <w:t xml:space="preserve">A Workforce Innovation and Opportunity Act (WIOA) pode apoiar treinamento de habilidades ocupacionais para pessoas elegíveis por meio de sistemas estaduais e locais de workforce. O U.S. Department of Labor mantém orientações para Eligible Training Providers e programas.</w:t>
      </w:r>
    </w:p>
    <w:p>
      <w:pPr>
        <w:pStyle w:val="BodyText"/>
      </w:pPr>
      <w:r>
        <w:t xml:space="preserve">Se você puder ser elegível:</w:t>
      </w:r>
    </w:p>
    <w:p>
      <w:pPr>
        <w:numPr>
          <w:ilvl w:val="0"/>
          <w:numId w:val="1013"/>
        </w:numPr>
        <w:pStyle w:val="Compact"/>
      </w:pPr>
      <w:r>
        <w:t xml:space="preserve">Entre em contato com um American Job Center.</w:t>
      </w:r>
    </w:p>
    <w:p>
      <w:pPr>
        <w:numPr>
          <w:ilvl w:val="0"/>
          <w:numId w:val="1013"/>
        </w:numPr>
        <w:pStyle w:val="Compact"/>
      </w:pPr>
      <w:r>
        <w:t xml:space="preserve">Pergunte se o programa OTA exato aparece na lista estadual aplicável de Eligible Training Providers.</w:t>
      </w:r>
    </w:p>
    <w:p>
      <w:pPr>
        <w:numPr>
          <w:ilvl w:val="0"/>
          <w:numId w:val="1013"/>
        </w:numPr>
        <w:pStyle w:val="Compact"/>
      </w:pPr>
      <w:r>
        <w:t xml:space="preserve">Confirme sua elegibilidade pessoal e os tipos/valores de assistência disponíveis.</w:t>
      </w:r>
    </w:p>
    <w:p>
      <w:pPr>
        <w:numPr>
          <w:ilvl w:val="0"/>
          <w:numId w:val="1013"/>
        </w:numPr>
        <w:pStyle w:val="Compact"/>
      </w:pPr>
      <w:r>
        <w:t xml:space="preserve">Pergunte quais custos podem ser cobertos, como mensalidades, livros, transporte, uniformes, testes ou serviços de apoio.</w:t>
      </w:r>
    </w:p>
    <w:p>
      <w:pPr>
        <w:numPr>
          <w:ilvl w:val="0"/>
          <w:numId w:val="1013"/>
        </w:numPr>
        <w:pStyle w:val="Compact"/>
      </w:pPr>
      <w:r>
        <w:t xml:space="preserve">Obtenha aprovação antes de pagar custos que espera que a WIOA reembolse.</w:t>
      </w:r>
    </w:p>
    <w:p>
      <w:pPr>
        <w:pStyle w:val="FirstParagraph"/>
      </w:pPr>
      <w:r>
        <w:t xml:space="preserve">Um programa elegível não garante que um aluno específico receberá financiamento.</w:t>
      </w:r>
    </w:p>
    <w:bookmarkEnd w:id="34"/>
    <w:bookmarkStart w:id="35" w:name="federal-student-aid"/>
    <w:p>
      <w:pPr>
        <w:pStyle w:val="Heading3"/>
      </w:pPr>
      <w:r>
        <w:t xml:space="preserve">Federal Student Aid</w:t>
      </w:r>
    </w:p>
    <w:p>
      <w:pPr>
        <w:pStyle w:val="FirstParagraph"/>
      </w:pPr>
      <w:r>
        <w:t xml:space="preserve">Use</w:t>
      </w:r>
      <w:r>
        <w:t xml:space="preserve"> </w:t>
      </w:r>
      <w:r>
        <w:rPr>
          <w:bCs/>
          <w:b/>
        </w:rPr>
        <w:t xml:space="preserve">StudentAid.gov</w:t>
      </w:r>
      <w:r>
        <w:t xml:space="preserve"> </w:t>
      </w:r>
      <w:r>
        <w:t xml:space="preserve">para preencher o FAFSA e verificar as regras atuais de ajuda federal. Dependendo da elegibilidade e da instituição/programa participante, a ajuda pode incluir grants, work-study e empréstimos federais estudantis.</w:t>
      </w:r>
    </w:p>
    <w:p>
      <w:pPr>
        <w:pStyle w:val="BodyText"/>
      </w:pPr>
      <w:r>
        <w:t xml:space="preserve">Antes de tomar empréstimos:</w:t>
      </w:r>
    </w:p>
    <w:p>
      <w:pPr>
        <w:numPr>
          <w:ilvl w:val="0"/>
          <w:numId w:val="1014"/>
        </w:numPr>
        <w:pStyle w:val="Compact"/>
      </w:pPr>
      <w:r>
        <w:t xml:space="preserve">compare primeiro grants e bolsas;</w:t>
      </w:r>
    </w:p>
    <w:p>
      <w:pPr>
        <w:numPr>
          <w:ilvl w:val="0"/>
          <w:numId w:val="1014"/>
        </w:numPr>
        <w:pStyle w:val="Compact"/>
      </w:pPr>
      <w:r>
        <w:t xml:space="preserve">calcule o custo total do programa;</w:t>
      </w:r>
    </w:p>
    <w:p>
      <w:pPr>
        <w:numPr>
          <w:ilvl w:val="0"/>
          <w:numId w:val="1014"/>
        </w:numPr>
        <w:pStyle w:val="Compact"/>
      </w:pPr>
      <w:r>
        <w:t xml:space="preserve">estime custos de transporte e fieldwork;</w:t>
      </w:r>
    </w:p>
    <w:p>
      <w:pPr>
        <w:numPr>
          <w:ilvl w:val="0"/>
          <w:numId w:val="1014"/>
        </w:numPr>
        <w:pStyle w:val="Compact"/>
      </w:pPr>
      <w:r>
        <w:t xml:space="preserve">compare empréstimos federais com privados;</w:t>
      </w:r>
    </w:p>
    <w:p>
      <w:pPr>
        <w:numPr>
          <w:ilvl w:val="0"/>
          <w:numId w:val="1014"/>
        </w:numPr>
        <w:pStyle w:val="Compact"/>
      </w:pPr>
      <w:r>
        <w:t xml:space="preserve">entenda juros e condições de pagamento; e</w:t>
      </w:r>
    </w:p>
    <w:p>
      <w:pPr>
        <w:numPr>
          <w:ilvl w:val="0"/>
          <w:numId w:val="1014"/>
        </w:numPr>
        <w:pStyle w:val="Compact"/>
      </w:pPr>
      <w:r>
        <w:t xml:space="preserve">não presuma que um salário futuro de OTA tornará qualquer dívida automaticamente acessível.</w:t>
      </w:r>
    </w:p>
    <w:bookmarkEnd w:id="35"/>
    <w:bookmarkStart w:id="36" w:name="assistência-de-empregadores-e-escolas"/>
    <w:p>
      <w:pPr>
        <w:pStyle w:val="Heading3"/>
      </w:pPr>
      <w:r>
        <w:t xml:space="preserve">Assistência de empregadores e escolas</w:t>
      </w:r>
    </w:p>
    <w:p>
      <w:pPr>
        <w:pStyle w:val="FirstParagraph"/>
      </w:pPr>
      <w:r>
        <w:t xml:space="preserve">Pergunte a hospitais, sistemas de reabilitação, instituições de enfermagem especializada, provedores de saúde domiciliar, escolas e grandes clínicas de terapia sobre:</w:t>
      </w:r>
    </w:p>
    <w:p>
      <w:pPr>
        <w:numPr>
          <w:ilvl w:val="0"/>
          <w:numId w:val="1015"/>
        </w:numPr>
        <w:pStyle w:val="Compact"/>
      </w:pPr>
      <w:r>
        <w:t xml:space="preserve">reembolso de mensalidades;</w:t>
      </w:r>
    </w:p>
    <w:p>
      <w:pPr>
        <w:numPr>
          <w:ilvl w:val="0"/>
          <w:numId w:val="1015"/>
        </w:numPr>
        <w:pStyle w:val="Compact"/>
      </w:pPr>
      <w:r>
        <w:t xml:space="preserve">bolsas;</w:t>
      </w:r>
    </w:p>
    <w:p>
      <w:pPr>
        <w:numPr>
          <w:ilvl w:val="0"/>
          <w:numId w:val="1015"/>
        </w:numPr>
        <w:pStyle w:val="Compact"/>
      </w:pPr>
      <w:r>
        <w:t xml:space="preserve">treinamento remunerado;</w:t>
      </w:r>
    </w:p>
    <w:p>
      <w:pPr>
        <w:numPr>
          <w:ilvl w:val="0"/>
          <w:numId w:val="1015"/>
        </w:numPr>
        <w:pStyle w:val="Compact"/>
      </w:pPr>
      <w:r>
        <w:t xml:space="preserve">reembolso de CPR/BLS;</w:t>
      </w:r>
    </w:p>
    <w:p>
      <w:pPr>
        <w:numPr>
          <w:ilvl w:val="0"/>
          <w:numId w:val="1015"/>
        </w:numPr>
        <w:pStyle w:val="Compact"/>
      </w:pPr>
      <w:r>
        <w:t xml:space="preserve">parcerias de fieldwork;</w:t>
      </w:r>
    </w:p>
    <w:p>
      <w:pPr>
        <w:numPr>
          <w:ilvl w:val="0"/>
          <w:numId w:val="1015"/>
        </w:numPr>
        <w:pStyle w:val="Compact"/>
      </w:pPr>
      <w:r>
        <w:t xml:space="preserve">apoio à educação continuada;</w:t>
      </w:r>
    </w:p>
    <w:p>
      <w:pPr>
        <w:numPr>
          <w:ilvl w:val="0"/>
          <w:numId w:val="1015"/>
        </w:numPr>
        <w:pStyle w:val="Compact"/>
      </w:pPr>
      <w:r>
        <w:t xml:space="preserve">progressão interna a partir de funções auxiliares/de apoio; e</w:t>
      </w:r>
    </w:p>
    <w:p>
      <w:pPr>
        <w:numPr>
          <w:ilvl w:val="0"/>
          <w:numId w:val="1015"/>
        </w:numPr>
        <w:pStyle w:val="Compact"/>
      </w:pPr>
      <w:r>
        <w:t xml:space="preserve">compromissos de permanência ou cláusulas de restituição.</w:t>
      </w:r>
    </w:p>
    <w:p>
      <w:pPr>
        <w:pStyle w:val="FirstParagraph"/>
      </w:pPr>
      <w:r>
        <w:t xml:space="preserve">Obtenha por escrito as obrigações de restituição antes de aceitar dinheiro educacional de um empregador.</w:t>
      </w:r>
    </w:p>
    <w:bookmarkEnd w:id="36"/>
    <w:bookmarkEnd w:id="37"/>
    <w:bookmarkStart w:id="38" w:name="financiamento--canadá"/>
    <w:p>
      <w:pPr>
        <w:pStyle w:val="Heading2"/>
      </w:pPr>
      <w:r>
        <w:t xml:space="preserve">Financiamento — Canadá</w:t>
      </w:r>
    </w:p>
    <w:p>
      <w:pPr>
        <w:pStyle w:val="FirstParagraph"/>
      </w:pPr>
      <w:r>
        <w:t xml:space="preserve">Government of Canada Student Aid e programas provinciais ou territoriais de ajuda estudantil podem ajudar alunos elegíveis com custos de educação pós-secundária. Regras da instituição designada e do programa importam.</w:t>
      </w:r>
    </w:p>
    <w:p>
      <w:pPr>
        <w:pStyle w:val="BodyText"/>
      </w:pPr>
      <w:r>
        <w:t xml:space="preserve">Antes de se matricular, verifique:</w:t>
      </w:r>
    </w:p>
    <w:p>
      <w:pPr>
        <w:numPr>
          <w:ilvl w:val="0"/>
          <w:numId w:val="1016"/>
        </w:numPr>
        <w:pStyle w:val="Compact"/>
      </w:pPr>
      <w:r>
        <w:t xml:space="preserve">se a escola/programa é elegível para a ajuda que pretende usar;</w:t>
      </w:r>
    </w:p>
    <w:p>
      <w:pPr>
        <w:numPr>
          <w:ilvl w:val="0"/>
          <w:numId w:val="1016"/>
        </w:numPr>
        <w:pStyle w:val="Compact"/>
      </w:pPr>
      <w:r>
        <w:t xml:space="preserve">procedimentos de solicitação provinciais ou territoriais;</w:t>
      </w:r>
    </w:p>
    <w:p>
      <w:pPr>
        <w:numPr>
          <w:ilvl w:val="0"/>
          <w:numId w:val="1016"/>
        </w:numPr>
        <w:pStyle w:val="Compact"/>
      </w:pPr>
      <w:r>
        <w:t xml:space="preserve">valores de grants e empréstimos;</w:t>
      </w:r>
    </w:p>
    <w:p>
      <w:pPr>
        <w:numPr>
          <w:ilvl w:val="0"/>
          <w:numId w:val="1016"/>
        </w:numPr>
        <w:pStyle w:val="Compact"/>
      </w:pPr>
      <w:r>
        <w:t xml:space="preserve">requisitos de residência e status migratório;</w:t>
      </w:r>
    </w:p>
    <w:p>
      <w:pPr>
        <w:numPr>
          <w:ilvl w:val="0"/>
          <w:numId w:val="1016"/>
        </w:numPr>
        <w:pStyle w:val="Compact"/>
      </w:pPr>
      <w:r>
        <w:t xml:space="preserve">apoio relacionado a deficiência; e</w:t>
      </w:r>
    </w:p>
    <w:p>
      <w:pPr>
        <w:numPr>
          <w:ilvl w:val="0"/>
          <w:numId w:val="1016"/>
        </w:numPr>
        <w:pStyle w:val="Compact"/>
      </w:pPr>
      <w:r>
        <w:t xml:space="preserve">restrições atuais que afetem escolas privadas ou com fins lucrativos.</w:t>
      </w:r>
    </w:p>
    <w:p>
      <w:pPr>
        <w:pStyle w:val="FirstParagraph"/>
      </w:pPr>
      <w:r>
        <w:t xml:space="preserve">Pergunte também às instituições sobre bursaries, ajuda para estudantes maduros, grants emergenciais, financiamento de acessibilidade e parcerias com empregadores.</w:t>
      </w:r>
    </w:p>
    <w:bookmarkEnd w:id="38"/>
    <w:bookmarkStart w:id="39" w:name="X8510d49bbf2414a9f70d452cda62c97128926d8"/>
    <w:p>
      <w:pPr>
        <w:pStyle w:val="Heading2"/>
      </w:pPr>
      <w:r>
        <w:t xml:space="preserve">Apprenticeship e aprendizagem baseada no trabalho</w:t>
      </w:r>
    </w:p>
    <w:p>
      <w:pPr>
        <w:pStyle w:val="FirstParagraph"/>
      </w:pPr>
      <w:r>
        <w:t xml:space="preserve">Não anuncie a via OTA dos Estados Unidos como um apprenticeship de atalho. A via padrão é um programa educacional de occupational therapy assistant credenciado pelo ACOTE que inclui fieldwork obrigatório.</w:t>
      </w:r>
    </w:p>
    <w:p>
      <w:pPr>
        <w:pStyle w:val="BodyText"/>
      </w:pPr>
      <w:r>
        <w:t xml:space="preserve">O fieldwork é uma experiência profissional supervisionada real, mas não é automaticamente um Registered Apprenticeship e não deve ser descrito assim, a menos que o programa esteja formalmente registrado nessa categoria.</w:t>
      </w:r>
    </w:p>
    <w:p>
      <w:pPr>
        <w:pStyle w:val="BodyText"/>
      </w:pPr>
      <w:r>
        <w:t xml:space="preserve">O amplo NOC 32109 do Canadá pode incluir ocupações com diferentes vias de preparação. Verifique o programa e o cargo exatos em vez de presumir que todas as funções canadenses de OTA compartilham uma única estrutura de apprenticeship.</w:t>
      </w:r>
    </w:p>
    <w:bookmarkEnd w:id="39"/>
    <w:bookmarkStart w:id="40" w:name="X724a059ee038523662a01ae0019c9b97ddddd6f"/>
    <w:p>
      <w:pPr>
        <w:pStyle w:val="Heading2"/>
      </w:pPr>
      <w:r>
        <w:t xml:space="preserve">Plano prático de exploração de 12 semanas</w:t>
      </w:r>
    </w:p>
    <w:p>
      <w:pPr>
        <w:pStyle w:val="FirstParagraph"/>
      </w:pPr>
      <w:r>
        <w:rPr>
          <w:bCs/>
          <w:b/>
        </w:rPr>
        <w:t xml:space="preserve">Semanas 1–2:</w:t>
      </w:r>
      <w:r>
        <w:t xml:space="preserve"> </w:t>
      </w:r>
      <w:r>
        <w:t xml:space="preserve">Leia 15–20 vagas locais de OTA. Registre requisitos repetidos: licença, COTA, CPR/BLS, horário, ambiente, experiência, sistemas de documentação, expectativas de levantamento/transferência, pediatria ou geriatria e viagens.</w:t>
      </w:r>
    </w:p>
    <w:p>
      <w:pPr>
        <w:pStyle w:val="BodyText"/>
      </w:pPr>
      <w:r>
        <w:rPr>
          <w:bCs/>
          <w:b/>
        </w:rPr>
        <w:t xml:space="preserve">Semanas 3–4:</w:t>
      </w:r>
      <w:r>
        <w:t xml:space="preserve"> </w:t>
      </w:r>
      <w:r>
        <w:t xml:space="preserve">Identifique programas OTA credenciados pelo ACOTE dentro de uma distância realista. Compare opções associate e bachelor quando relevante. Registre custo total, pré-requisitos, estrutura de fieldwork, resultados de conclusão e status atual de credenciamento.</w:t>
      </w:r>
    </w:p>
    <w:p>
      <w:pPr>
        <w:pStyle w:val="BodyText"/>
      </w:pPr>
      <w:r>
        <w:rPr>
          <w:bCs/>
          <w:b/>
        </w:rPr>
        <w:t xml:space="preserve">Semanas 5–6:</w:t>
      </w:r>
      <w:r>
        <w:t xml:space="preserve"> </w:t>
      </w:r>
      <w:r>
        <w:t xml:space="preserve">Revise anatomia, terminologia médica, desenvolvimento humano, psicologia básica, comunicação, prevenção de infecções, conceitos de documentação e mecânica corporal segura com recursos gratuitos ou de baixo custo. Não pratique procedimentos clínicos em pacientes sem instrução e supervisão autorizadas.</w:t>
      </w:r>
    </w:p>
    <w:p>
      <w:pPr>
        <w:pStyle w:val="BodyText"/>
      </w:pPr>
      <w:r>
        <w:rPr>
          <w:bCs/>
          <w:b/>
        </w:rPr>
        <w:t xml:space="preserve">Semanas 7–8:</w:t>
      </w:r>
      <w:r>
        <w:t xml:space="preserve"> </w:t>
      </w:r>
      <w:r>
        <w:t xml:space="preserve">Preencha o FAFSA e investigue WIOA, bolsas, grants institucionais, assistência do empregador e fundações locais. Monte uma comparação escrita de custos para pelo menos três opções, quando possível.</w:t>
      </w:r>
    </w:p>
    <w:p>
      <w:pPr>
        <w:pStyle w:val="BodyText"/>
      </w:pPr>
      <w:r>
        <w:rPr>
          <w:bCs/>
          <w:b/>
        </w:rPr>
        <w:t xml:space="preserve">Semanas 9–10:</w:t>
      </w:r>
      <w:r>
        <w:t xml:space="preserve"> </w:t>
      </w:r>
      <w:r>
        <w:t xml:space="preserve">Converse com pessoal de admissão e profissionais de terapia ocupacional, quando possível. Pergunte sobre deslocamento para fieldwork, requisitos noturnos/fins de semana, verificações de antecedentes, vacinas, CPR/BLS, tecnologia, preparação para licença e exigências físicas.</w:t>
      </w:r>
    </w:p>
    <w:p>
      <w:pPr>
        <w:pStyle w:val="BodyText"/>
      </w:pPr>
      <w:r>
        <w:rPr>
          <w:bCs/>
          <w:b/>
        </w:rPr>
        <w:t xml:space="preserve">Semanas 11–12:</w:t>
      </w:r>
      <w:r>
        <w:t xml:space="preserve"> </w:t>
      </w:r>
      <w:r>
        <w:t xml:space="preserve">Confirme requisitos do NBCOT e de licença estadual. Decida se contato com clientes, exigências emocionais e físicas, custo educacional, horário e remuneração local combinam com seus objetivos e circunstâncias.</w:t>
      </w:r>
    </w:p>
    <w:bookmarkEnd w:id="40"/>
    <w:bookmarkStart w:id="41" w:name="Xaeb70b190b16204244faf3bd8c47c2afe91d32d"/>
    <w:p>
      <w:pPr>
        <w:pStyle w:val="Heading2"/>
      </w:pPr>
      <w:r>
        <w:t xml:space="preserve">Construindo experiência antes de se tornar OTA</w:t>
      </w:r>
    </w:p>
    <w:p>
      <w:pPr>
        <w:pStyle w:val="FirstParagraph"/>
      </w:pPr>
      <w:r>
        <w:t xml:space="preserve">Dependendo da legislação local e da política do empregador, exposição útil pode vir de funções não OTA, como:</w:t>
      </w:r>
    </w:p>
    <w:p>
      <w:pPr>
        <w:numPr>
          <w:ilvl w:val="0"/>
          <w:numId w:val="1017"/>
        </w:numPr>
        <w:pStyle w:val="Compact"/>
      </w:pPr>
      <w:r>
        <w:t xml:space="preserve">occupational therapy aide;</w:t>
      </w:r>
    </w:p>
    <w:p>
      <w:pPr>
        <w:numPr>
          <w:ilvl w:val="0"/>
          <w:numId w:val="1017"/>
        </w:numPr>
        <w:pStyle w:val="Compact"/>
      </w:pPr>
      <w:r>
        <w:t xml:space="preserve">rehabilitation aide ou rehabilitation technician;</w:t>
      </w:r>
    </w:p>
    <w:p>
      <w:pPr>
        <w:numPr>
          <w:ilvl w:val="0"/>
          <w:numId w:val="1017"/>
        </w:numPr>
        <w:pStyle w:val="Compact"/>
      </w:pPr>
      <w:r>
        <w:t xml:space="preserve">apoio ao cuidado do paciente;</w:t>
      </w:r>
    </w:p>
    <w:p>
      <w:pPr>
        <w:numPr>
          <w:ilvl w:val="0"/>
          <w:numId w:val="1017"/>
        </w:numPr>
        <w:pStyle w:val="Compact"/>
      </w:pPr>
      <w:r>
        <w:t xml:space="preserve">nursing assistant;</w:t>
      </w:r>
    </w:p>
    <w:p>
      <w:pPr>
        <w:numPr>
          <w:ilvl w:val="0"/>
          <w:numId w:val="1017"/>
        </w:numPr>
        <w:pStyle w:val="Compact"/>
      </w:pPr>
      <w:r>
        <w:t xml:space="preserve">cuidador ou trabalhador de apoio à deficiência;</w:t>
      </w:r>
    </w:p>
    <w:p>
      <w:pPr>
        <w:numPr>
          <w:ilvl w:val="0"/>
          <w:numId w:val="1017"/>
        </w:numPr>
        <w:pStyle w:val="Compact"/>
      </w:pPr>
      <w:r>
        <w:t xml:space="preserve">assistente de atividades em cuidados a idosos;</w:t>
      </w:r>
    </w:p>
    <w:p>
      <w:pPr>
        <w:numPr>
          <w:ilvl w:val="0"/>
          <w:numId w:val="1017"/>
        </w:numPr>
        <w:pStyle w:val="Compact"/>
      </w:pPr>
      <w:r>
        <w:t xml:space="preserve">apoio em sala de aula;</w:t>
      </w:r>
    </w:p>
    <w:p>
      <w:pPr>
        <w:numPr>
          <w:ilvl w:val="0"/>
          <w:numId w:val="1017"/>
        </w:numPr>
        <w:pStyle w:val="Compact"/>
      </w:pPr>
      <w:r>
        <w:t xml:space="preserve">funções de apoio em saúde comportamental;</w:t>
      </w:r>
    </w:p>
    <w:p>
      <w:pPr>
        <w:numPr>
          <w:ilvl w:val="0"/>
          <w:numId w:val="1017"/>
        </w:numPr>
        <w:pStyle w:val="Compact"/>
      </w:pPr>
      <w:r>
        <w:t xml:space="preserve">recepcionista ou agendador em saúde; ou</w:t>
      </w:r>
    </w:p>
    <w:p>
      <w:pPr>
        <w:numPr>
          <w:ilvl w:val="0"/>
          <w:numId w:val="1017"/>
        </w:numPr>
        <w:pStyle w:val="Compact"/>
      </w:pPr>
      <w:r>
        <w:t xml:space="preserve">voluntariado supervisionado em programas de deficiência, envelhecimento, pediatria ou reabilitação.</w:t>
      </w:r>
    </w:p>
    <w:p>
      <w:pPr>
        <w:pStyle w:val="FirstParagraph"/>
      </w:pPr>
      <w:r>
        <w:t xml:space="preserve">Não descreva trabalho de apoio como experiência licenciada ou certificada de OTA se não foi.</w:t>
      </w:r>
    </w:p>
    <w:bookmarkEnd w:id="41"/>
    <w:bookmarkStart w:id="42" w:name="progressão-de-carreira"/>
    <w:p>
      <w:pPr>
        <w:pStyle w:val="Heading2"/>
      </w:pPr>
      <w:r>
        <w:t xml:space="preserve">Progressão de carreira</w:t>
      </w:r>
    </w:p>
    <w:p>
      <w:pPr>
        <w:pStyle w:val="FirstParagraph"/>
      </w:pPr>
      <w:r>
        <w:t xml:space="preserve">Um OTA pode aprofundar experiência em geriatria, pediatria, escolas, reabilitação física, reabilitação neurológica, saúde mental, saúde domiciliar, enfermagem especializada, apoio em terapia da mão ou prática comunitária quando permitido e adequadamente supervisionado.</w:t>
      </w:r>
    </w:p>
    <w:p>
      <w:pPr>
        <w:pStyle w:val="BodyText"/>
      </w:pPr>
      <w:r>
        <w:t xml:space="preserve">OTAs experientes também podem avançar para:</w:t>
      </w:r>
    </w:p>
    <w:p>
      <w:pPr>
        <w:numPr>
          <w:ilvl w:val="0"/>
          <w:numId w:val="1018"/>
        </w:numPr>
        <w:pStyle w:val="Compact"/>
      </w:pPr>
      <w:r>
        <w:t xml:space="preserve">responsabilidades de liderança ou coordenação;</w:t>
      </w:r>
    </w:p>
    <w:p>
      <w:pPr>
        <w:numPr>
          <w:ilvl w:val="0"/>
          <w:numId w:val="1018"/>
        </w:numPr>
        <w:pStyle w:val="Compact"/>
      </w:pPr>
      <w:r>
        <w:t xml:space="preserve">apoio à educação de fieldwork;</w:t>
      </w:r>
    </w:p>
    <w:p>
      <w:pPr>
        <w:numPr>
          <w:ilvl w:val="0"/>
          <w:numId w:val="1018"/>
        </w:numPr>
        <w:pStyle w:val="Compact"/>
      </w:pPr>
      <w:r>
        <w:t xml:space="preserve">operações de reabilitação;</w:t>
      </w:r>
    </w:p>
    <w:p>
      <w:pPr>
        <w:numPr>
          <w:ilvl w:val="0"/>
          <w:numId w:val="1018"/>
        </w:numPr>
        <w:pStyle w:val="Compact"/>
      </w:pPr>
      <w:r>
        <w:t xml:space="preserve">apoio de qualidade ou documentação;</w:t>
      </w:r>
    </w:p>
    <w:p>
      <w:pPr>
        <w:numPr>
          <w:ilvl w:val="0"/>
          <w:numId w:val="1018"/>
        </w:numPr>
        <w:pStyle w:val="Compact"/>
      </w:pPr>
      <w:r>
        <w:t xml:space="preserve">suporte de tecnologia assistiva;</w:t>
      </w:r>
    </w:p>
    <w:p>
      <w:pPr>
        <w:numPr>
          <w:ilvl w:val="0"/>
          <w:numId w:val="1018"/>
        </w:numPr>
        <w:pStyle w:val="Compact"/>
      </w:pPr>
      <w:r>
        <w:t xml:space="preserve">funções em serviços para pessoas com deficiência;</w:t>
      </w:r>
    </w:p>
    <w:p>
      <w:pPr>
        <w:numPr>
          <w:ilvl w:val="0"/>
          <w:numId w:val="1018"/>
        </w:numPr>
        <w:pStyle w:val="Compact"/>
      </w:pPr>
      <w:r>
        <w:t xml:space="preserve">treinamento em saúde; ou</w:t>
      </w:r>
    </w:p>
    <w:p>
      <w:pPr>
        <w:numPr>
          <w:ilvl w:val="0"/>
          <w:numId w:val="1018"/>
        </w:numPr>
        <w:pStyle w:val="Compact"/>
      </w:pPr>
      <w:r>
        <w:t xml:space="preserve">educação adicional.</w:t>
      </w:r>
    </w:p>
    <w:p>
      <w:pPr>
        <w:pStyle w:val="FirstParagraph"/>
      </w:pPr>
      <w:r>
        <w:t xml:space="preserve">Tornar-se terapeuta ocupacional exige uma formação profissional e uma via de credenciamento separadas. A experiência como OTA é valiosa, mas não se converte por si só em licença de occupational therapist.</w:t>
      </w:r>
    </w:p>
    <w:bookmarkEnd w:id="42"/>
    <w:bookmarkStart w:id="43" w:name="segurança-do-cliente-e-escalonamento"/>
    <w:p>
      <w:pPr>
        <w:pStyle w:val="Heading2"/>
      </w:pPr>
      <w:r>
        <w:t xml:space="preserve">Segurança do cliente e escalonamento</w:t>
      </w:r>
    </w:p>
    <w:p>
      <w:pPr>
        <w:pStyle w:val="FirstParagraph"/>
      </w:pPr>
      <w:r>
        <w:t xml:space="preserve">A segurança do cliente tem prioridade sobre produtividade, cronograma ou conveniência. Siga o plano do terapeuta ocupacional, os requisitos de supervisão, os procedimentos da instituição e seu treinamento.</w:t>
      </w:r>
    </w:p>
    <w:p>
      <w:pPr>
        <w:pStyle w:val="BodyText"/>
      </w:pPr>
      <w:r>
        <w:t xml:space="preserve">Interrompa e escale conforme a política para situações como:</w:t>
      </w:r>
    </w:p>
    <w:p>
      <w:pPr>
        <w:numPr>
          <w:ilvl w:val="0"/>
          <w:numId w:val="1019"/>
        </w:numPr>
        <w:pStyle w:val="Compact"/>
      </w:pPr>
      <w:r>
        <w:t xml:space="preserve">dor no peito, falta de ar intensa, desmaio, fraqueza súbita ou sinais de emergência médica;</w:t>
      </w:r>
    </w:p>
    <w:p>
      <w:pPr>
        <w:numPr>
          <w:ilvl w:val="0"/>
          <w:numId w:val="1019"/>
        </w:numPr>
        <w:pStyle w:val="Compact"/>
      </w:pPr>
      <w:r>
        <w:t xml:space="preserve">queda ou quase queda;</w:t>
      </w:r>
    </w:p>
    <w:p>
      <w:pPr>
        <w:numPr>
          <w:ilvl w:val="0"/>
          <w:numId w:val="1019"/>
        </w:numPr>
        <w:pStyle w:val="Compact"/>
      </w:pPr>
      <w:r>
        <w:t xml:space="preserve">nova dor intensa;</w:t>
      </w:r>
    </w:p>
    <w:p>
      <w:pPr>
        <w:numPr>
          <w:ilvl w:val="0"/>
          <w:numId w:val="1019"/>
        </w:numPr>
        <w:pStyle w:val="Compact"/>
      </w:pPr>
      <w:r>
        <w:t xml:space="preserve">mudanças significativas de cognição, alerta, comportamento ou função neurológica;</w:t>
      </w:r>
    </w:p>
    <w:p>
      <w:pPr>
        <w:numPr>
          <w:ilvl w:val="0"/>
          <w:numId w:val="1019"/>
        </w:numPr>
        <w:pStyle w:val="Compact"/>
      </w:pPr>
      <w:r>
        <w:t xml:space="preserve">declarações suicidas ou violentas ou outros riscos urgentes de saúde comportamental;</w:t>
      </w:r>
    </w:p>
    <w:p>
      <w:pPr>
        <w:numPr>
          <w:ilvl w:val="0"/>
          <w:numId w:val="1019"/>
        </w:numPr>
        <w:pStyle w:val="Compact"/>
      </w:pPr>
      <w:r>
        <w:t xml:space="preserve">suspeita de abuso, negligência, exploração ou condições de vida inseguras;</w:t>
      </w:r>
    </w:p>
    <w:p>
      <w:pPr>
        <w:numPr>
          <w:ilvl w:val="0"/>
          <w:numId w:val="1019"/>
        </w:numPr>
        <w:pStyle w:val="Compact"/>
      </w:pPr>
      <w:r>
        <w:t xml:space="preserve">preocupações de deglutição, engasgo, alimentação, aspiração ou respiração durante uma atividade;</w:t>
      </w:r>
    </w:p>
    <w:p>
      <w:pPr>
        <w:numPr>
          <w:ilvl w:val="0"/>
          <w:numId w:val="1019"/>
        </w:numPr>
        <w:pStyle w:val="Compact"/>
      </w:pPr>
      <w:r>
        <w:t xml:space="preserve">lesão de pele, áreas de pressão, queimaduras ou lesão relacionada a dispositivo;</w:t>
      </w:r>
    </w:p>
    <w:p>
      <w:pPr>
        <w:numPr>
          <w:ilvl w:val="0"/>
          <w:numId w:val="1019"/>
        </w:numPr>
        <w:pStyle w:val="Compact"/>
      </w:pPr>
      <w:r>
        <w:t xml:space="preserve">falha de equipamento;</w:t>
      </w:r>
    </w:p>
    <w:p>
      <w:pPr>
        <w:numPr>
          <w:ilvl w:val="0"/>
          <w:numId w:val="1019"/>
        </w:numPr>
        <w:pStyle w:val="Compact"/>
      </w:pPr>
      <w:r>
        <w:t xml:space="preserve">transferência ou tarefa que não possa ser executada com segurança;</w:t>
      </w:r>
    </w:p>
    <w:p>
      <w:pPr>
        <w:numPr>
          <w:ilvl w:val="0"/>
          <w:numId w:val="1019"/>
        </w:numPr>
        <w:pStyle w:val="Compact"/>
      </w:pPr>
      <w:r>
        <w:t xml:space="preserve">solicitação do cliente que esteja fora do plano ou do seu escopo; ou</w:t>
      </w:r>
    </w:p>
    <w:p>
      <w:pPr>
        <w:numPr>
          <w:ilvl w:val="0"/>
          <w:numId w:val="1019"/>
        </w:numPr>
        <w:pStyle w:val="Compact"/>
      </w:pPr>
      <w:r>
        <w:t xml:space="preserve">qualquer situação que, segundo seu treinamento, exija o terapeuta ocupacional, enfermeiro, médico, serviço de emergência, processo de proteção ou outro profissional.</w:t>
      </w:r>
    </w:p>
    <w:p>
      <w:pPr>
        <w:pStyle w:val="FirstParagraph"/>
      </w:pPr>
      <w:r>
        <w:t xml:space="preserve">Não improvise além de sua competência quando a segurança for incerta.</w:t>
      </w:r>
    </w:p>
    <w:bookmarkEnd w:id="43"/>
    <w:bookmarkStart w:id="44" w:name="X76e241f79521df387a342c81528058640534a14"/>
    <w:p>
      <w:pPr>
        <w:pStyle w:val="Heading2"/>
      </w:pPr>
      <w:r>
        <w:t xml:space="preserve">Privacidade, documentação e cibersegurança</w:t>
      </w:r>
    </w:p>
    <w:p>
      <w:pPr>
        <w:pStyle w:val="FirstParagraph"/>
      </w:pPr>
      <w:r>
        <w:t xml:space="preserve">Assistentes de terapia ocupacional podem lidar com informações de saúde, educação, deficiência, contato, seguro, agenda e outros dados sensíveis.</w:t>
      </w:r>
    </w:p>
    <w:p>
      <w:pPr>
        <w:pStyle w:val="BodyText"/>
      </w:pPr>
      <w:r>
        <w:t xml:space="preserve">Use apenas sistemas aprovados e siga as regras de privacidade aplicáveis à organização e à jurisdição. Boas práticas incluem:</w:t>
      </w:r>
    </w:p>
    <w:p>
      <w:pPr>
        <w:numPr>
          <w:ilvl w:val="0"/>
          <w:numId w:val="1020"/>
        </w:numPr>
        <w:pStyle w:val="Compact"/>
      </w:pPr>
      <w:r>
        <w:t xml:space="preserve">confirmar a identidade antes de discutir informações protegidas;</w:t>
      </w:r>
    </w:p>
    <w:p>
      <w:pPr>
        <w:numPr>
          <w:ilvl w:val="0"/>
          <w:numId w:val="1020"/>
        </w:numPr>
        <w:pStyle w:val="Compact"/>
      </w:pPr>
      <w:r>
        <w:t xml:space="preserve">usar apenas prontuário eletrônico, sistemas educacionais, mensagens, telessaúde e armazenamento aprovados;</w:t>
      </w:r>
    </w:p>
    <w:p>
      <w:pPr>
        <w:numPr>
          <w:ilvl w:val="0"/>
          <w:numId w:val="1020"/>
        </w:numPr>
        <w:pStyle w:val="Compact"/>
      </w:pPr>
      <w:r>
        <w:t xml:space="preserve">bloquear a tela quando estiver ausente;</w:t>
      </w:r>
    </w:p>
    <w:p>
      <w:pPr>
        <w:numPr>
          <w:ilvl w:val="0"/>
          <w:numId w:val="1020"/>
        </w:numPr>
        <w:pStyle w:val="Compact"/>
      </w:pPr>
      <w:r>
        <w:t xml:space="preserve">usar senhas fortes e exclusivas e autenticação multifator quando disponível;</w:t>
      </w:r>
    </w:p>
    <w:p>
      <w:pPr>
        <w:numPr>
          <w:ilvl w:val="0"/>
          <w:numId w:val="1020"/>
        </w:numPr>
        <w:pStyle w:val="Compact"/>
      </w:pPr>
      <w:r>
        <w:t xml:space="preserve">recusar solicitações inesperadas de redefinição de senha, pagamento, cartões-presente ou acesso remoto;</w:t>
      </w:r>
    </w:p>
    <w:p>
      <w:pPr>
        <w:numPr>
          <w:ilvl w:val="0"/>
          <w:numId w:val="1020"/>
        </w:numPr>
        <w:pStyle w:val="Compact"/>
      </w:pPr>
      <w:r>
        <w:t xml:space="preserve">conferir destinatários antes de enviar registros;</w:t>
      </w:r>
    </w:p>
    <w:p>
      <w:pPr>
        <w:numPr>
          <w:ilvl w:val="0"/>
          <w:numId w:val="1020"/>
        </w:numPr>
        <w:pStyle w:val="Compact"/>
      </w:pPr>
      <w:r>
        <w:t xml:space="preserve">evitar nuvem pessoal, e-mail pessoal ou mensagens não aprovadas para registros de clientes;</w:t>
      </w:r>
    </w:p>
    <w:p>
      <w:pPr>
        <w:numPr>
          <w:ilvl w:val="0"/>
          <w:numId w:val="1020"/>
        </w:numPr>
        <w:pStyle w:val="Compact"/>
      </w:pPr>
      <w:r>
        <w:t xml:space="preserve">documentar de forma objetiva e rápida;</w:t>
      </w:r>
    </w:p>
    <w:p>
      <w:pPr>
        <w:numPr>
          <w:ilvl w:val="0"/>
          <w:numId w:val="1020"/>
        </w:numPr>
        <w:pStyle w:val="Compact"/>
      </w:pPr>
      <w:r>
        <w:t xml:space="preserve">relatar imediatamente dispositivos perdidos, suspeita de phishing, registros enviados à pessoa errada ou incidentes de privacidade; e</w:t>
      </w:r>
    </w:p>
    <w:p>
      <w:pPr>
        <w:numPr>
          <w:ilvl w:val="0"/>
          <w:numId w:val="1020"/>
        </w:numPr>
        <w:pStyle w:val="Compact"/>
      </w:pPr>
      <w:r>
        <w:t xml:space="preserve">discutir clientes apenas com pessoas autorizadas que necessitem das informações.</w:t>
      </w:r>
    </w:p>
    <w:p>
      <w:pPr>
        <w:pStyle w:val="FirstParagraph"/>
      </w:pPr>
      <w:r>
        <w:t xml:space="preserve">Não copie informações de clientes para sistemas públicos de IA, aplicativos pessoais de notas ou ferramentas não aprovadas.</w:t>
      </w:r>
    </w:p>
    <w:bookmarkEnd w:id="44"/>
    <w:bookmarkStart w:id="45" w:name="Xcdcff3c9a8a5b75d8a2e7724dd96be0f200f547"/>
    <w:p>
      <w:pPr>
        <w:pStyle w:val="Heading2"/>
      </w:pPr>
      <w:r>
        <w:t xml:space="preserve">IA responsável no trabalho de apoio em terapia ocupacional</w:t>
      </w:r>
    </w:p>
    <w:p>
      <w:pPr>
        <w:pStyle w:val="FirstParagraph"/>
      </w:pPr>
      <w:r>
        <w:t xml:space="preserve">A IA pode ajudar em tarefas administrativas ou de aprendizagem de baixo risco quando a política do empregador permitir, mas não substitui julgamento clínico, avaliação do terapeuta ocupacional ou responsabilidade profissional.</w:t>
      </w:r>
    </w:p>
    <w:p>
      <w:pPr>
        <w:pStyle w:val="BodyText"/>
      </w:pPr>
      <w:r>
        <w:t xml:space="preserve">Possíveis usos de baixo risco incluem:</w:t>
      </w:r>
    </w:p>
    <w:p>
      <w:pPr>
        <w:numPr>
          <w:ilvl w:val="0"/>
          <w:numId w:val="1021"/>
        </w:numPr>
        <w:pStyle w:val="Compact"/>
      </w:pPr>
      <w:r>
        <w:t xml:space="preserve">criar perguntas genéricas de estudo sem informações de clientes;</w:t>
      </w:r>
    </w:p>
    <w:p>
      <w:pPr>
        <w:numPr>
          <w:ilvl w:val="0"/>
          <w:numId w:val="1021"/>
        </w:numPr>
        <w:pStyle w:val="Compact"/>
      </w:pPr>
      <w:r>
        <w:t xml:space="preserve">simplificar linguagem educacional geral para revisão pelo profissional apropriado;</w:t>
      </w:r>
    </w:p>
    <w:p>
      <w:pPr>
        <w:numPr>
          <w:ilvl w:val="0"/>
          <w:numId w:val="1021"/>
        </w:numPr>
        <w:pStyle w:val="Compact"/>
      </w:pPr>
      <w:r>
        <w:t xml:space="preserve">gerar ideias de atividades não específicas de clientes para posterior revisão clínica;</w:t>
      </w:r>
    </w:p>
    <w:p>
      <w:pPr>
        <w:numPr>
          <w:ilvl w:val="0"/>
          <w:numId w:val="1021"/>
        </w:numPr>
        <w:pStyle w:val="Compact"/>
      </w:pPr>
      <w:r>
        <w:t xml:space="preserve">elaborar perguntas genéricas de preparação para entrevistas;</w:t>
      </w:r>
    </w:p>
    <w:p>
      <w:pPr>
        <w:numPr>
          <w:ilvl w:val="0"/>
          <w:numId w:val="1021"/>
        </w:numPr>
        <w:pStyle w:val="Compact"/>
      </w:pPr>
      <w:r>
        <w:t xml:space="preserve">organizar um cronograma pessoal de estudos; ou</w:t>
      </w:r>
    </w:p>
    <w:p>
      <w:pPr>
        <w:numPr>
          <w:ilvl w:val="0"/>
          <w:numId w:val="1021"/>
        </w:numPr>
        <w:pStyle w:val="Compact"/>
      </w:pPr>
      <w:r>
        <w:t xml:space="preserve">verificar gramática de material não confidencial.</w:t>
      </w:r>
    </w:p>
    <w:p>
      <w:pPr>
        <w:pStyle w:val="FirstParagraph"/>
      </w:pPr>
      <w:r>
        <w:t xml:space="preserve">Não use ferramentas públicas ou não aprovadas de IA para:</w:t>
      </w:r>
    </w:p>
    <w:p>
      <w:pPr>
        <w:numPr>
          <w:ilvl w:val="0"/>
          <w:numId w:val="1022"/>
        </w:numPr>
        <w:pStyle w:val="Compact"/>
      </w:pPr>
      <w:r>
        <w:t xml:space="preserve">inserir informações identificáveis de clientes;</w:t>
      </w:r>
    </w:p>
    <w:p>
      <w:pPr>
        <w:numPr>
          <w:ilvl w:val="0"/>
          <w:numId w:val="1022"/>
        </w:numPr>
        <w:pStyle w:val="Compact"/>
      </w:pPr>
      <w:r>
        <w:t xml:space="preserve">gerar ou alterar fatos clínicos;</w:t>
      </w:r>
    </w:p>
    <w:p>
      <w:pPr>
        <w:numPr>
          <w:ilvl w:val="0"/>
          <w:numId w:val="1022"/>
        </w:numPr>
        <w:pStyle w:val="Compact"/>
      </w:pPr>
      <w:r>
        <w:t xml:space="preserve">diagnosticar uma pessoa;</w:t>
      </w:r>
    </w:p>
    <w:p>
      <w:pPr>
        <w:numPr>
          <w:ilvl w:val="0"/>
          <w:numId w:val="1022"/>
        </w:numPr>
        <w:pStyle w:val="Compact"/>
      </w:pPr>
      <w:r>
        <w:t xml:space="preserve">selecionar ou alterar objetivos de tratamento de forma independente;</w:t>
      </w:r>
    </w:p>
    <w:p>
      <w:pPr>
        <w:numPr>
          <w:ilvl w:val="0"/>
          <w:numId w:val="1022"/>
        </w:numPr>
        <w:pStyle w:val="Compact"/>
      </w:pPr>
      <w:r>
        <w:t xml:space="preserve">fabricar documentação;</w:t>
      </w:r>
    </w:p>
    <w:p>
      <w:pPr>
        <w:numPr>
          <w:ilvl w:val="0"/>
          <w:numId w:val="1022"/>
        </w:numPr>
        <w:pStyle w:val="Compact"/>
      </w:pPr>
      <w:r>
        <w:t xml:space="preserve">inventar medições ou observações;</w:t>
      </w:r>
    </w:p>
    <w:p>
      <w:pPr>
        <w:numPr>
          <w:ilvl w:val="0"/>
          <w:numId w:val="1022"/>
        </w:numPr>
        <w:pStyle w:val="Compact"/>
      </w:pPr>
      <w:r>
        <w:t xml:space="preserve">ocultar erros;</w:t>
      </w:r>
    </w:p>
    <w:p>
      <w:pPr>
        <w:numPr>
          <w:ilvl w:val="0"/>
          <w:numId w:val="1022"/>
        </w:numPr>
        <w:pStyle w:val="Compact"/>
      </w:pPr>
      <w:r>
        <w:t xml:space="preserve">tomar decisões de alta; ou</w:t>
      </w:r>
    </w:p>
    <w:p>
      <w:pPr>
        <w:numPr>
          <w:ilvl w:val="0"/>
          <w:numId w:val="1022"/>
        </w:numPr>
        <w:pStyle w:val="Compact"/>
      </w:pPr>
      <w:r>
        <w:t xml:space="preserve">substituir o terapeuta ocupacional, a política do empregador ou a lei aplicável.</w:t>
      </w:r>
    </w:p>
    <w:p>
      <w:pPr>
        <w:pStyle w:val="FirstParagraph"/>
      </w:pPr>
      <w:r>
        <w:t xml:space="preserve">Trate a saída da IA como rascunho que pode estar errado. Verifique fatos, preserve a privacidade e siga a política da organização.</w:t>
      </w:r>
    </w:p>
    <w:bookmarkEnd w:id="45"/>
    <w:bookmarkStart w:id="46" w:name="Xaf62f114948ed4e89bc265b83f409cea172ece1"/>
    <w:p>
      <w:pPr>
        <w:pStyle w:val="Heading2"/>
      </w:pPr>
      <w:r>
        <w:t xml:space="preserve">Detecção de golpes e pausa antes de gastar</w:t>
      </w:r>
    </w:p>
    <w:p>
      <w:pPr>
        <w:pStyle w:val="FirstParagraph"/>
      </w:pPr>
      <w:r>
        <w:t xml:space="preserve">Educação em saúde é cara o suficiente para que todo pagamento importante mereça verificação.</w:t>
      </w:r>
    </w:p>
    <w:p>
      <w:pPr>
        <w:pStyle w:val="BodyText"/>
      </w:pPr>
      <w:r>
        <w:t xml:space="preserve">Pause antes de pagar quando uma escola, recrutador, serviço de credencial ou provedor de treinamento:</w:t>
      </w:r>
    </w:p>
    <w:p>
      <w:pPr>
        <w:numPr>
          <w:ilvl w:val="0"/>
          <w:numId w:val="1023"/>
        </w:numPr>
        <w:pStyle w:val="Compact"/>
      </w:pPr>
      <w:r>
        <w:t xml:space="preserve">garantir licença, certificação, emprego, status migratório ou salário específico;</w:t>
      </w:r>
    </w:p>
    <w:p>
      <w:pPr>
        <w:numPr>
          <w:ilvl w:val="0"/>
          <w:numId w:val="1023"/>
        </w:numPr>
        <w:pStyle w:val="Compact"/>
      </w:pPr>
      <w:r>
        <w:t xml:space="preserve">pressionar você a pagar imediatamente;</w:t>
      </w:r>
    </w:p>
    <w:p>
      <w:pPr>
        <w:numPr>
          <w:ilvl w:val="0"/>
          <w:numId w:val="1023"/>
        </w:numPr>
        <w:pStyle w:val="Compact"/>
      </w:pPr>
      <w:r>
        <w:t xml:space="preserve">alegar “credenciamento nacional” sem identificar o órgão reconhecido;</w:t>
      </w:r>
    </w:p>
    <w:p>
      <w:pPr>
        <w:numPr>
          <w:ilvl w:val="0"/>
          <w:numId w:val="1023"/>
        </w:numPr>
        <w:pStyle w:val="Compact"/>
      </w:pPr>
      <w:r>
        <w:t xml:space="preserve">afirmar que o programa é “alinhado ao ACOTE” sem aparecer com o status necessário;</w:t>
      </w:r>
    </w:p>
    <w:p>
      <w:pPr>
        <w:numPr>
          <w:ilvl w:val="0"/>
          <w:numId w:val="1023"/>
        </w:numPr>
        <w:pStyle w:val="Compact"/>
      </w:pPr>
      <w:r>
        <w:t xml:space="preserve">pedir mensalidades em criptomoedas, cartões-presente, transferências a pessoas físicas ou aplicativos incomuns de pagamento;</w:t>
      </w:r>
    </w:p>
    <w:p>
      <w:pPr>
        <w:numPr>
          <w:ilvl w:val="0"/>
          <w:numId w:val="1023"/>
        </w:numPr>
        <w:pStyle w:val="Compact"/>
      </w:pPr>
      <w:r>
        <w:t xml:space="preserve">prometer que você pode se tornar terapeuta ocupacional por meio de um curso muito curto de assistente;</w:t>
      </w:r>
    </w:p>
    <w:p>
      <w:pPr>
        <w:numPr>
          <w:ilvl w:val="0"/>
          <w:numId w:val="1023"/>
        </w:numPr>
        <w:pStyle w:val="Compact"/>
      </w:pPr>
      <w:r>
        <w:t xml:space="preserve">oferecer uma credencial COTA falsa sem elegibilidade e exame NBCOT;</w:t>
      </w:r>
    </w:p>
    <w:p>
      <w:pPr>
        <w:numPr>
          <w:ilvl w:val="0"/>
          <w:numId w:val="1023"/>
        </w:numPr>
        <w:pStyle w:val="Compact"/>
      </w:pPr>
      <w:r>
        <w:t xml:space="preserve">pedir compra de equipamentos ou envio de dinheiro para receber um emprego; ou</w:t>
      </w:r>
    </w:p>
    <w:p>
      <w:pPr>
        <w:numPr>
          <w:ilvl w:val="0"/>
          <w:numId w:val="1023"/>
        </w:numPr>
        <w:pStyle w:val="Compact"/>
      </w:pPr>
      <w:r>
        <w:t xml:space="preserve">recusar-se a fornecer por escrito informações de mensalidade, reembolso, credenciamento ou credencial.</w:t>
      </w:r>
    </w:p>
    <w:p>
      <w:pPr>
        <w:pStyle w:val="FirstParagraph"/>
      </w:pPr>
      <w:r>
        <w:t xml:space="preserve">Antes de um pagamento importante, verifique de forma independente a escola, o credenciamento do programa, a via de licença, o custo total, a política de reembolso e os termos de ajuda financeira.</w:t>
      </w:r>
    </w:p>
    <w:bookmarkEnd w:id="46"/>
    <w:bookmarkStart w:id="47" w:name="X198eeed9867b12321e4a917abc2a04c454fc1a2"/>
    <w:p>
      <w:pPr>
        <w:pStyle w:val="Heading2"/>
      </w:pPr>
      <w:r>
        <w:t xml:space="preserve">Escolhendo um programa — checklist de decisão</w:t>
      </w:r>
    </w:p>
    <w:p>
      <w:pPr>
        <w:pStyle w:val="FirstParagraph"/>
      </w:pPr>
      <w:r>
        <w:t xml:space="preserve">Uma boa decisão de programa deve responder:</w:t>
      </w:r>
    </w:p>
    <w:p>
      <w:pPr>
        <w:numPr>
          <w:ilvl w:val="0"/>
          <w:numId w:val="1024"/>
        </w:numPr>
        <w:pStyle w:val="Compact"/>
      </w:pPr>
      <w:r>
        <w:t xml:space="preserve">O programa OTA exato está atualmente credenciado pelo ACOTE ou em um status de credenciamento que sustenta a via que pretendo usar?</w:t>
      </w:r>
    </w:p>
    <w:p>
      <w:pPr>
        <w:numPr>
          <w:ilvl w:val="0"/>
          <w:numId w:val="1024"/>
        </w:numPr>
        <w:pStyle w:val="Compact"/>
      </w:pPr>
      <w:r>
        <w:t xml:space="preserve">Qual credencial vou obter?</w:t>
      </w:r>
    </w:p>
    <w:p>
      <w:pPr>
        <w:numPr>
          <w:ilvl w:val="0"/>
          <w:numId w:val="1024"/>
        </w:numPr>
        <w:pStyle w:val="Compact"/>
      </w:pPr>
      <w:r>
        <w:t xml:space="preserve">O programa satisfaz os requisitos educacionais da jurisdição onde pretendo solicitar licença?</w:t>
      </w:r>
    </w:p>
    <w:p>
      <w:pPr>
        <w:numPr>
          <w:ilvl w:val="0"/>
          <w:numId w:val="1024"/>
        </w:numPr>
        <w:pStyle w:val="Compact"/>
      </w:pPr>
      <w:r>
        <w:t xml:space="preserve">Qual é o custo total depois de grants e bolsas?</w:t>
      </w:r>
    </w:p>
    <w:p>
      <w:pPr>
        <w:numPr>
          <w:ilvl w:val="0"/>
          <w:numId w:val="1024"/>
        </w:numPr>
        <w:pStyle w:val="Compact"/>
      </w:pPr>
      <w:r>
        <w:t xml:space="preserve">Quanto de dívida eu precisaria assumir?</w:t>
      </w:r>
    </w:p>
    <w:p>
      <w:pPr>
        <w:numPr>
          <w:ilvl w:val="0"/>
          <w:numId w:val="1024"/>
        </w:numPr>
        <w:pStyle w:val="Compact"/>
      </w:pPr>
      <w:r>
        <w:t xml:space="preserve">A que distância de casa ou do campus podem ficar os locais de fieldwork?</w:t>
      </w:r>
    </w:p>
    <w:p>
      <w:pPr>
        <w:numPr>
          <w:ilvl w:val="0"/>
          <w:numId w:val="1024"/>
        </w:numPr>
        <w:pStyle w:val="Compact"/>
      </w:pPr>
      <w:r>
        <w:t xml:space="preserve">Posso cumprir requisitos diurnos, noturnos, de fim de semana ou viagem?</w:t>
      </w:r>
    </w:p>
    <w:p>
      <w:pPr>
        <w:numPr>
          <w:ilvl w:val="0"/>
          <w:numId w:val="1024"/>
        </w:numPr>
        <w:pStyle w:val="Compact"/>
      </w:pPr>
      <w:r>
        <w:t xml:space="preserve">Quais são os requisitos físicos e de documentação de saúde?</w:t>
      </w:r>
    </w:p>
    <w:p>
      <w:pPr>
        <w:numPr>
          <w:ilvl w:val="0"/>
          <w:numId w:val="1024"/>
        </w:numPr>
        <w:pStyle w:val="Compact"/>
      </w:pPr>
      <w:r>
        <w:t xml:space="preserve">Quais acomodações para deficiência estão disponíveis?</w:t>
      </w:r>
    </w:p>
    <w:p>
      <w:pPr>
        <w:numPr>
          <w:ilvl w:val="0"/>
          <w:numId w:val="1024"/>
        </w:numPr>
        <w:pStyle w:val="Compact"/>
      </w:pPr>
      <w:r>
        <w:t xml:space="preserve">Quais são os resultados de conclusão e do exame NBCOT?</w:t>
      </w:r>
    </w:p>
    <w:p>
      <w:pPr>
        <w:numPr>
          <w:ilvl w:val="0"/>
          <w:numId w:val="1024"/>
        </w:numPr>
        <w:pStyle w:val="Compact"/>
      </w:pPr>
      <w:r>
        <w:t xml:space="preserve">Qual é a política de reembolso/desistência?</w:t>
      </w:r>
    </w:p>
    <w:p>
      <w:pPr>
        <w:numPr>
          <w:ilvl w:val="0"/>
          <w:numId w:val="1024"/>
        </w:numPr>
        <w:pStyle w:val="Compact"/>
      </w:pPr>
      <w:r>
        <w:t xml:space="preserve">O que os empregadores locais realmente exigem?</w:t>
      </w:r>
    </w:p>
    <w:p>
      <w:pPr>
        <w:numPr>
          <w:ilvl w:val="0"/>
          <w:numId w:val="1024"/>
        </w:numPr>
        <w:pStyle w:val="Compact"/>
      </w:pPr>
      <w:r>
        <w:t xml:space="preserve">A remuneração local é razoável em relação à mensalidade, dívida, transporte e custo de vida?</w:t>
      </w:r>
    </w:p>
    <w:p>
      <w:pPr>
        <w:pStyle w:val="FirstParagraph"/>
      </w:pPr>
      <w:r>
        <w:t xml:space="preserve">Se essas respostas não estiverem claras, pause antes de pagar.</w:t>
      </w:r>
    </w:p>
    <w:bookmarkEnd w:id="47"/>
    <w:bookmarkStart w:id="48" w:name="perguntas-para-fazer-a-um-empregador"/>
    <w:p>
      <w:pPr>
        <w:pStyle w:val="Heading2"/>
      </w:pPr>
      <w:r>
        <w:t xml:space="preserve">Perguntas para fazer a um empregador</w:t>
      </w:r>
    </w:p>
    <w:p>
      <w:pPr>
        <w:pStyle w:val="FirstParagraph"/>
      </w:pPr>
      <w:r>
        <w:t xml:space="preserve">Perguntas úteis em entrevistas incluem:</w:t>
      </w:r>
    </w:p>
    <w:p>
      <w:pPr>
        <w:numPr>
          <w:ilvl w:val="0"/>
          <w:numId w:val="1025"/>
        </w:numPr>
        <w:pStyle w:val="Compact"/>
      </w:pPr>
      <w:r>
        <w:t xml:space="preserve">Como a supervisão de OTA é estruturada aqui?</w:t>
      </w:r>
    </w:p>
    <w:p>
      <w:pPr>
        <w:numPr>
          <w:ilvl w:val="0"/>
          <w:numId w:val="1025"/>
        </w:numPr>
        <w:pStyle w:val="Compact"/>
      </w:pPr>
      <w:r>
        <w:t xml:space="preserve">Qual é a carga de casos típica e a expectativa de produtividade?</w:t>
      </w:r>
    </w:p>
    <w:p>
      <w:pPr>
        <w:numPr>
          <w:ilvl w:val="0"/>
          <w:numId w:val="1025"/>
        </w:numPr>
        <w:pStyle w:val="Compact"/>
      </w:pPr>
      <w:r>
        <w:t xml:space="preserve">Quais populações e diagnósticos são mais comuns?</w:t>
      </w:r>
    </w:p>
    <w:p>
      <w:pPr>
        <w:numPr>
          <w:ilvl w:val="0"/>
          <w:numId w:val="1025"/>
        </w:numPr>
        <w:pStyle w:val="Compact"/>
      </w:pPr>
      <w:r>
        <w:t xml:space="preserve">Quanto tempo de documentação é incorporado à agenda?</w:t>
      </w:r>
    </w:p>
    <w:p>
      <w:pPr>
        <w:numPr>
          <w:ilvl w:val="0"/>
          <w:numId w:val="1025"/>
        </w:numPr>
        <w:pStyle w:val="Compact"/>
      </w:pPr>
      <w:r>
        <w:t xml:space="preserve">Trabalho noturno, fins de semana, feriados ou viagens são exigidos?</w:t>
      </w:r>
    </w:p>
    <w:p>
      <w:pPr>
        <w:numPr>
          <w:ilvl w:val="0"/>
          <w:numId w:val="1025"/>
        </w:numPr>
        <w:pStyle w:val="Compact"/>
      </w:pPr>
      <w:r>
        <w:t xml:space="preserve">Quais competências de levantamento, transferência, alimentação, órteses/talas ou equipamentos são esperadas?</w:t>
      </w:r>
    </w:p>
    <w:p>
      <w:pPr>
        <w:numPr>
          <w:ilvl w:val="0"/>
          <w:numId w:val="1025"/>
        </w:numPr>
        <w:pStyle w:val="Compact"/>
      </w:pPr>
      <w:r>
        <w:t xml:space="preserve">Que orientação e validação de competências são fornecidas?</w:t>
      </w:r>
    </w:p>
    <w:p>
      <w:pPr>
        <w:numPr>
          <w:ilvl w:val="0"/>
          <w:numId w:val="1025"/>
        </w:numPr>
        <w:pStyle w:val="Compact"/>
      </w:pPr>
      <w:r>
        <w:t xml:space="preserve">Como preocupações urgentes de segurança são escaladas?</w:t>
      </w:r>
    </w:p>
    <w:p>
      <w:pPr>
        <w:numPr>
          <w:ilvl w:val="0"/>
          <w:numId w:val="1025"/>
        </w:numPr>
        <w:pStyle w:val="Compact"/>
      </w:pPr>
      <w:r>
        <w:t xml:space="preserve">Qual prontuário eletrônico ou sistema de documentação é usado?</w:t>
      </w:r>
    </w:p>
    <w:p>
      <w:pPr>
        <w:numPr>
          <w:ilvl w:val="0"/>
          <w:numId w:val="1025"/>
        </w:numPr>
        <w:pStyle w:val="Compact"/>
      </w:pPr>
      <w:r>
        <w:t xml:space="preserve">Que educação continuada ou ajuda de mensalidade está disponível?</w:t>
      </w:r>
    </w:p>
    <w:p>
      <w:pPr>
        <w:numPr>
          <w:ilvl w:val="0"/>
          <w:numId w:val="1025"/>
        </w:numPr>
        <w:pStyle w:val="Compact"/>
      </w:pPr>
      <w:r>
        <w:t xml:space="preserve">Como a organização protege tempo para colaboração entre terapeuta ocupacional e OTA?</w:t>
      </w:r>
    </w:p>
    <w:bookmarkEnd w:id="48"/>
    <w:bookmarkStart w:id="49" w:name="Xb4d85a373a756ac8904f13b3f0e45c6bc84dc11"/>
    <w:p>
      <w:pPr>
        <w:pStyle w:val="Heading2"/>
      </w:pPr>
      <w:r>
        <w:t xml:space="preserve">Portfólio e preparação para busca de emprego</w:t>
      </w:r>
    </w:p>
    <w:p>
      <w:pPr>
        <w:pStyle w:val="FirstParagraph"/>
      </w:pPr>
      <w:r>
        <w:t xml:space="preserve">Um novo portfólio de OTA pode incluir evidências não confidenciais, como:</w:t>
      </w:r>
    </w:p>
    <w:p>
      <w:pPr>
        <w:numPr>
          <w:ilvl w:val="0"/>
          <w:numId w:val="1026"/>
        </w:numPr>
        <w:pStyle w:val="Compact"/>
      </w:pPr>
      <w:r>
        <w:t xml:space="preserve">currículo e carta de apresentação direcionada;</w:t>
      </w:r>
    </w:p>
    <w:p>
      <w:pPr>
        <w:numPr>
          <w:ilvl w:val="0"/>
          <w:numId w:val="1026"/>
        </w:numPr>
        <w:pStyle w:val="Compact"/>
      </w:pPr>
      <w:r>
        <w:t xml:space="preserve">informações atuais de licença ou permissão, quando apropriado;</w:t>
      </w:r>
    </w:p>
    <w:p>
      <w:pPr>
        <w:numPr>
          <w:ilvl w:val="0"/>
          <w:numId w:val="1026"/>
        </w:numPr>
        <w:pStyle w:val="Compact"/>
      </w:pPr>
      <w:r>
        <w:t xml:space="preserve">status de certificação COTA;</w:t>
      </w:r>
    </w:p>
    <w:p>
      <w:pPr>
        <w:numPr>
          <w:ilvl w:val="0"/>
          <w:numId w:val="1026"/>
        </w:numPr>
        <w:pStyle w:val="Compact"/>
      </w:pPr>
      <w:r>
        <w:t xml:space="preserve">documentação de CPR/BLS, se exigida;</w:t>
      </w:r>
    </w:p>
    <w:p>
      <w:pPr>
        <w:numPr>
          <w:ilvl w:val="0"/>
          <w:numId w:val="1026"/>
        </w:numPr>
        <w:pStyle w:val="Compact"/>
      </w:pPr>
      <w:r>
        <w:t xml:space="preserve">resumos de ambientes de fieldwork sem revelar identidade de clientes;</w:t>
      </w:r>
    </w:p>
    <w:p>
      <w:pPr>
        <w:numPr>
          <w:ilvl w:val="0"/>
          <w:numId w:val="1026"/>
        </w:numPr>
        <w:pStyle w:val="Compact"/>
      </w:pPr>
      <w:r>
        <w:t xml:space="preserve">projetos acadêmicos sem informações protegidas;</w:t>
      </w:r>
    </w:p>
    <w:p>
      <w:pPr>
        <w:numPr>
          <w:ilvl w:val="0"/>
          <w:numId w:val="1026"/>
        </w:numPr>
        <w:pStyle w:val="Compact"/>
      </w:pPr>
      <w:r>
        <w:t xml:space="preserve">certificados de educação continuada;</w:t>
      </w:r>
    </w:p>
    <w:p>
      <w:pPr>
        <w:numPr>
          <w:ilvl w:val="0"/>
          <w:numId w:val="1026"/>
        </w:numPr>
        <w:pStyle w:val="Compact"/>
      </w:pPr>
      <w:r>
        <w:t xml:space="preserve">treinamento em tecnologia assistiva ou equipamentos adaptativos;</w:t>
      </w:r>
    </w:p>
    <w:p>
      <w:pPr>
        <w:numPr>
          <w:ilvl w:val="0"/>
          <w:numId w:val="1026"/>
        </w:numPr>
        <w:pStyle w:val="Compact"/>
      </w:pPr>
      <w:r>
        <w:t xml:space="preserve">exemplos de melhoria de qualidade ou trabalho em equipe; e</w:t>
      </w:r>
    </w:p>
    <w:p>
      <w:pPr>
        <w:numPr>
          <w:ilvl w:val="0"/>
          <w:numId w:val="1026"/>
        </w:numPr>
        <w:pStyle w:val="Compact"/>
      </w:pPr>
      <w:r>
        <w:t xml:space="preserve">referências que concordaram em ser contatadas.</w:t>
      </w:r>
    </w:p>
    <w:p>
      <w:pPr>
        <w:pStyle w:val="FirstParagraph"/>
      </w:pPr>
      <w:r>
        <w:t xml:space="preserve">Nunca coloque informações protegidas de clientes, fotografias identificáveis, prontuários médicos, registros educacionais ou material confidencial de empregador em um portfólio.</w:t>
      </w:r>
    </w:p>
    <w:bookmarkEnd w:id="49"/>
    <w:bookmarkStart w:id="50" w:name="Xf59277b2b9549083ea059396324c51331c2c121"/>
    <w:p>
      <w:pPr>
        <w:pStyle w:val="Heading2"/>
      </w:pPr>
      <w:r>
        <w:t xml:space="preserve">Linguagem de currículo que permanece precisa</w:t>
      </w:r>
    </w:p>
    <w:p>
      <w:pPr>
        <w:pStyle w:val="FirstParagraph"/>
      </w:pPr>
      <w:r>
        <w:t xml:space="preserve">Use declarações baseadas em evidências, como:</w:t>
      </w:r>
    </w:p>
    <w:p>
      <w:pPr>
        <w:numPr>
          <w:ilvl w:val="0"/>
          <w:numId w:val="1027"/>
        </w:numPr>
        <w:pStyle w:val="Compact"/>
      </w:pPr>
      <w:r>
        <w:t xml:space="preserve">“Implementei intervenções de terapia ocupacional sob supervisão e dentro do plano do terapeuta ocupacional.”</w:t>
      </w:r>
    </w:p>
    <w:p>
      <w:pPr>
        <w:numPr>
          <w:ilvl w:val="0"/>
          <w:numId w:val="1027"/>
        </w:numPr>
        <w:pStyle w:val="Compact"/>
      </w:pPr>
      <w:r>
        <w:t xml:space="preserve">“Documentei a resposta do cliente e comuniquei progresso e preocupações de segurança ao terapeuta ocupacional supervisor.”</w:t>
      </w:r>
    </w:p>
    <w:p>
      <w:pPr>
        <w:numPr>
          <w:ilvl w:val="0"/>
          <w:numId w:val="1027"/>
        </w:numPr>
        <w:pStyle w:val="Compact"/>
      </w:pPr>
      <w:r>
        <w:t xml:space="preserve">“Apoiei atividades de vida diária, treinamento com equipamentos adaptativos e prática de tarefas funcionais dentro de planos estabelecidos.”</w:t>
      </w:r>
    </w:p>
    <w:p>
      <w:pPr>
        <w:numPr>
          <w:ilvl w:val="0"/>
          <w:numId w:val="1027"/>
        </w:numPr>
        <w:pStyle w:val="Compact"/>
      </w:pPr>
      <w:r>
        <w:t xml:space="preserve">“Concluí fieldwork em ambientes pediátricos, de reabilitação, escolares, de enfermagem especializada ou outros ambientes verificados.”</w:t>
      </w:r>
    </w:p>
    <w:p>
      <w:pPr>
        <w:pStyle w:val="FirstParagraph"/>
      </w:pPr>
      <w:r>
        <w:t xml:space="preserve">Não alegue que diagnosticou clientes, criou planos de cuidado de forma independente, possuía licença que não tinha ou utilizou modalidade ou técnica especializada para a qual não foi treinado.</w:t>
      </w:r>
    </w:p>
    <w:bookmarkEnd w:id="50"/>
    <w:bookmarkStart w:id="51" w:name="acessibilidade-e-apoio-à-deficiência"/>
    <w:p>
      <w:pPr>
        <w:pStyle w:val="Heading2"/>
      </w:pPr>
      <w:r>
        <w:t xml:space="preserve">Acessibilidade e apoio à deficiência</w:t>
      </w:r>
    </w:p>
    <w:p>
      <w:pPr>
        <w:pStyle w:val="FirstParagraph"/>
      </w:pPr>
      <w:r>
        <w:t xml:space="preserve">Alunos e trabalhadores com deficiência podem ter sucesso em vias de occupational therapy assistant, mas a combinação de fieldwork clínico e funções essenciais do trabalho torna importante planejar cedo.</w:t>
      </w:r>
    </w:p>
    <w:p>
      <w:pPr>
        <w:pStyle w:val="BodyText"/>
      </w:pPr>
      <w:r>
        <w:t xml:space="preserve">Antes da matrícula, pergunte à escola sobre:</w:t>
      </w:r>
    </w:p>
    <w:p>
      <w:pPr>
        <w:numPr>
          <w:ilvl w:val="0"/>
          <w:numId w:val="1028"/>
        </w:numPr>
        <w:pStyle w:val="Compact"/>
      </w:pPr>
      <w:r>
        <w:t xml:space="preserve">procedimentos de serviços para pessoas com deficiência;</w:t>
      </w:r>
    </w:p>
    <w:p>
      <w:pPr>
        <w:numPr>
          <w:ilvl w:val="0"/>
          <w:numId w:val="1028"/>
        </w:numPr>
        <w:pStyle w:val="Compact"/>
      </w:pPr>
      <w:r>
        <w:t xml:space="preserve">acomodações em sala de aula e laboratório;</w:t>
      </w:r>
    </w:p>
    <w:p>
      <w:pPr>
        <w:numPr>
          <w:ilvl w:val="0"/>
          <w:numId w:val="1028"/>
        </w:numPr>
        <w:pStyle w:val="Compact"/>
      </w:pPr>
      <w:r>
        <w:t xml:space="preserve">acomodações de prova;</w:t>
      </w:r>
    </w:p>
    <w:p>
      <w:pPr>
        <w:numPr>
          <w:ilvl w:val="0"/>
          <w:numId w:val="1028"/>
        </w:numPr>
        <w:pStyle w:val="Compact"/>
      </w:pPr>
      <w:r>
        <w:t xml:space="preserve">planejamento de acomodações para fieldwork;</w:t>
      </w:r>
    </w:p>
    <w:p>
      <w:pPr>
        <w:numPr>
          <w:ilvl w:val="0"/>
          <w:numId w:val="1028"/>
        </w:numPr>
        <w:pStyle w:val="Compact"/>
      </w:pPr>
      <w:r>
        <w:t xml:space="preserve">tecnologia e materiais didáticos acessíveis;</w:t>
      </w:r>
    </w:p>
    <w:p>
      <w:pPr>
        <w:numPr>
          <w:ilvl w:val="0"/>
          <w:numId w:val="1028"/>
        </w:numPr>
        <w:pStyle w:val="Compact"/>
      </w:pPr>
      <w:r>
        <w:t xml:space="preserve">requisitos de presença e horário;</w:t>
      </w:r>
    </w:p>
    <w:p>
      <w:pPr>
        <w:numPr>
          <w:ilvl w:val="0"/>
          <w:numId w:val="1028"/>
        </w:numPr>
        <w:pStyle w:val="Compact"/>
      </w:pPr>
      <w:r>
        <w:t xml:space="preserve">execução segura de tarefas clínicas essenciais; e</w:t>
      </w:r>
    </w:p>
    <w:p>
      <w:pPr>
        <w:numPr>
          <w:ilvl w:val="0"/>
          <w:numId w:val="1028"/>
        </w:numPr>
        <w:pStyle w:val="Compact"/>
      </w:pPr>
      <w:r>
        <w:t xml:space="preserve">como solicitações de acomodação são coordenadas com os locais de fieldwork.</w:t>
      </w:r>
    </w:p>
    <w:p>
      <w:pPr>
        <w:pStyle w:val="FirstParagraph"/>
      </w:pPr>
      <w:r>
        <w:t xml:space="preserve">O NBCOT também publica procedimentos de acomodação para testes. Solicite cedo e siga os requisitos atuais de documentação.</w:t>
      </w:r>
    </w:p>
    <w:p>
      <w:pPr>
        <w:pStyle w:val="BodyText"/>
      </w:pPr>
      <w:r>
        <w:t xml:space="preserve">Uma acomodação não elimina competências essenciais legítimas nem requisitos de segurança do paciente, mas escolas e empregadores podem ter obrigação de fornecer acomodações razoáveis conforme a lei aplicável.</w:t>
      </w:r>
    </w:p>
    <w:bookmarkEnd w:id="51"/>
    <w:bookmarkStart w:id="67" w:name="X0504120bb77d896c8fa663651cc448fb9f55dee"/>
    <w:p>
      <w:pPr>
        <w:pStyle w:val="Heading2"/>
      </w:pPr>
      <w:r>
        <w:t xml:space="preserve">Lista de fontes — verifique antes de decisões importantes</w:t>
      </w:r>
    </w:p>
    <w:p>
      <w:pPr>
        <w:pStyle w:val="FirstParagraph"/>
      </w:pPr>
      <w:r>
        <w:rPr>
          <w:bCs/>
          <w:b/>
        </w:rPr>
        <w:t xml:space="preserve">Estados Unidos</w:t>
      </w:r>
    </w:p>
    <w:p>
      <w:pPr>
        <w:numPr>
          <w:ilvl w:val="0"/>
          <w:numId w:val="1029"/>
        </w:numPr>
        <w:pStyle w:val="Compact"/>
      </w:pPr>
      <w:r>
        <w:t xml:space="preserve">U.S. Bureau of Labor Statistics — Occupational Therapy Assistants and Aides:</w:t>
      </w:r>
      <w:r>
        <w:t xml:space="preserve"> </w:t>
      </w:r>
      <w:hyperlink r:id="rId52">
        <w:hyperlink r:id="rId52">
          <w:r>
            <w:rPr>
              <w:rStyle w:val="Hyperlink"/>
            </w:rPr>
            <w:t xml:space="preserve">Source link</w:t>
          </w:r>
        </w:hyperlink>
      </w:hyperlink>
    </w:p>
    <w:p>
      <w:pPr>
        <w:numPr>
          <w:ilvl w:val="0"/>
          <w:numId w:val="1029"/>
        </w:numPr>
        <w:pStyle w:val="Compact"/>
      </w:pPr>
      <w:r>
        <w:t xml:space="preserve">ACOTE — accredited programs and accreditation information:</w:t>
      </w:r>
      <w:r>
        <w:t xml:space="preserve"> </w:t>
      </w:r>
      <w:hyperlink r:id="rId53">
        <w:r>
          <w:rPr>
            <w:rStyle w:val="Hyperlink"/>
          </w:rPr>
          <w:t xml:space="preserve">https://acoteonline.org/all-schools/</w:t>
        </w:r>
      </w:hyperlink>
    </w:p>
    <w:p>
      <w:pPr>
        <w:numPr>
          <w:ilvl w:val="0"/>
          <w:numId w:val="1029"/>
        </w:numPr>
        <w:pStyle w:val="Compact"/>
      </w:pPr>
      <w:r>
        <w:t xml:space="preserve">ACOTE — current standards:</w:t>
      </w:r>
      <w:r>
        <w:t xml:space="preserve"> </w:t>
      </w:r>
      <w:hyperlink r:id="rId54">
        <w:hyperlink r:id="rId54">
          <w:r>
            <w:rPr>
              <w:rStyle w:val="Hyperlink"/>
            </w:rPr>
            <w:t xml:space="preserve">Source link</w:t>
          </w:r>
        </w:hyperlink>
      </w:hyperlink>
    </w:p>
    <w:p>
      <w:pPr>
        <w:numPr>
          <w:ilvl w:val="0"/>
          <w:numId w:val="1029"/>
        </w:numPr>
        <w:pStyle w:val="Compact"/>
      </w:pPr>
      <w:r>
        <w:t xml:space="preserve">NBCOT — certification pathway:</w:t>
      </w:r>
      <w:r>
        <w:t xml:space="preserve"> </w:t>
      </w:r>
      <w:hyperlink r:id="rId55">
        <w:r>
          <w:rPr>
            <w:rStyle w:val="Hyperlink"/>
          </w:rPr>
          <w:t xml:space="preserve">https://www.nbcot.org/get-certified</w:t>
        </w:r>
      </w:hyperlink>
    </w:p>
    <w:p>
      <w:pPr>
        <w:numPr>
          <w:ilvl w:val="0"/>
          <w:numId w:val="1029"/>
        </w:numPr>
        <w:pStyle w:val="Compact"/>
      </w:pPr>
      <w:r>
        <w:t xml:space="preserve">NBCOT — eligibility:</w:t>
      </w:r>
      <w:r>
        <w:t xml:space="preserve"> </w:t>
      </w:r>
      <w:hyperlink r:id="rId56">
        <w:hyperlink r:id="rId56">
          <w:r>
            <w:rPr>
              <w:rStyle w:val="Hyperlink"/>
            </w:rPr>
            <w:t xml:space="preserve">Source link</w:t>
          </w:r>
        </w:hyperlink>
      </w:hyperlink>
    </w:p>
    <w:p>
      <w:pPr>
        <w:numPr>
          <w:ilvl w:val="0"/>
          <w:numId w:val="1029"/>
        </w:numPr>
        <w:pStyle w:val="Compact"/>
      </w:pPr>
      <w:r>
        <w:t xml:space="preserve">NBCOT — OTR/COTA role explanation:</w:t>
      </w:r>
      <w:r>
        <w:t xml:space="preserve"> </w:t>
      </w:r>
      <w:hyperlink r:id="rId57">
        <w:hyperlink r:id="rId57">
          <w:r>
            <w:rPr>
              <w:rStyle w:val="Hyperlink"/>
            </w:rPr>
            <w:t xml:space="preserve">Source link</w:t>
          </w:r>
        </w:hyperlink>
      </w:hyperlink>
    </w:p>
    <w:p>
      <w:pPr>
        <w:numPr>
          <w:ilvl w:val="0"/>
          <w:numId w:val="1029"/>
        </w:numPr>
        <w:pStyle w:val="Compact"/>
      </w:pPr>
      <w:r>
        <w:t xml:space="preserve">Federal Student Aid:</w:t>
      </w:r>
      <w:r>
        <w:t xml:space="preserve"> </w:t>
      </w:r>
      <w:hyperlink r:id="rId58">
        <w:r>
          <w:rPr>
            <w:rStyle w:val="Hyperlink"/>
          </w:rPr>
          <w:t xml:space="preserve">https://studentaid.gov/</w:t>
        </w:r>
      </w:hyperlink>
    </w:p>
    <w:p>
      <w:pPr>
        <w:numPr>
          <w:ilvl w:val="0"/>
          <w:numId w:val="1029"/>
        </w:numPr>
        <w:pStyle w:val="Compact"/>
      </w:pPr>
      <w:r>
        <w:t xml:space="preserve">U.S. Department of Labor WIOA guidance:</w:t>
      </w:r>
      <w:r>
        <w:t xml:space="preserve"> </w:t>
      </w:r>
      <w:hyperlink r:id="rId59">
        <w:hyperlink r:id="rId59">
          <w:r>
            <w:rPr>
              <w:rStyle w:val="Hyperlink"/>
            </w:rPr>
            <w:t xml:space="preserve">Source link</w:t>
          </w:r>
        </w:hyperlink>
      </w:hyperlink>
    </w:p>
    <w:p>
      <w:pPr>
        <w:pStyle w:val="FirstParagraph"/>
      </w:pPr>
      <w:r>
        <w:rPr>
          <w:bCs/>
          <w:b/>
        </w:rPr>
        <w:t xml:space="preserve">Canadá</w:t>
      </w:r>
    </w:p>
    <w:p>
      <w:pPr>
        <w:numPr>
          <w:ilvl w:val="0"/>
          <w:numId w:val="1030"/>
        </w:numPr>
        <w:pStyle w:val="Compact"/>
      </w:pPr>
      <w:r>
        <w:t xml:space="preserve">Government of Canada Job Bank — Occupational Therapy Assistant / NOC 32109:</w:t>
      </w:r>
      <w:r>
        <w:t xml:space="preserve"> </w:t>
      </w:r>
      <w:hyperlink r:id="rId60">
        <w:hyperlink r:id="rId60">
          <w:r>
            <w:rPr>
              <w:rStyle w:val="Hyperlink"/>
            </w:rPr>
            <w:t xml:space="preserve">Source link</w:t>
          </w:r>
        </w:hyperlink>
      </w:hyperlink>
    </w:p>
    <w:p>
      <w:pPr>
        <w:numPr>
          <w:ilvl w:val="0"/>
          <w:numId w:val="1030"/>
        </w:numPr>
        <w:pStyle w:val="Compact"/>
      </w:pPr>
      <w:r>
        <w:t xml:space="preserve">Job Bank wages:</w:t>
      </w:r>
      <w:r>
        <w:t xml:space="preserve"> </w:t>
      </w:r>
      <w:hyperlink r:id="rId61">
        <w:hyperlink r:id="rId61">
          <w:r>
            <w:rPr>
              <w:rStyle w:val="Hyperlink"/>
            </w:rPr>
            <w:t xml:space="preserve">Source link</w:t>
          </w:r>
        </w:hyperlink>
      </w:hyperlink>
    </w:p>
    <w:p>
      <w:pPr>
        <w:numPr>
          <w:ilvl w:val="0"/>
          <w:numId w:val="1030"/>
        </w:numPr>
        <w:pStyle w:val="Compact"/>
      </w:pPr>
      <w:r>
        <w:t xml:space="preserve">Canada Student Aid:</w:t>
      </w:r>
      <w:r>
        <w:t xml:space="preserve"> </w:t>
      </w:r>
      <w:hyperlink r:id="rId62">
        <w:hyperlink r:id="rId62">
          <w:r>
            <w:rPr>
              <w:rStyle w:val="Hyperlink"/>
            </w:rPr>
            <w:t xml:space="preserve">Source link</w:t>
          </w:r>
        </w:hyperlink>
      </w:hyperlink>
    </w:p>
    <w:p>
      <w:pPr>
        <w:pStyle w:val="FirstParagraph"/>
      </w:pPr>
      <w:r>
        <w:rPr>
          <w:bCs/>
          <w:b/>
        </w:rPr>
        <w:t xml:space="preserve">Colômbia / América Latina</w:t>
      </w:r>
    </w:p>
    <w:p>
      <w:pPr>
        <w:numPr>
          <w:ilvl w:val="0"/>
          <w:numId w:val="1031"/>
        </w:numPr>
        <w:pStyle w:val="Compact"/>
      </w:pPr>
      <w:r>
        <w:t xml:space="preserve">Colombia Ley 949 de 2005 — SUIN-Juriscol:</w:t>
      </w:r>
      <w:r>
        <w:t xml:space="preserve"> </w:t>
      </w:r>
      <w:hyperlink r:id="rId63">
        <w:hyperlink r:id="rId63">
          <w:r>
            <w:rPr>
              <w:rStyle w:val="Hyperlink"/>
            </w:rPr>
            <w:t xml:space="preserve">Source link</w:t>
          </w:r>
        </w:hyperlink>
      </w:hyperlink>
    </w:p>
    <w:p>
      <w:pPr>
        <w:numPr>
          <w:ilvl w:val="0"/>
          <w:numId w:val="1031"/>
        </w:numPr>
        <w:pStyle w:val="Compact"/>
      </w:pPr>
      <w:r>
        <w:t xml:space="preserve">SENA:</w:t>
      </w:r>
      <w:r>
        <w:t xml:space="preserve"> </w:t>
      </w:r>
      <w:hyperlink r:id="rId64">
        <w:r>
          <w:rPr>
            <w:rStyle w:val="Hyperlink"/>
          </w:rPr>
          <w:t xml:space="preserve">https://www.sena.edu.co/</w:t>
        </w:r>
      </w:hyperlink>
    </w:p>
    <w:p>
      <w:pPr>
        <w:numPr>
          <w:ilvl w:val="0"/>
          <w:numId w:val="1031"/>
        </w:numPr>
        <w:pStyle w:val="Compact"/>
      </w:pPr>
      <w:r>
        <w:t xml:space="preserve">Ministerio de Educación Nacional:</w:t>
      </w:r>
      <w:r>
        <w:t xml:space="preserve"> </w:t>
      </w:r>
      <w:hyperlink r:id="rId65">
        <w:r>
          <w:rPr>
            <w:rStyle w:val="Hyperlink"/>
          </w:rPr>
          <w:t xml:space="preserve">https://www.mineducacion.gov.co/</w:t>
        </w:r>
      </w:hyperlink>
    </w:p>
    <w:p>
      <w:pPr>
        <w:pStyle w:val="FirstParagraph"/>
      </w:pPr>
      <w:r>
        <w:rPr>
          <w:bCs/>
          <w:b/>
        </w:rPr>
        <w:t xml:space="preserve">Suplemento salarial privado</w:t>
      </w:r>
    </w:p>
    <w:p>
      <w:pPr>
        <w:numPr>
          <w:ilvl w:val="0"/>
          <w:numId w:val="1032"/>
        </w:numPr>
        <w:pStyle w:val="Compact"/>
      </w:pPr>
      <w:r>
        <w:t xml:space="preserve">Salary.com — Occupational Therapy Assistant Salary, updated August 1, 2026:</w:t>
      </w:r>
      <w:r>
        <w:t xml:space="preserve"> </w:t>
      </w:r>
      <w:hyperlink r:id="rId66">
        <w:hyperlink r:id="rId66">
          <w:r>
            <w:rPr>
              <w:rStyle w:val="Hyperlink"/>
            </w:rPr>
            <w:t xml:space="preserve">Source link</w:t>
          </w:r>
        </w:hyperlink>
      </w:hyperlink>
    </w:p>
    <w:bookmarkEnd w:id="67"/>
    <w:bookmarkStart w:id="68" w:name="verificação-final-da-realidade"/>
    <w:p>
      <w:pPr>
        <w:pStyle w:val="Heading2"/>
      </w:pPr>
      <w:r>
        <w:t xml:space="preserve">Verificação final da realidade</w:t>
      </w:r>
    </w:p>
    <w:p>
      <w:pPr>
        <w:pStyle w:val="FirstParagraph"/>
      </w:pPr>
      <w:r>
        <w:t xml:space="preserve">O trabalho de occupational therapy assistant pode oferecer serviço direto significativo, forte crescimento projetado nos Estados Unidos e vários ambientes de prática. Também envolve responsabilidade substancial. Você pode trabalhar com pessoas lesionadas, clinicamente frágeis, com comprometimento cognitivo, em sofrimento emocional, desenvolvendo novas habilidades ou adaptando-se a uma deficiência.</w:t>
      </w:r>
    </w:p>
    <w:p>
      <w:pPr>
        <w:pStyle w:val="BodyText"/>
      </w:pPr>
      <w:r>
        <w:t xml:space="preserve">O caminho mais seguro não é o anúncio mais rápido. Verifique credenciamento, elegibilidade de certificação, licenciamento, escopo, fieldwork, custo total, financiamento, exigências físicas e condições locais de emprego antes de se comprometer.</w:t>
      </w:r>
    </w:p>
    <w:p>
      <w:pPr>
        <w:pStyle w:val="BodyText"/>
      </w:pPr>
      <w:r>
        <w:t xml:space="preserve">Este guia fornece informações gerais de educação e planejamento de carreira. Não garante admissão, graduação, certificação, licença, reconhecimento de credencial, financiamento, emprego, salário, promoção, status migratório ou qualquer outro resultado. Não constitui aconselhamento médico, jurídico, financeiro ou regulatório.</w:t>
      </w:r>
    </w:p>
    <w:p>
      <w:pPr>
        <w:pStyle w:val="BodyText"/>
      </w:pPr>
      <w:r>
        <w:t xml:space="preserve">O projeto não afirma certificação humana independente, certificação profissional de tradução, revisão clínica, revisão jurídica, certificação de acessibilidade, credenciamento, aprovação de licença ou resultados garantidos, salvo quando tal revisão for separada e explicitamente documentada.</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_rels/footnotes.xml.rels><?xml version="1.0" encoding="UTF-8"?><Relationships xmlns="http://schemas.openxmlformats.org/package/2006/relationships"><Relationship Type="http://schemas.openxmlformats.org/officeDocument/2006/relationships/hyperlink" Id="rId54" Target="https://acoteonline.org/accreditation-explained/standards/" TargetMode="External" /><Relationship Type="http://schemas.openxmlformats.org/officeDocument/2006/relationships/hyperlink" Id="rId53" Target="https://acoteonline.org/all-schools/" TargetMode="External" /><Relationship Type="http://schemas.openxmlformats.org/officeDocument/2006/relationships/hyperlink" Id="rId58" Target="https://studentaid.gov/" TargetMode="External" /><Relationship Type="http://schemas.openxmlformats.org/officeDocument/2006/relationships/hyperlink" Id="rId52" Target="https://www.bls.gov/ooh/healthcare/occupational-therapy-assistants-and-aides.htm" TargetMode="External" /><Relationship Type="http://schemas.openxmlformats.org/officeDocument/2006/relationships/hyperlink" Id="rId62" Target="https://www.canada.ca/en/services/benefits/education/student-aid.html" TargetMode="External" /><Relationship Type="http://schemas.openxmlformats.org/officeDocument/2006/relationships/hyperlink" Id="rId59" Target="https://www.dol.gov/agencies/eta/advisories/training-and-employment-guidance-letter-no-08-19" TargetMode="External" /><Relationship Type="http://schemas.openxmlformats.org/officeDocument/2006/relationships/hyperlink" Id="rId60" Target="https://www.jobbank.gc.ca/marketreport/summary-occupation/25666/ca" TargetMode="External" /><Relationship Type="http://schemas.openxmlformats.org/officeDocument/2006/relationships/hyperlink" Id="rId61" Target="https://www.jobbank.gc.ca/marketreport/wages-occupation/25666/ca" TargetMode="External" /><Relationship Type="http://schemas.openxmlformats.org/officeDocument/2006/relationships/hyperlink" Id="rId65" Target="https://www.mineducacion.gov.co/" TargetMode="External" /><Relationship Type="http://schemas.openxmlformats.org/officeDocument/2006/relationships/hyperlink" Id="rId55" Target="https://www.nbcot.org/get-certified" TargetMode="External" /><Relationship Type="http://schemas.openxmlformats.org/officeDocument/2006/relationships/hyperlink" Id="rId56" Target="https://www.nbcot.org/get-certified/eligibility" TargetMode="External" /><Relationship Type="http://schemas.openxmlformats.org/officeDocument/2006/relationships/hyperlink" Id="rId57" Target="https://www.nbcot.org/occupational-therapy/what-is-an-otr-or-cota" TargetMode="External" /><Relationship Type="http://schemas.openxmlformats.org/officeDocument/2006/relationships/hyperlink" Id="rId66" Target="https://www.salary.com/research/salary/listing/occupational-therapy-assistant-salary" TargetMode="External" /><Relationship Type="http://schemas.openxmlformats.org/officeDocument/2006/relationships/hyperlink" Id="rId64" Target="https://www.sena.edu.co/" TargetMode="External" /><Relationship Type="http://schemas.openxmlformats.org/officeDocument/2006/relationships/hyperlink" Id="rId63" Target="https://www.suin-juriscol.gov.co/viewDocument.asp?id=16716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2026-08-20T01:39:57Z</dcterms:created>
  <dcterms:modified xsi:type="dcterms:W3CDTF">2026-08-20T01:39:57Z</dcterms:modified>
</cp:coreProperties>
</file>

<file path=docProps/custom.xml><?xml version="1.0" encoding="utf-8"?>
<Properties xmlns="http://schemas.openxmlformats.org/officeDocument/2006/custom-properties" xmlns:vt="http://schemas.openxmlformats.org/officeDocument/2006/docPropsVTypes"/>
</file>