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6fd0bf929baea20aba3dc2588b797d4d37bdf3d"/>
    <w:p>
      <w:pPr>
        <w:pStyle w:val="Heading1"/>
      </w:pPr>
      <w:r>
        <w:t xml:space="preserve">Guia de Oportunidades para Toda a Vida 55</w:t>
      </w:r>
    </w:p>
    <w:bookmarkStart w:id="20" w:name="X262cb8196f9cae27e6d7e77980d4128e3a89ec1"/>
    <w:p>
      <w:pPr>
        <w:pStyle w:val="Heading2"/>
      </w:pPr>
      <w:r>
        <w:t xml:space="preserve">Auxiliar de Saúde Domiciliar e Cuidador Pessoal</w:t>
      </w:r>
    </w:p>
    <w:p>
      <w:pPr>
        <w:pStyle w:val="FirstParagraph"/>
      </w:pPr>
      <w:r>
        <w:rPr>
          <w:bCs/>
          <w:b/>
        </w:rPr>
        <w:t xml:space="preserve">Revisão controlada 2026 — localização para português brasileiro (</w:t>
      </w:r>
      <w:r>
        <w:rPr>
          <w:rStyle w:val="VerbatimChar"/>
          <w:bCs/>
          <w:b/>
        </w:rPr>
        <w:t xml:space="preserve">pt-BR</w:t>
      </w:r>
      <w:r>
        <w:rPr>
          <w:bCs/>
          <w:b/>
        </w:rPr>
        <w:t xml:space="preserve">)</w:t>
      </w:r>
      <w:r>
        <w:br/>
      </w:r>
      <w:r>
        <w:t xml:space="preserve">Criado e dirigido por</w:t>
      </w:r>
      <w:r>
        <w:t xml:space="preserve"> </w:t>
      </w:r>
      <w:r>
        <w:rPr>
          <w:bCs/>
          <w:b/>
        </w:rPr>
        <w:t xml:space="preserve">Alberto “Al” Leiva</w:t>
      </w:r>
      <w:r>
        <w:br/>
      </w:r>
      <w:r>
        <w:t xml:space="preserve">Licença:</w:t>
      </w:r>
      <w:r>
        <w:t xml:space="preserve"> </w:t>
      </w:r>
      <w:r>
        <w:rPr>
          <w:bCs/>
          <w:b/>
        </w:rPr>
        <w:t xml:space="preserve">CC BY-NC-SA 4.0</w:t>
      </w:r>
    </w:p>
    <w:p>
      <w:pPr>
        <w:pStyle w:val="BlockText"/>
      </w:pPr>
      <w:r>
        <w:t xml:space="preserve">Este guia oferece informações educacionais para planejamento de carreira. Não constitui aconselhamento médico, de enfermagem, jurídico, migratório, de licenciamento, acreditação ou financeiro. Requisitos e tarefas permitidas variam conforme país, estado/província, empregador, pagador e ambiente de atendimento. Sempre confirme as regras aplicáveis no local em que pretende trabalhar.</w:t>
      </w:r>
    </w:p>
    <w:bookmarkEnd w:id="20"/>
    <w:bookmarkStart w:id="21" w:name="Xc58bd3cf4b43440749e7634c9463f87cbb15a3a"/>
    <w:p>
      <w:pPr>
        <w:pStyle w:val="Heading2"/>
      </w:pPr>
      <w:r>
        <w:t xml:space="preserve">1. Por que esta carreira importa</w:t>
      </w:r>
    </w:p>
    <w:p>
      <w:pPr>
        <w:pStyle w:val="FirstParagraph"/>
      </w:pPr>
      <w:r>
        <w:t xml:space="preserve">Auxiliares de saúde domiciliar, cuidadores e profissionais de cuidado pessoal ajudam pessoas a permanecer mais seguras, independentes e conectadas em suas casas e comunidades. Dependendo da função e da jurisdição, o trabalho pode incluir cuidados pessoais, companhia, apoio com refeições, tarefas domésticas leves, auxílio à mobilidade, observação e comunicação de alterações ou outras atividades autorizadas pelo empregador, plano de cuidados, treinamento e legislação aplicável.</w:t>
      </w:r>
    </w:p>
    <w:p>
      <w:pPr>
        <w:pStyle w:val="BodyText"/>
      </w:pPr>
      <w:r>
        <w:t xml:space="preserve">É um trabalho centrado em pessoas. A tecnologia pode auxiliar no agendamento, documentação, aprendizagem e comunicação, mas o valor principal vem da confiabilidade, observação, empatia, dignidade, paciência e apoio prático seguro.</w:t>
      </w:r>
    </w:p>
    <w:p>
      <w:pPr>
        <w:pStyle w:val="BodyText"/>
      </w:pPr>
      <w:r>
        <w:t xml:space="preserve">A ocupação torna-se especialmente importante com o envelhecimento da população e a transferência de uma parcela maior dos cuidados de longa duração de instituições para ambientes domiciliares e comunitários.</w:t>
      </w:r>
    </w:p>
    <w:bookmarkEnd w:id="21"/>
    <w:bookmarkStart w:id="22" w:name="Xc494ba50dd8aeef1556f35b88a61c2ac5ed2c00"/>
    <w:p>
      <w:pPr>
        <w:pStyle w:val="Heading2"/>
      </w:pPr>
      <w:r>
        <w:t xml:space="preserve">2. Visão geral da carreira</w:t>
      </w:r>
    </w:p>
    <w:p>
      <w:pPr>
        <w:pStyle w:val="FirstParagraph"/>
      </w:pPr>
      <w:r>
        <w:t xml:space="preserve">Uma pessoa com bom perfil para este trabalho geralmente se sente confortável em:</w:t>
      </w:r>
    </w:p>
    <w:p>
      <w:pPr>
        <w:numPr>
          <w:ilvl w:val="0"/>
          <w:numId w:val="1001"/>
        </w:numPr>
        <w:pStyle w:val="Compact"/>
      </w:pPr>
      <w:r>
        <w:t xml:space="preserve">ajudar em atividades da vida diária;</w:t>
      </w:r>
    </w:p>
    <w:p>
      <w:pPr>
        <w:numPr>
          <w:ilvl w:val="0"/>
          <w:numId w:val="1001"/>
        </w:numPr>
        <w:pStyle w:val="Compact"/>
      </w:pPr>
      <w:r>
        <w:t xml:space="preserve">estar fisicamente presente e ser confiável;</w:t>
      </w:r>
    </w:p>
    <w:p>
      <w:pPr>
        <w:numPr>
          <w:ilvl w:val="0"/>
          <w:numId w:val="1001"/>
        </w:numPr>
        <w:pStyle w:val="Compact"/>
      </w:pPr>
      <w:r>
        <w:t xml:space="preserve">seguir um plano de cuidados escrito ou instruções do empregador;</w:t>
      </w:r>
    </w:p>
    <w:p>
      <w:pPr>
        <w:numPr>
          <w:ilvl w:val="0"/>
          <w:numId w:val="1001"/>
        </w:numPr>
        <w:pStyle w:val="Compact"/>
      </w:pPr>
      <w:r>
        <w:t xml:space="preserve">observar e comunicar mudanças sem transformá-las em diagnósticos;</w:t>
      </w:r>
    </w:p>
    <w:p>
      <w:pPr>
        <w:numPr>
          <w:ilvl w:val="0"/>
          <w:numId w:val="1001"/>
        </w:numPr>
        <w:pStyle w:val="Compact"/>
      </w:pPr>
      <w:r>
        <w:t xml:space="preserve">comunicar-se com respeito com clientes, familiares, enfermeiros, terapeutas, supervisores e outros integrantes da equipe de cuidados;</w:t>
      </w:r>
    </w:p>
    <w:p>
      <w:pPr>
        <w:numPr>
          <w:ilvl w:val="0"/>
          <w:numId w:val="1001"/>
        </w:numPr>
        <w:pStyle w:val="Compact"/>
      </w:pPr>
      <w:r>
        <w:t xml:space="preserve">proteger informações privadas de saúde e dados pessoais;</w:t>
      </w:r>
    </w:p>
    <w:p>
      <w:pPr>
        <w:numPr>
          <w:ilvl w:val="0"/>
          <w:numId w:val="1001"/>
        </w:numPr>
        <w:pStyle w:val="Compact"/>
      </w:pPr>
      <w:r>
        <w:t xml:space="preserve">trabalhar em casas que podem variar bastante quanto a limpeza, acessibilidade, dinâmica familiar, animais, ruído ou equipamentos disponíveis;</w:t>
      </w:r>
    </w:p>
    <w:p>
      <w:pPr>
        <w:numPr>
          <w:ilvl w:val="0"/>
          <w:numId w:val="1001"/>
        </w:numPr>
        <w:pStyle w:val="Compact"/>
      </w:pPr>
      <w:r>
        <w:t xml:space="preserve">manter limites profissionais mesmo quando os vínculos se tornam emocionalmente próximos;</w:t>
      </w:r>
    </w:p>
    <w:p>
      <w:pPr>
        <w:numPr>
          <w:ilvl w:val="0"/>
          <w:numId w:val="1001"/>
        </w:numPr>
        <w:pStyle w:val="Compact"/>
      </w:pPr>
      <w:r>
        <w:t xml:space="preserve">aprender procedimentos seguros de transferência, prevenção de infecções, emergência e documentação.</w:t>
      </w:r>
    </w:p>
    <w:p>
      <w:pPr>
        <w:pStyle w:val="FirstParagraph"/>
      </w:pPr>
      <w:r>
        <w:t xml:space="preserve">Esta carreira pode não ser adequada se você se sente muito desconfortável com cuidados pessoais diretos, não tolera ambientes domiciliares variáveis, não consegue seguir instruções de segurança de forma confiável ou espera executar tarefas clínicas sem a credencial e a supervisão exigidas em sua jurisdição.</w:t>
      </w:r>
    </w:p>
    <w:bookmarkEnd w:id="22"/>
    <w:bookmarkStart w:id="24" w:name="X81b9c0798face95c4a61c60e07d09a9417a7458"/>
    <w:p>
      <w:pPr>
        <w:pStyle w:val="Heading2"/>
      </w:pPr>
      <w:r>
        <w:t xml:space="preserve">3. O que auxiliares e cuidadores costumam fazer</w:t>
      </w:r>
    </w:p>
    <w:p>
      <w:pPr>
        <w:pStyle w:val="FirstParagraph"/>
      </w:pPr>
      <w:r>
        <w:t xml:space="preserve">As tarefas reais variam. Exemplos comuns e não exaustivos incluem:</w:t>
      </w:r>
    </w:p>
    <w:p>
      <w:pPr>
        <w:numPr>
          <w:ilvl w:val="0"/>
          <w:numId w:val="1002"/>
        </w:numPr>
        <w:pStyle w:val="Compact"/>
      </w:pPr>
      <w:r>
        <w:t xml:space="preserve">ajudar com banho, higiene, vestimenta, uso do banheiro e outros cuidados pessoais;</w:t>
      </w:r>
    </w:p>
    <w:p>
      <w:pPr>
        <w:numPr>
          <w:ilvl w:val="0"/>
          <w:numId w:val="1002"/>
        </w:numPr>
        <w:pStyle w:val="Compact"/>
      </w:pPr>
      <w:r>
        <w:t xml:space="preserve">apoiar caminhada segura, transferências, posicionamento e rotinas de mobilidade prescritas dentro do treinamento e do escopo permitido;</w:t>
      </w:r>
    </w:p>
    <w:p>
      <w:pPr>
        <w:numPr>
          <w:ilvl w:val="0"/>
          <w:numId w:val="1002"/>
        </w:numPr>
        <w:pStyle w:val="Compact"/>
      </w:pPr>
      <w:r>
        <w:t xml:space="preserve">preparar refeições simples e apoiar planos de hidratação e nutrição;</w:t>
      </w:r>
    </w:p>
    <w:p>
      <w:pPr>
        <w:numPr>
          <w:ilvl w:val="0"/>
          <w:numId w:val="1002"/>
        </w:numPr>
        <w:pStyle w:val="Compact"/>
      </w:pPr>
      <w:r>
        <w:t xml:space="preserve">oferecer companhia e apoio social;</w:t>
      </w:r>
    </w:p>
    <w:p>
      <w:pPr>
        <w:numPr>
          <w:ilvl w:val="0"/>
          <w:numId w:val="1002"/>
        </w:numPr>
        <w:pStyle w:val="Compact"/>
      </w:pPr>
      <w:r>
        <w:t xml:space="preserve">ajudar em tarefas domésticas leves relacionadas à manutenção de um ambiente seguro;</w:t>
      </w:r>
    </w:p>
    <w:p>
      <w:pPr>
        <w:numPr>
          <w:ilvl w:val="0"/>
          <w:numId w:val="1002"/>
        </w:numPr>
        <w:pStyle w:val="Compact"/>
      </w:pPr>
      <w:r>
        <w:t xml:space="preserve">acompanhar o cliente em consultas ou compromissos quando a função permitir;</w:t>
      </w:r>
    </w:p>
    <w:p>
      <w:pPr>
        <w:numPr>
          <w:ilvl w:val="0"/>
          <w:numId w:val="1002"/>
        </w:numPr>
        <w:pStyle w:val="Compact"/>
      </w:pPr>
      <w:r>
        <w:t xml:space="preserve">observar e comunicar mudanças em condição, comportamento, pele, mobilidade, apetite, hidratação ou segurança;</w:t>
      </w:r>
    </w:p>
    <w:p>
      <w:pPr>
        <w:numPr>
          <w:ilvl w:val="0"/>
          <w:numId w:val="1002"/>
        </w:numPr>
        <w:pStyle w:val="Compact"/>
      </w:pPr>
      <w:r>
        <w:t xml:space="preserve">documentar serviços conforme procedimentos da agência ou empregador;</w:t>
      </w:r>
    </w:p>
    <w:p>
      <w:pPr>
        <w:numPr>
          <w:ilvl w:val="0"/>
          <w:numId w:val="1002"/>
        </w:numPr>
        <w:pStyle w:val="Compact"/>
      </w:pPr>
      <w:r>
        <w:t xml:space="preserve">seguir procedimentos de prevenção de infecções e emergência;</w:t>
      </w:r>
    </w:p>
    <w:p>
      <w:pPr>
        <w:numPr>
          <w:ilvl w:val="0"/>
          <w:numId w:val="1002"/>
        </w:numPr>
        <w:pStyle w:val="Compact"/>
      </w:pPr>
      <w:r>
        <w:t xml:space="preserve">ajudar o cliente a seguir rotinas e lembretes;</w:t>
      </w:r>
    </w:p>
    <w:p>
      <w:pPr>
        <w:numPr>
          <w:ilvl w:val="0"/>
          <w:numId w:val="1002"/>
        </w:numPr>
        <w:pStyle w:val="Compact"/>
      </w:pPr>
      <w:r>
        <w:t xml:space="preserve">apoiar a independência em vez de fazer automaticamente todas as tarefas pela pessoa.</w:t>
      </w:r>
    </w:p>
    <w:bookmarkStart w:id="23" w:name="X277b3e726bb237ddec11417e989e972a0015da3"/>
    <w:p>
      <w:pPr>
        <w:pStyle w:val="Heading3"/>
      </w:pPr>
      <w:r>
        <w:t xml:space="preserve">Não presuma que todo auxiliar possa executar tarefas clínicas</w:t>
      </w:r>
    </w:p>
    <w:p>
      <w:pPr>
        <w:pStyle w:val="FirstParagraph"/>
      </w:pPr>
      <w:r>
        <w:t xml:space="preserve">Um título como cuidador, assistente de cuidado pessoal, trabalhador de apoio domiciliar ou home health aide</w:t>
      </w:r>
      <w:r>
        <w:t xml:space="preserve"> </w:t>
      </w:r>
      <w:r>
        <w:rPr>
          <w:bCs/>
          <w:b/>
        </w:rPr>
        <w:t xml:space="preserve">não</w:t>
      </w:r>
      <w:r>
        <w:t xml:space="preserve"> </w:t>
      </w:r>
      <w:r>
        <w:t xml:space="preserve">autoriza automaticamente aplicação de injeções, curativos, manejo de cateteres, administração de medicamentos, avaliações clínicas ou outras atividades de saúde regulamentadas.</w:t>
      </w:r>
    </w:p>
    <w:p>
      <w:pPr>
        <w:pStyle w:val="BodyText"/>
      </w:pPr>
      <w:r>
        <w:t xml:space="preserve">Execute uma tarefa somente quando ela for permitida pela legislação aplicável, estiver incluída em sua função ou plano de cuidados autorizado, for respaldada pelo treinamento ou credencial exigida e for permitida pelo empregador ou profissional supervisor.</w:t>
      </w:r>
    </w:p>
    <w:bookmarkEnd w:id="23"/>
    <w:bookmarkEnd w:id="24"/>
    <w:bookmarkStart w:id="25" w:name="X79246193484f9b55bd9aa2b3352b60f8ffca2fa"/>
    <w:p>
      <w:pPr>
        <w:pStyle w:val="Heading2"/>
      </w:pPr>
      <w:r>
        <w:t xml:space="preserve">4. Ambientes de trabalho</w:t>
      </w:r>
    </w:p>
    <w:p>
      <w:pPr>
        <w:pStyle w:val="FirstParagraph"/>
      </w:pPr>
      <w:r>
        <w:t xml:space="preserve">Você pode trabalhar para:</w:t>
      </w:r>
    </w:p>
    <w:p>
      <w:pPr>
        <w:numPr>
          <w:ilvl w:val="0"/>
          <w:numId w:val="1003"/>
        </w:numPr>
        <w:pStyle w:val="Compact"/>
      </w:pPr>
      <w:r>
        <w:t xml:space="preserve">uma agência de saúde ou cuidados domiciliares;</w:t>
      </w:r>
    </w:p>
    <w:p>
      <w:pPr>
        <w:numPr>
          <w:ilvl w:val="0"/>
          <w:numId w:val="1003"/>
        </w:numPr>
        <w:pStyle w:val="Compact"/>
      </w:pPr>
      <w:r>
        <w:t xml:space="preserve">uma organização de apoio pessoal ou cuidado comunitário;</w:t>
      </w:r>
    </w:p>
    <w:p>
      <w:pPr>
        <w:numPr>
          <w:ilvl w:val="0"/>
          <w:numId w:val="1003"/>
        </w:numPr>
        <w:pStyle w:val="Compact"/>
      </w:pPr>
      <w:r>
        <w:t xml:space="preserve">um provedor de moradia assistida ou cuidado residencial;</w:t>
      </w:r>
    </w:p>
    <w:p>
      <w:pPr>
        <w:numPr>
          <w:ilvl w:val="0"/>
          <w:numId w:val="1003"/>
        </w:numPr>
        <w:pStyle w:val="Compact"/>
      </w:pPr>
      <w:r>
        <w:t xml:space="preserve">uma organização de cuidados paliativos ou hospice;</w:t>
      </w:r>
    </w:p>
    <w:p>
      <w:pPr>
        <w:numPr>
          <w:ilvl w:val="0"/>
          <w:numId w:val="1003"/>
        </w:numPr>
        <w:pStyle w:val="Compact"/>
      </w:pPr>
      <w:r>
        <w:t xml:space="preserve">uma residência particular;</w:t>
      </w:r>
    </w:p>
    <w:p>
      <w:pPr>
        <w:numPr>
          <w:ilvl w:val="0"/>
          <w:numId w:val="1003"/>
        </w:numPr>
        <w:pStyle w:val="Compact"/>
      </w:pPr>
      <w:r>
        <w:t xml:space="preserve">uma organização pública ou sem fins lucrativos de serviços sociais;</w:t>
      </w:r>
    </w:p>
    <w:p>
      <w:pPr>
        <w:numPr>
          <w:ilvl w:val="0"/>
          <w:numId w:val="1003"/>
        </w:numPr>
        <w:pStyle w:val="Compact"/>
      </w:pPr>
      <w:r>
        <w:t xml:space="preserve">um arranjo de cuidado dirigido pelo próprio cliente quando permitido pela legislação local.</w:t>
      </w:r>
    </w:p>
    <w:p>
      <w:pPr>
        <w:pStyle w:val="FirstParagraph"/>
      </w:pPr>
      <w:r>
        <w:t xml:space="preserve">Alguns profissionais visitam vários clientes por dia. Outros permanecem com um único cliente durante um turno mais longo. Tempo de deslocamento, transporte, clima, segurança do bairro, estacionamento e intervalos não remunerados entre visitas podem alterar significativamente o valor real de uma oferta de trabalho.</w:t>
      </w:r>
    </w:p>
    <w:bookmarkEnd w:id="25"/>
    <w:bookmarkStart w:id="26" w:name="X5f73645480a5ec37cd5be4e87adc048eec03d22"/>
    <w:p>
      <w:pPr>
        <w:pStyle w:val="Heading2"/>
      </w:pPr>
      <w:r>
        <w:t xml:space="preserve">5. Realidades físicas e emocionais</w:t>
      </w:r>
    </w:p>
    <w:p>
      <w:pPr>
        <w:pStyle w:val="FirstParagraph"/>
      </w:pPr>
      <w:r>
        <w:t xml:space="preserve">Este trabalho pode ser significativo e fisicamente exigente ao mesmo tempo.</w:t>
      </w:r>
    </w:p>
    <w:p>
      <w:pPr>
        <w:pStyle w:val="BodyText"/>
      </w:pPr>
      <w:r>
        <w:t xml:space="preserve">Possíveis exigências incluem:</w:t>
      </w:r>
    </w:p>
    <w:p>
      <w:pPr>
        <w:numPr>
          <w:ilvl w:val="0"/>
          <w:numId w:val="1004"/>
        </w:numPr>
        <w:pStyle w:val="Compact"/>
      </w:pPr>
      <w:r>
        <w:t xml:space="preserve">ficar em pé ou caminhar por períodos prolongados;</w:t>
      </w:r>
    </w:p>
    <w:p>
      <w:pPr>
        <w:numPr>
          <w:ilvl w:val="0"/>
          <w:numId w:val="1004"/>
        </w:numPr>
        <w:pStyle w:val="Compact"/>
      </w:pPr>
      <w:r>
        <w:t xml:space="preserve">curvar-se, alcançar, empurrar, puxar e ajudar em transferências;</w:t>
      </w:r>
    </w:p>
    <w:p>
      <w:pPr>
        <w:numPr>
          <w:ilvl w:val="0"/>
          <w:numId w:val="1004"/>
        </w:numPr>
        <w:pStyle w:val="Compact"/>
      </w:pPr>
      <w:r>
        <w:t xml:space="preserve">exposição a fluidos corporais, doenças infecciosas, odores ou produtos de limpeza;</w:t>
      </w:r>
    </w:p>
    <w:p>
      <w:pPr>
        <w:numPr>
          <w:ilvl w:val="0"/>
          <w:numId w:val="1004"/>
        </w:numPr>
        <w:pStyle w:val="Compact"/>
      </w:pPr>
      <w:r>
        <w:t xml:space="preserve">horários irregulares, noites, fins de semana ou feriados;</w:t>
      </w:r>
    </w:p>
    <w:p>
      <w:pPr>
        <w:numPr>
          <w:ilvl w:val="0"/>
          <w:numId w:val="1004"/>
        </w:numPr>
        <w:pStyle w:val="Compact"/>
      </w:pPr>
      <w:r>
        <w:t xml:space="preserve">situações emocionalmente difíceis envolvendo deficiência, demência, doença crônica, dor, luto ou fim de vida;</w:t>
      </w:r>
    </w:p>
    <w:p>
      <w:pPr>
        <w:numPr>
          <w:ilvl w:val="0"/>
          <w:numId w:val="1004"/>
        </w:numPr>
        <w:pStyle w:val="Compact"/>
      </w:pPr>
      <w:r>
        <w:t xml:space="preserve">trabalhar sozinho na residência de um cliente;</w:t>
      </w:r>
    </w:p>
    <w:p>
      <w:pPr>
        <w:numPr>
          <w:ilvl w:val="0"/>
          <w:numId w:val="1004"/>
        </w:numPr>
        <w:pStyle w:val="Compact"/>
      </w:pPr>
      <w:r>
        <w:t xml:space="preserve">comunicar-se com familiares sob estresse ou vários integrantes da equipe de cuidados.</w:t>
      </w:r>
    </w:p>
    <w:p>
      <w:pPr>
        <w:pStyle w:val="FirstParagraph"/>
      </w:pPr>
      <w:r>
        <w:t xml:space="preserve">Nunca improvise um levantamento ou transferência que ultrapasse seu treinamento, os equipamentos disponíveis ou o plano de cuidados. Solicite equipamento, uma segunda pessoa ou orientação de supervisão quando necessário.</w:t>
      </w:r>
    </w:p>
    <w:bookmarkEnd w:id="26"/>
    <w:bookmarkStart w:id="32" w:name="Xf16bdfa442881cebd249187f56a98bd5e65a7c4"/>
    <w:p>
      <w:pPr>
        <w:pStyle w:val="Heading2"/>
      </w:pPr>
      <w:r>
        <w:t xml:space="preserve">6. Caminho nos Estados Unidos</w:t>
      </w:r>
    </w:p>
    <w:bookmarkStart w:id="28" w:name="mercado-de-trabalho"/>
    <w:p>
      <w:pPr>
        <w:pStyle w:val="Heading3"/>
      </w:pPr>
      <w:r>
        <w:t xml:space="preserve">Mercado de trabalho</w:t>
      </w:r>
    </w:p>
    <w:p>
      <w:pPr>
        <w:pStyle w:val="FirstParagraph"/>
      </w:pPr>
      <w:r>
        <w:t xml:space="preserve">O U.S. Bureau of Labor Statistics (BLS) informa</w:t>
      </w:r>
      <w:r>
        <w:t xml:space="preserve"> </w:t>
      </w:r>
      <w:r>
        <w:rPr>
          <w:bCs/>
          <w:b/>
        </w:rPr>
        <w:t xml:space="preserve">salário mediano anual de USD $34.900 em maio de 2024</w:t>
      </w:r>
      <w:r>
        <w:t xml:space="preserve"> </w:t>
      </w:r>
      <w:r>
        <w:t xml:space="preserve">para home health and personal care aides. O salário mediano por hora publicado equivale a aproximadamente</w:t>
      </w:r>
      <w:r>
        <w:t xml:space="preserve"> </w:t>
      </w:r>
      <w:r>
        <w:rPr>
          <w:bCs/>
          <w:b/>
        </w:rPr>
        <w:t xml:space="preserve">$16,78 por hora</w:t>
      </w:r>
      <w:r>
        <w:t xml:space="preserve">. Os 10% com menores rendimentos ganharam menos de</w:t>
      </w:r>
      <w:r>
        <w:t xml:space="preserve"> </w:t>
      </w:r>
      <w:r>
        <w:rPr>
          <w:bCs/>
          <w:b/>
        </w:rPr>
        <w:t xml:space="preserve">$25.600</w:t>
      </w:r>
      <w:r>
        <w:t xml:space="preserve">, enquanto os 10% com maiores rendimentos ganharam mais de</w:t>
      </w:r>
      <w:r>
        <w:t xml:space="preserve"> </w:t>
      </w:r>
      <w:r>
        <w:rPr>
          <w:bCs/>
          <w:b/>
        </w:rPr>
        <w:t xml:space="preserve">$44.190</w:t>
      </w:r>
      <w:r>
        <w:t xml:space="preserve">.</w:t>
      </w:r>
    </w:p>
    <w:p>
      <w:pPr>
        <w:pStyle w:val="BodyText"/>
      </w:pPr>
      <w:r>
        <w:t xml:space="preserve">O BLS informa</w:t>
      </w:r>
      <w:r>
        <w:t xml:space="preserve"> </w:t>
      </w:r>
      <w:r>
        <w:rPr>
          <w:bCs/>
          <w:b/>
        </w:rPr>
        <w:t xml:space="preserve">4.347.700 empregos em 2024</w:t>
      </w:r>
      <w:r>
        <w:t xml:space="preserve"> </w:t>
      </w:r>
      <w:r>
        <w:t xml:space="preserve">e projeta</w:t>
      </w:r>
      <w:r>
        <w:t xml:space="preserve"> </w:t>
      </w:r>
      <w:r>
        <w:rPr>
          <w:bCs/>
          <w:b/>
        </w:rPr>
        <w:t xml:space="preserve">5.087.500 empregos em 2034</w:t>
      </w:r>
      <w:r>
        <w:t xml:space="preserve">, crescimento de</w:t>
      </w:r>
      <w:r>
        <w:t xml:space="preserve"> </w:t>
      </w:r>
      <w:r>
        <w:rPr>
          <w:bCs/>
          <w:b/>
        </w:rPr>
        <w:t xml:space="preserve">17%</w:t>
      </w:r>
      <w:r>
        <w:t xml:space="preserve"> </w:t>
      </w:r>
      <w:r>
        <w:t xml:space="preserve">entre 2024 e 2034. Isso corresponde a aumento projetado de</w:t>
      </w:r>
      <w:r>
        <w:t xml:space="preserve"> </w:t>
      </w:r>
      <w:r>
        <w:rPr>
          <w:bCs/>
          <w:b/>
        </w:rPr>
        <w:t xml:space="preserve">739.800 empregos</w:t>
      </w:r>
      <w:r>
        <w:t xml:space="preserve">. O BLS também projeta aproximadamente</w:t>
      </w:r>
      <w:r>
        <w:t xml:space="preserve"> </w:t>
      </w:r>
      <w:r>
        <w:rPr>
          <w:bCs/>
          <w:b/>
        </w:rPr>
        <w:t xml:space="preserve">765.800 vagas por ano</w:t>
      </w:r>
      <w:r>
        <w:t xml:space="preserve"> </w:t>
      </w:r>
      <w:r>
        <w:t xml:space="preserve">em média ao longo da década, incluindo vagas de reposição.</w:t>
      </w:r>
    </w:p>
    <w:p>
      <w:pPr>
        <w:pStyle w:val="BodyText"/>
      </w:pPr>
      <w:r>
        <w:t xml:space="preserve">Esses são dados nacionais e não representam promessa de salário ou emprego em uma cidade ou empresa específica.</w:t>
      </w:r>
    </w:p>
    <w:p>
      <w:pPr>
        <w:pStyle w:val="BodyText"/>
      </w:pPr>
      <w:r>
        <w:t xml:space="preserve">Fonte: U.S. Bureau of Labor Statistics, Occupational Outlook Handbook, Home Health and Personal Care Aides.</w:t>
      </w:r>
      <w:r>
        <w:br/>
      </w:r>
      <w:hyperlink r:id="rId27">
        <w:hyperlink r:id="rId27">
          <w:r>
            <w:rPr>
              <w:rStyle w:val="Hyperlink"/>
            </w:rPr>
            <w:t xml:space="preserve">Source link</w:t>
          </w:r>
        </w:hyperlink>
      </w:hyperlink>
    </w:p>
    <w:bookmarkEnd w:id="28"/>
    <w:bookmarkStart w:id="29" w:name="requisitos-de-entrada"/>
    <w:p>
      <w:pPr>
        <w:pStyle w:val="Heading3"/>
      </w:pPr>
      <w:r>
        <w:t xml:space="preserve">Requisitos de entrada</w:t>
      </w:r>
    </w:p>
    <w:p>
      <w:pPr>
        <w:pStyle w:val="FirstParagraph"/>
      </w:pPr>
      <w:r>
        <w:t xml:space="preserve">O BLS descreve diploma do ensino médio ou equivalente como escolaridade típica de entrada, embora observe que alguns cargos podem não exigir esse nível. Treinamento de curto prazo no trabalho é comum.</w:t>
      </w:r>
    </w:p>
    <w:p>
      <w:pPr>
        <w:pStyle w:val="BodyText"/>
      </w:pPr>
      <w:r>
        <w:t xml:space="preserve">Essa descrição ocupacional geral</w:t>
      </w:r>
      <w:r>
        <w:t xml:space="preserve"> </w:t>
      </w:r>
      <w:r>
        <w:rPr>
          <w:bCs/>
          <w:b/>
        </w:rPr>
        <w:t xml:space="preserve">não</w:t>
      </w:r>
      <w:r>
        <w:t xml:space="preserve"> </w:t>
      </w:r>
      <w:r>
        <w:t xml:space="preserve">substitui requisitos federais ou estaduais aplicáveis a uma pessoa que presta serviços de home health aide por meio de uma agência de saúde domiciliar participante do Medicare.</w:t>
      </w:r>
    </w:p>
    <w:bookmarkEnd w:id="29"/>
    <w:bookmarkStart w:id="31" w:name="Xb7deb119af987711772156d9588fb56930f337c"/>
    <w:p>
      <w:pPr>
        <w:pStyle w:val="Heading3"/>
      </w:pPr>
      <w:r>
        <w:t xml:space="preserve">Requisitos para agências de saúde domiciliar participantes do Medicare</w:t>
      </w:r>
    </w:p>
    <w:p>
      <w:pPr>
        <w:pStyle w:val="FirstParagraph"/>
      </w:pPr>
      <w:r>
        <w:t xml:space="preserve">De acordo com</w:t>
      </w:r>
      <w:r>
        <w:t xml:space="preserve"> </w:t>
      </w:r>
      <w:r>
        <w:rPr>
          <w:bCs/>
          <w:b/>
        </w:rPr>
        <w:t xml:space="preserve">42 CFR § 484.80</w:t>
      </w:r>
      <w:r>
        <w:t xml:space="preserve">, um home health aide que atua dentro do sistema federal de agências de saúde domiciliar deve cumprir uma das rotas de qualificação aplicáveis. Na rota de treinamento e avaliação de competência:</w:t>
      </w:r>
    </w:p>
    <w:p>
      <w:pPr>
        <w:numPr>
          <w:ilvl w:val="0"/>
          <w:numId w:val="1005"/>
        </w:numPr>
        <w:pStyle w:val="Compact"/>
      </w:pPr>
      <w:r>
        <w:t xml:space="preserve">treinamento em sala de aula mais prática supervisionada deve totalizar pelo menos</w:t>
      </w:r>
      <w:r>
        <w:t xml:space="preserve"> </w:t>
      </w:r>
      <w:r>
        <w:rPr>
          <w:bCs/>
          <w:b/>
        </w:rPr>
        <w:t xml:space="preserve">75 horas</w:t>
      </w:r>
      <w:r>
        <w:t xml:space="preserve">;</w:t>
      </w:r>
    </w:p>
    <w:p>
      <w:pPr>
        <w:numPr>
          <w:ilvl w:val="0"/>
          <w:numId w:val="1005"/>
        </w:numPr>
        <w:pStyle w:val="Compact"/>
      </w:pPr>
      <w:r>
        <w:t xml:space="preserve">pelo menos</w:t>
      </w:r>
      <w:r>
        <w:t xml:space="preserve"> </w:t>
      </w:r>
      <w:r>
        <w:rPr>
          <w:bCs/>
          <w:b/>
        </w:rPr>
        <w:t xml:space="preserve">16 horas de aula devem ocorrer antes de pelo menos 16 horas de prática supervisionada</w:t>
      </w:r>
      <w:r>
        <w:t xml:space="preserve"> </w:t>
      </w:r>
      <w:r>
        <w:t xml:space="preserve">dentro dessas 75 horas;</w:t>
      </w:r>
    </w:p>
    <w:p>
      <w:pPr>
        <w:numPr>
          <w:ilvl w:val="0"/>
          <w:numId w:val="1005"/>
        </w:numPr>
        <w:pStyle w:val="Compact"/>
      </w:pPr>
      <w:r>
        <w:t xml:space="preserve">os conteúdos obrigatórios incluem comunicação, documentação, sinais vitais, prevenção de infecções, emergências, cuidados pessoais, transferências e deambulação seguras, posicionamento/amplitude de movimento, nutrição e hidratação e comunicação de alterações na pele;</w:t>
      </w:r>
    </w:p>
    <w:p>
      <w:pPr>
        <w:numPr>
          <w:ilvl w:val="0"/>
          <w:numId w:val="1005"/>
        </w:numPr>
        <w:pStyle w:val="Compact"/>
      </w:pPr>
      <w:r>
        <w:t xml:space="preserve">a competência deve ser avaliada conforme o regulamento;</w:t>
      </w:r>
    </w:p>
    <w:p>
      <w:pPr>
        <w:numPr>
          <w:ilvl w:val="0"/>
          <w:numId w:val="1005"/>
        </w:numPr>
        <w:pStyle w:val="Compact"/>
      </w:pPr>
      <w:r>
        <w:t xml:space="preserve">um home health aide deve receber pelo menos</w:t>
      </w:r>
      <w:r>
        <w:t xml:space="preserve"> </w:t>
      </w:r>
      <w:r>
        <w:rPr>
          <w:bCs/>
          <w:b/>
        </w:rPr>
        <w:t xml:space="preserve">12 horas de treinamento em serviço a cada período de 12 meses</w:t>
      </w:r>
      <w:r>
        <w:t xml:space="preserve">;</w:t>
      </w:r>
    </w:p>
    <w:p>
      <w:pPr>
        <w:numPr>
          <w:ilvl w:val="0"/>
          <w:numId w:val="1005"/>
        </w:numPr>
        <w:pStyle w:val="Compact"/>
      </w:pPr>
      <w:r>
        <w:t xml:space="preserve">os serviços devem ser compatíveis com o treinamento do auxiliar, o plano de cuidados, a legislação estadual e as ordens ou instruções aplicáveis.</w:t>
      </w:r>
    </w:p>
    <w:p>
      <w:pPr>
        <w:pStyle w:val="FirstParagraph"/>
      </w:pPr>
      <w:r>
        <w:t xml:space="preserve">Os estados podem impor requisitos adicionais. Uma função privada de cuidado pessoal pode seguir outro regime regulatório. Confirme as regras do estado e do empregador antes de pagar por treinamento.</w:t>
      </w:r>
    </w:p>
    <w:p>
      <w:pPr>
        <w:pStyle w:val="BodyText"/>
      </w:pPr>
      <w:r>
        <w:t xml:space="preserve">Regulamento federal oficial:</w:t>
      </w:r>
      <w:r>
        <w:br/>
      </w:r>
      <w:hyperlink r:id="rId30">
        <w:hyperlink r:id="rId30">
          <w:r>
            <w:rPr>
              <w:rStyle w:val="Hyperlink"/>
            </w:rPr>
            <w:t xml:space="preserve">Source link</w:t>
          </w:r>
        </w:hyperlink>
      </w:hyperlink>
    </w:p>
    <w:bookmarkEnd w:id="31"/>
    <w:bookmarkEnd w:id="32"/>
    <w:bookmarkStart w:id="36" w:name="X9bb04810c8ac5286789e2d8b998d185c1452d54"/>
    <w:p>
      <w:pPr>
        <w:pStyle w:val="Heading2"/>
      </w:pPr>
      <w:r>
        <w:t xml:space="preserve">7. Estratégia gratuita ou de baixo custo nos Estados Unidos</w:t>
      </w:r>
    </w:p>
    <w:p>
      <w:pPr>
        <w:pStyle w:val="FirstParagraph"/>
      </w:pPr>
      <w:r>
        <w:t xml:space="preserve">Antes de pagar uma escola privada:</w:t>
      </w:r>
    </w:p>
    <w:p>
      <w:pPr>
        <w:numPr>
          <w:ilvl w:val="0"/>
          <w:numId w:val="1006"/>
        </w:numPr>
        <w:pStyle w:val="Compact"/>
      </w:pPr>
      <w:r>
        <w:t xml:space="preserve">Identifique a função exata e o estado onde deseja trabalhar.</w:t>
      </w:r>
    </w:p>
    <w:p>
      <w:pPr>
        <w:numPr>
          <w:ilvl w:val="0"/>
          <w:numId w:val="1006"/>
        </w:numPr>
        <w:pStyle w:val="Compact"/>
      </w:pPr>
      <w:r>
        <w:t xml:space="preserve">Pergunte aos empregadores-alvo quais programas ou credenciais aceitam.</w:t>
      </w:r>
    </w:p>
    <w:p>
      <w:pPr>
        <w:numPr>
          <w:ilvl w:val="0"/>
          <w:numId w:val="1006"/>
        </w:numPr>
        <w:pStyle w:val="Compact"/>
      </w:pPr>
      <w:r>
        <w:t xml:space="preserve">Entre em contato com um</w:t>
      </w:r>
      <w:r>
        <w:t xml:space="preserve"> </w:t>
      </w:r>
      <w:r>
        <w:rPr>
          <w:bCs/>
          <w:b/>
        </w:rPr>
        <w:t xml:space="preserve">American Job Center</w:t>
      </w:r>
      <w:r>
        <w:t xml:space="preserve"> </w:t>
      </w:r>
      <w:r>
        <w:t xml:space="preserve">e pergunte se você se qualifica para treinamento financiado por WIOA ou outros apoios de força de trabalho.</w:t>
      </w:r>
    </w:p>
    <w:p>
      <w:pPr>
        <w:numPr>
          <w:ilvl w:val="0"/>
          <w:numId w:val="1006"/>
        </w:numPr>
        <w:pStyle w:val="Compact"/>
      </w:pPr>
      <w:r>
        <w:t xml:space="preserve">Confirme que qualquer programa proposto atende aos requisitos estaduais e do empregador e, quando aplicável, aos requisitos federais para home health aides.</w:t>
      </w:r>
    </w:p>
    <w:p>
      <w:pPr>
        <w:numPr>
          <w:ilvl w:val="0"/>
          <w:numId w:val="1006"/>
        </w:numPr>
        <w:pStyle w:val="Compact"/>
      </w:pPr>
      <w:r>
        <w:t xml:space="preserve">Pergunte se o empregador oferece treinamento remunerado, apoio de mensalidade ou contratação com treinamento.</w:t>
      </w:r>
    </w:p>
    <w:p>
      <w:pPr>
        <w:numPr>
          <w:ilvl w:val="0"/>
          <w:numId w:val="1006"/>
        </w:numPr>
        <w:pStyle w:val="Compact"/>
      </w:pPr>
      <w:r>
        <w:t xml:space="preserve">Compare custo total, transporte, livros, exames, verificação de antecedentes, triagem de saúde e tempo clínico/prático não remunerado antes de se matricular.</w:t>
      </w:r>
    </w:p>
    <w:p>
      <w:pPr>
        <w:pStyle w:val="FirstParagraph"/>
      </w:pPr>
      <w:r>
        <w:t xml:space="preserve">Programas WIOA do U.S. Department of Labor:</w:t>
      </w:r>
      <w:r>
        <w:br/>
      </w:r>
      <w:hyperlink r:id="rId33">
        <w:hyperlink r:id="rId33">
          <w:r>
            <w:rPr>
              <w:rStyle w:val="Hyperlink"/>
            </w:rPr>
            <w:t xml:space="preserve">Source link</w:t>
          </w:r>
        </w:hyperlink>
      </w:hyperlink>
    </w:p>
    <w:p>
      <w:pPr>
        <w:pStyle w:val="BodyText"/>
      </w:pPr>
      <w:r>
        <w:t xml:space="preserve">American Job Centers:</w:t>
      </w:r>
      <w:r>
        <w:br/>
      </w:r>
      <w:hyperlink r:id="rId34">
        <w:hyperlink r:id="rId34">
          <w:r>
            <w:rPr>
              <w:rStyle w:val="Hyperlink"/>
            </w:rPr>
            <w:t xml:space="preserve">Source link</w:t>
          </w:r>
        </w:hyperlink>
      </w:hyperlink>
    </w:p>
    <w:p>
      <w:pPr>
        <w:pStyle w:val="BodyText"/>
      </w:pPr>
      <w:r>
        <w:t xml:space="preserve">WIOA Adult and Dislocated Worker Program:</w:t>
      </w:r>
      <w:r>
        <w:br/>
      </w:r>
      <w:hyperlink r:id="rId35">
        <w:hyperlink r:id="rId35">
          <w:r>
            <w:rPr>
              <w:rStyle w:val="Hyperlink"/>
            </w:rPr>
            <w:t xml:space="preserve">Source link</w:t>
          </w:r>
        </w:hyperlink>
      </w:hyperlink>
    </w:p>
    <w:p>
      <w:pPr>
        <w:pStyle w:val="BodyText"/>
      </w:pPr>
      <w:r>
        <w:t xml:space="preserve">O financiamento depende de elegibilidade e administração local. Este guia não garante pagamento por WIOA.</w:t>
      </w:r>
    </w:p>
    <w:bookmarkEnd w:id="36"/>
    <w:bookmarkStart w:id="42" w:name="X8fefd33196decabeb8d6a089f2bcd2c5c7bf109"/>
    <w:p>
      <w:pPr>
        <w:pStyle w:val="Heading2"/>
      </w:pPr>
      <w:r>
        <w:t xml:space="preserve">8. Caminho no Canadá</w:t>
      </w:r>
    </w:p>
    <w:p>
      <w:pPr>
        <w:pStyle w:val="FirstParagraph"/>
      </w:pPr>
      <w:r>
        <w:t xml:space="preserve">O agrupamento ocupacional nacional mais próximo é</w:t>
      </w:r>
      <w:r>
        <w:t xml:space="preserve"> </w:t>
      </w:r>
      <w:r>
        <w:rPr>
          <w:bCs/>
          <w:b/>
        </w:rPr>
        <w:t xml:space="preserve">NOC 44101 — Home support workers, caregivers and related occupations</w:t>
      </w:r>
      <w:r>
        <w:t xml:space="preserve">.</w:t>
      </w:r>
    </w:p>
    <w:p>
      <w:pPr>
        <w:pStyle w:val="BodyText"/>
      </w:pPr>
      <w:r>
        <w:t xml:space="preserve">O Job Bank do Governo do Canadá descreve esses profissionais como pessoas que prestam cuidados pessoais e companhia a idosos, pessoas com deficiência e clientes convalescentes, geralmente na residência do cliente. Podem trabalhar para agências de apoio/cuidados domiciliares, residências particulares ou por conta própria.</w:t>
      </w:r>
    </w:p>
    <w:p>
      <w:pPr>
        <w:pStyle w:val="BodyText"/>
      </w:pPr>
      <w:r>
        <w:t xml:space="preserve">O Job Bank resume o nível de entrada habitual como ensino médio ou treinamento específico e observa que algumas semanas de treinamento no trabalho podem ser comuns. Os requisitos podem variar conforme província, empregador, população atendida e se o trabalho entra em uma ocupação de saúde regulamentada.</w:t>
      </w:r>
    </w:p>
    <w:p>
      <w:pPr>
        <w:pStyle w:val="BodyText"/>
      </w:pPr>
      <w:r>
        <w:t xml:space="preserve">Resumo do Job Bank:</w:t>
      </w:r>
      <w:r>
        <w:br/>
      </w:r>
      <w:hyperlink r:id="rId37">
        <w:hyperlink r:id="rId37">
          <w:r>
            <w:rPr>
              <w:rStyle w:val="Hyperlink"/>
            </w:rPr>
            <w:t xml:space="preserve">Source link</w:t>
          </w:r>
        </w:hyperlink>
      </w:hyperlink>
    </w:p>
    <w:bookmarkStart w:id="39" w:name="salários-no-canadá"/>
    <w:p>
      <w:pPr>
        <w:pStyle w:val="Heading3"/>
      </w:pPr>
      <w:r>
        <w:t xml:space="preserve">Salários no Canadá</w:t>
      </w:r>
    </w:p>
    <w:p>
      <w:pPr>
        <w:pStyle w:val="FirstParagraph"/>
      </w:pPr>
      <w:r>
        <w:t xml:space="preserve">O relatório nacional de salários do Job Bank para NOC 44101, atualizado em 19 de novembro de 2025 com período de referência 2023–2024 da Labour Force Survey, informa:</w:t>
      </w:r>
    </w:p>
    <w:p>
      <w:pPr>
        <w:numPr>
          <w:ilvl w:val="0"/>
          <w:numId w:val="1007"/>
        </w:numPr>
        <w:pStyle w:val="Compact"/>
      </w:pPr>
      <w:r>
        <w:t xml:space="preserve">baixo:</w:t>
      </w:r>
      <w:r>
        <w:t xml:space="preserve"> </w:t>
      </w:r>
      <w:r>
        <w:rPr>
          <w:bCs/>
          <w:b/>
        </w:rPr>
        <w:t xml:space="preserve">CAD $16,00/hora</w:t>
      </w:r>
      <w:r>
        <w:t xml:space="preserve">;</w:t>
      </w:r>
    </w:p>
    <w:p>
      <w:pPr>
        <w:numPr>
          <w:ilvl w:val="0"/>
          <w:numId w:val="1007"/>
        </w:numPr>
        <w:pStyle w:val="Compact"/>
      </w:pPr>
      <w:r>
        <w:t xml:space="preserve">mediano:</w:t>
      </w:r>
      <w:r>
        <w:t xml:space="preserve"> </w:t>
      </w:r>
      <w:r>
        <w:rPr>
          <w:bCs/>
          <w:b/>
        </w:rPr>
        <w:t xml:space="preserve">CAD $20,50/hora</w:t>
      </w:r>
      <w:r>
        <w:t xml:space="preserve">;</w:t>
      </w:r>
    </w:p>
    <w:p>
      <w:pPr>
        <w:numPr>
          <w:ilvl w:val="0"/>
          <w:numId w:val="1007"/>
        </w:numPr>
        <w:pStyle w:val="Compact"/>
      </w:pPr>
      <w:r>
        <w:t xml:space="preserve">alto:</w:t>
      </w:r>
      <w:r>
        <w:t xml:space="preserve"> </w:t>
      </w:r>
      <w:r>
        <w:rPr>
          <w:bCs/>
          <w:b/>
        </w:rPr>
        <w:t xml:space="preserve">CAD $27,00/hora</w:t>
      </w:r>
      <w:r>
        <w:t xml:space="preserve">.</w:t>
      </w:r>
    </w:p>
    <w:p>
      <w:pPr>
        <w:pStyle w:val="FirstParagraph"/>
      </w:pPr>
      <w:r>
        <w:t xml:space="preserve">São valores por hora em dólares canadenses e variam de forma importante por província e região.</w:t>
      </w:r>
    </w:p>
    <w:p>
      <w:pPr>
        <w:pStyle w:val="BodyText"/>
      </w:pPr>
      <w:hyperlink r:id="rId38">
        <w:hyperlink r:id="rId38">
          <w:r>
            <w:rPr>
              <w:rStyle w:val="Hyperlink"/>
            </w:rPr>
            <w:t xml:space="preserve">Source link</w:t>
          </w:r>
        </w:hyperlink>
      </w:hyperlink>
    </w:p>
    <w:bookmarkEnd w:id="39"/>
    <w:bookmarkStart w:id="41" w:name="perspectivas-no-canadá"/>
    <w:p>
      <w:pPr>
        <w:pStyle w:val="Heading3"/>
      </w:pPr>
      <w:r>
        <w:t xml:space="preserve">Perspectivas no Canadá</w:t>
      </w:r>
    </w:p>
    <w:p>
      <w:pPr>
        <w:pStyle w:val="FirstParagraph"/>
      </w:pPr>
      <w:r>
        <w:t xml:space="preserve">O Job Bank informa que as perspectivas para NOC 44101</w:t>
      </w:r>
      <w:r>
        <w:t xml:space="preserve"> </w:t>
      </w:r>
      <w:r>
        <w:rPr>
          <w:bCs/>
          <w:b/>
        </w:rPr>
        <w:t xml:space="preserve">variam no Canadá</w:t>
      </w:r>
      <w:r>
        <w:t xml:space="preserve">. Não trate a classificação de uma província como se fosse o panorama nacional. Consulte a perspectiva provincial e regional atual onde pretende trabalhar.</w:t>
      </w:r>
    </w:p>
    <w:p>
      <w:pPr>
        <w:pStyle w:val="BodyText"/>
      </w:pPr>
      <w:hyperlink r:id="rId40">
        <w:hyperlink r:id="rId40">
          <w:r>
            <w:rPr>
              <w:rStyle w:val="Hyperlink"/>
            </w:rPr>
            <w:t xml:space="preserve">Source link</w:t>
          </w:r>
        </w:hyperlink>
      </w:hyperlink>
    </w:p>
    <w:bookmarkEnd w:id="41"/>
    <w:bookmarkEnd w:id="42"/>
    <w:bookmarkStart w:id="47" w:name="X5a5c79e1902498a3394ed8b3fb5449c177be362"/>
    <w:p>
      <w:pPr>
        <w:pStyle w:val="Heading2"/>
      </w:pPr>
      <w:r>
        <w:t xml:space="preserve">9. Estratégia de treinamento e financiamento no Canadá</w:t>
      </w:r>
    </w:p>
    <w:p>
      <w:pPr>
        <w:pStyle w:val="FirstParagraph"/>
      </w:pPr>
      <w:r>
        <w:t xml:space="preserve">Comece por recursos públicos antes de pagar um fornecedor privado:</w:t>
      </w:r>
    </w:p>
    <w:p>
      <w:pPr>
        <w:numPr>
          <w:ilvl w:val="0"/>
          <w:numId w:val="1008"/>
        </w:numPr>
        <w:pStyle w:val="Compact"/>
      </w:pPr>
      <w:r>
        <w:t xml:space="preserve">Portal de treinamento do Canadá:</w:t>
      </w:r>
      <w:r>
        <w:t xml:space="preserve"> </w:t>
      </w:r>
      <w:hyperlink r:id="rId43">
        <w:hyperlink r:id="rId43">
          <w:r>
            <w:rPr>
              <w:rStyle w:val="Hyperlink"/>
            </w:rPr>
            <w:t xml:space="preserve">Source link</w:t>
          </w:r>
        </w:hyperlink>
      </w:hyperlink>
    </w:p>
    <w:p>
      <w:pPr>
        <w:numPr>
          <w:ilvl w:val="0"/>
          <w:numId w:val="1008"/>
        </w:numPr>
        <w:pStyle w:val="Compact"/>
      </w:pPr>
      <w:r>
        <w:t xml:space="preserve">Labour Market Agreements do Governo do Canadá:</w:t>
      </w:r>
      <w:r>
        <w:t xml:space="preserve"> </w:t>
      </w:r>
      <w:hyperlink r:id="rId44">
        <w:hyperlink r:id="rId44">
          <w:r>
            <w:rPr>
              <w:rStyle w:val="Hyperlink"/>
            </w:rPr>
            <w:t xml:space="preserve">Source link</w:t>
          </w:r>
        </w:hyperlink>
      </w:hyperlink>
    </w:p>
    <w:p>
      <w:pPr>
        <w:numPr>
          <w:ilvl w:val="0"/>
          <w:numId w:val="1008"/>
        </w:numPr>
        <w:pStyle w:val="Compact"/>
      </w:pPr>
      <w:r>
        <w:t xml:space="preserve">Skills for Success:</w:t>
      </w:r>
      <w:r>
        <w:t xml:space="preserve"> </w:t>
      </w:r>
      <w:hyperlink r:id="rId45">
        <w:hyperlink r:id="rId45">
          <w:r>
            <w:rPr>
              <w:rStyle w:val="Hyperlink"/>
            </w:rPr>
            <w:t xml:space="preserve">Source link</w:t>
          </w:r>
        </w:hyperlink>
      </w:hyperlink>
    </w:p>
    <w:p>
      <w:pPr>
        <w:numPr>
          <w:ilvl w:val="0"/>
          <w:numId w:val="1008"/>
        </w:numPr>
        <w:pStyle w:val="Compact"/>
      </w:pPr>
      <w:r>
        <w:t xml:space="preserve">Informações ocupacionais e de treinamento do Job Bank:</w:t>
      </w:r>
      <w:r>
        <w:t xml:space="preserve"> </w:t>
      </w:r>
      <w:hyperlink r:id="rId46">
        <w:r>
          <w:rPr>
            <w:rStyle w:val="Hyperlink"/>
          </w:rPr>
          <w:t xml:space="preserve">https://www.jobbank.gc.ca/</w:t>
        </w:r>
      </w:hyperlink>
    </w:p>
    <w:p>
      <w:pPr>
        <w:pStyle w:val="FirstParagraph"/>
      </w:pPr>
      <w:r>
        <w:t xml:space="preserve">Os Labour Market Development Agreements e Workforce Development Agreements do Canadá financiam programas de treinamento e apoio ao emprego administrados pelas províncias e territórios. Elegibilidade e disponibilidade variam. Skills for Success também oferece recursos gratuitos de avaliação e aprendizagem de habilidades fundamentais para o trabalho.</w:t>
      </w:r>
    </w:p>
    <w:p>
      <w:pPr>
        <w:pStyle w:val="BodyText"/>
      </w:pPr>
      <w:r>
        <w:t xml:space="preserve">Pergunte à província ou território, ao provedor de treinamento e ao empregador potencial se um programa específico atende aos requisitos locais de contratação ou regulamentação.</w:t>
      </w:r>
    </w:p>
    <w:bookmarkEnd w:id="47"/>
    <w:bookmarkStart w:id="56" w:name="Xcf6c4e779c89a4958e790a997d2603f27c0b1dc"/>
    <w:p>
      <w:pPr>
        <w:pStyle w:val="Heading2"/>
      </w:pPr>
      <w:r>
        <w:t xml:space="preserve">10. Caminho na Colômbia</w:t>
      </w:r>
    </w:p>
    <w:p>
      <w:pPr>
        <w:pStyle w:val="FirstParagraph"/>
      </w:pPr>
      <w:r>
        <w:t xml:space="preserve">Na Colômbia é essencial distinguir entre</w:t>
      </w:r>
      <w:r>
        <w:t xml:space="preserve"> </w:t>
      </w:r>
      <w:r>
        <w:rPr>
          <w:bCs/>
          <w:b/>
        </w:rPr>
        <w:t xml:space="preserve">cuidado geral ou assistência pessoal</w:t>
      </w:r>
      <w:r>
        <w:t xml:space="preserve"> </w:t>
      </w:r>
      <w:r>
        <w:t xml:space="preserve">e atuação regulamentada como</w:t>
      </w:r>
      <w:r>
        <w:t xml:space="preserve"> </w:t>
      </w:r>
      <w:r>
        <w:rPr>
          <w:bCs/>
          <w:b/>
        </w:rPr>
        <w:t xml:space="preserve">Auxiliar en Salud</w:t>
      </w:r>
      <w:r>
        <w:t xml:space="preserve">.</w:t>
      </w:r>
    </w:p>
    <w:bookmarkStart w:id="49" w:name="X23ce77503a86037778304ef9aa17d206e085f7b"/>
    <w:p>
      <w:pPr>
        <w:pStyle w:val="Heading3"/>
      </w:pPr>
      <w:r>
        <w:t xml:space="preserve">Caminho de cuidador ou assistente pessoal</w:t>
      </w:r>
    </w:p>
    <w:p>
      <w:pPr>
        <w:pStyle w:val="FirstParagraph"/>
      </w:pPr>
      <w:r>
        <w:t xml:space="preserve">Uma pessoa cuidadora pode apoiar atividades da vida diária, autonomia, companhia e assistência pessoal conforme as necessidades da pessoa e o acordo de trabalho ou serviço aplicável.</w:t>
      </w:r>
    </w:p>
    <w:p>
      <w:pPr>
        <w:pStyle w:val="BodyText"/>
      </w:pPr>
      <w:r>
        <w:t xml:space="preserve">A</w:t>
      </w:r>
      <w:r>
        <w:t xml:space="preserve"> </w:t>
      </w:r>
      <w:r>
        <w:rPr>
          <w:bCs/>
          <w:b/>
        </w:rPr>
        <w:t xml:space="preserve">Ley 2297 de 2023</w:t>
      </w:r>
      <w:r>
        <w:t xml:space="preserve"> </w:t>
      </w:r>
      <w:r>
        <w:t xml:space="preserve">criou um marco nacional relacionado a cuidadores ou assistentes pessoais de pessoas com deficiência, incluindo orientação/formação e avaliação/certificação de competências no sistema colombiano de qualificações.</w:t>
      </w:r>
    </w:p>
    <w:p>
      <w:pPr>
        <w:pStyle w:val="BodyText"/>
      </w:pPr>
      <w:r>
        <w:t xml:space="preserve">Normograma SENA — Ley 2297 de 2023:</w:t>
      </w:r>
      <w:r>
        <w:br/>
      </w:r>
      <w:hyperlink r:id="rId48">
        <w:hyperlink r:id="rId48">
          <w:r>
            <w:rPr>
              <w:rStyle w:val="Hyperlink"/>
            </w:rPr>
            <w:t xml:space="preserve">Source link</w:t>
          </w:r>
        </w:hyperlink>
      </w:hyperlink>
    </w:p>
    <w:bookmarkEnd w:id="49"/>
    <w:bookmarkStart w:id="52" w:name="X4aca46c096b4c7963555e76d98b8cc310907c1a"/>
    <w:p>
      <w:pPr>
        <w:pStyle w:val="Heading3"/>
      </w:pPr>
      <w:r>
        <w:t xml:space="preserve">Certificação de competências de cuidadores pelo SENA</w:t>
      </w:r>
    </w:p>
    <w:p>
      <w:pPr>
        <w:pStyle w:val="FirstParagraph"/>
      </w:pPr>
      <w:r>
        <w:t xml:space="preserve">O SENA continua reconhecendo competências de cuidadores por meio do processo de</w:t>
      </w:r>
      <w:r>
        <w:t xml:space="preserve"> </w:t>
      </w:r>
      <w:r>
        <w:rPr>
          <w:bCs/>
          <w:b/>
        </w:rPr>
        <w:t xml:space="preserve">Evaluación y Certificación de Competencias Laborales (ECCL)</w:t>
      </w:r>
      <w:r>
        <w:t xml:space="preserve">. Em março de 2026, anunciou a Certificatón “Manos que Cuidan”, com normas relacionadas a:</w:t>
      </w:r>
    </w:p>
    <w:p>
      <w:pPr>
        <w:numPr>
          <w:ilvl w:val="0"/>
          <w:numId w:val="1009"/>
        </w:numPr>
        <w:pStyle w:val="Compact"/>
      </w:pPr>
      <w:r>
        <w:t xml:space="preserve">cuidar de pessoas segundo protocolos de atividades básicas cotidianas e grau de autonomia; e</w:t>
      </w:r>
    </w:p>
    <w:p>
      <w:pPr>
        <w:numPr>
          <w:ilvl w:val="0"/>
          <w:numId w:val="1009"/>
        </w:numPr>
        <w:pStyle w:val="Compact"/>
      </w:pPr>
      <w:r>
        <w:t xml:space="preserve">atender necessidades de acompanhamento conforme preferências espirituais e emocionais.</w:t>
      </w:r>
    </w:p>
    <w:p>
      <w:pPr>
        <w:pStyle w:val="FirstParagraph"/>
      </w:pPr>
      <w:r>
        <w:t xml:space="preserve">O período de inscrição daquela convocação específica já encerrou. Ela deve ser tratada como evidência de que existe uma rota de certificação de competências, não como oferta atualmente aberta.</w:t>
      </w:r>
    </w:p>
    <w:p>
      <w:pPr>
        <w:pStyle w:val="BodyText"/>
      </w:pPr>
      <w:r>
        <w:t xml:space="preserve">Anúncio do SENA de 20 de março de 2026:</w:t>
      </w:r>
      <w:r>
        <w:br/>
      </w:r>
      <w:hyperlink r:id="rId50">
        <w:hyperlink r:id="rId50">
          <w:r>
            <w:rPr>
              <w:rStyle w:val="Hyperlink"/>
            </w:rPr>
            <w:t xml:space="preserve">Source link</w:t>
          </w:r>
        </w:hyperlink>
      </w:hyperlink>
    </w:p>
    <w:p>
      <w:pPr>
        <w:pStyle w:val="BodyText"/>
      </w:pPr>
      <w:r>
        <w:t xml:space="preserve">O SENA também informou novas certificações de cuidadores em julho de 2026, confirmando a continuidade desse reconhecimento de competências durante 2026:</w:t>
      </w:r>
      <w:r>
        <w:br/>
      </w:r>
      <w:hyperlink r:id="rId51">
        <w:hyperlink r:id="rId51">
          <w:r>
            <w:rPr>
              <w:rStyle w:val="Hyperlink"/>
            </w:rPr>
            <w:t xml:space="preserve">Source link</w:t>
          </w:r>
        </w:hyperlink>
      </w:hyperlink>
    </w:p>
    <w:p>
      <w:pPr>
        <w:pStyle w:val="BodyText"/>
      </w:pPr>
      <w:r>
        <w:t xml:space="preserve">Consulte as ofertas atuais do SENA e oportunidades ECCL em vez de depender de uma convocação encerrada.</w:t>
      </w:r>
    </w:p>
    <w:bookmarkEnd w:id="52"/>
    <w:bookmarkStart w:id="55" w:name="Xfd5156e3988e22208e5f03c6fa279078ffc284d"/>
    <w:p>
      <w:pPr>
        <w:pStyle w:val="Heading3"/>
      </w:pPr>
      <w:r>
        <w:t xml:space="preserve">Limite com a atuação regulamentada de auxiliares de saúde</w:t>
      </w:r>
    </w:p>
    <w:p>
      <w:pPr>
        <w:pStyle w:val="FirstParagraph"/>
      </w:pPr>
      <w:r>
        <w:t xml:space="preserve">O Ministério da Saúde da Colômbia informa que a</w:t>
      </w:r>
      <w:r>
        <w:t xml:space="preserve"> </w:t>
      </w:r>
      <w:r>
        <w:rPr>
          <w:bCs/>
          <w:b/>
        </w:rPr>
        <w:t xml:space="preserve">Educación para el Trabajo y el Desarrollo Humano</w:t>
      </w:r>
      <w:r>
        <w:t xml:space="preserve"> </w:t>
      </w:r>
      <w:r>
        <w:t xml:space="preserve">na área da saúde está sujeita às regras de</w:t>
      </w:r>
      <w:r>
        <w:t xml:space="preserve"> </w:t>
      </w:r>
      <w:r>
        <w:rPr>
          <w:bCs/>
          <w:b/>
        </w:rPr>
        <w:t xml:space="preserve">Talento Humano en Salud</w:t>
      </w:r>
      <w:r>
        <w:t xml:space="preserve">, e que os perfis ocupacionais de Auxiliares en Salud apoiam e complementam a atenção integral em saúde.</w:t>
      </w:r>
    </w:p>
    <w:p>
      <w:pPr>
        <w:pStyle w:val="BodyText"/>
      </w:pPr>
      <w:r>
        <w:t xml:space="preserve">Portanto, experiência como cuidador ou um certificado de competências de cuidador</w:t>
      </w:r>
      <w:r>
        <w:t xml:space="preserve"> </w:t>
      </w:r>
      <w:r>
        <w:rPr>
          <w:bCs/>
          <w:b/>
        </w:rPr>
        <w:t xml:space="preserve">não</w:t>
      </w:r>
      <w:r>
        <w:t xml:space="preserve"> </w:t>
      </w:r>
      <w:r>
        <w:t xml:space="preserve">autoriza automaticamente a pessoa a executar funções regulamentadas de um</w:t>
      </w:r>
      <w:r>
        <w:t xml:space="preserve"> </w:t>
      </w:r>
      <w:r>
        <w:rPr>
          <w:bCs/>
          <w:b/>
        </w:rPr>
        <w:t xml:space="preserve">Auxiliar en Salud</w:t>
      </w:r>
      <w:r>
        <w:t xml:space="preserve">, como procedimentos clínicos reservados a profissionais devidamente formados e autorizados.</w:t>
      </w:r>
    </w:p>
    <w:p>
      <w:pPr>
        <w:pStyle w:val="BodyText"/>
      </w:pPr>
      <w:r>
        <w:t xml:space="preserve">Ministério da Saúde — Formación Talento Humano en Salud:</w:t>
      </w:r>
      <w:r>
        <w:br/>
      </w:r>
      <w:hyperlink r:id="rId53">
        <w:hyperlink r:id="rId53">
          <w:r>
            <w:rPr>
              <w:rStyle w:val="Hyperlink"/>
            </w:rPr>
            <w:t xml:space="preserve">Source link</w:t>
          </w:r>
        </w:hyperlink>
      </w:hyperlink>
    </w:p>
    <w:p>
      <w:pPr>
        <w:pStyle w:val="BodyText"/>
      </w:pPr>
      <w:r>
        <w:t xml:space="preserve">Ministério da Saúde — Profesiones y ocupaciones:</w:t>
      </w:r>
      <w:r>
        <w:br/>
      </w:r>
      <w:hyperlink r:id="rId54">
        <w:hyperlink r:id="rId54">
          <w:r>
            <w:rPr>
              <w:rStyle w:val="Hyperlink"/>
            </w:rPr>
            <w:t xml:space="preserve">Source link</w:t>
          </w:r>
        </w:hyperlink>
      </w:hyperlink>
    </w:p>
    <w:bookmarkEnd w:id="55"/>
    <w:bookmarkEnd w:id="56"/>
    <w:bookmarkStart w:id="58" w:name="X66eb465879e937dba67b4936bebdc9f7a126c64"/>
    <w:p>
      <w:pPr>
        <w:pStyle w:val="Heading2"/>
      </w:pPr>
      <w:r>
        <w:t xml:space="preserve">11. Estratégia gratuita ou de baixo custo na Colômbia</w:t>
      </w:r>
    </w:p>
    <w:p>
      <w:pPr>
        <w:numPr>
          <w:ilvl w:val="0"/>
          <w:numId w:val="1010"/>
        </w:numPr>
        <w:pStyle w:val="Compact"/>
      </w:pPr>
      <w:r>
        <w:t xml:space="preserve">Defina se busca uma função de cuidador/assistente pessoal ou uma rota regulamentada como Auxiliar en Salud.</w:t>
      </w:r>
    </w:p>
    <w:p>
      <w:pPr>
        <w:numPr>
          <w:ilvl w:val="0"/>
          <w:numId w:val="1010"/>
        </w:numPr>
        <w:pStyle w:val="Compact"/>
      </w:pPr>
      <w:r>
        <w:t xml:space="preserve">Para cuidado geral, consulte oportunidades atuais de certificação ECCL para cuidadores e a oferta vigente de formação do</w:t>
      </w:r>
      <w:r>
        <w:t xml:space="preserve"> </w:t>
      </w:r>
      <w:r>
        <w:rPr>
          <w:bCs/>
          <w:b/>
        </w:rPr>
        <w:t xml:space="preserve">SENA</w:t>
      </w:r>
      <w:r>
        <w:t xml:space="preserve">.</w:t>
      </w:r>
    </w:p>
    <w:p>
      <w:pPr>
        <w:numPr>
          <w:ilvl w:val="0"/>
          <w:numId w:val="1010"/>
        </w:numPr>
        <w:pStyle w:val="Compact"/>
      </w:pPr>
      <w:r>
        <w:t xml:space="preserve">Se busca uma rota de Auxiliar en Salud, confirme que o programa e a instituição atendem aos requisitos colombianos atuais de formação em saúde antes da matrícula.</w:t>
      </w:r>
    </w:p>
    <w:p>
      <w:pPr>
        <w:numPr>
          <w:ilvl w:val="0"/>
          <w:numId w:val="1010"/>
        </w:numPr>
        <w:pStyle w:val="Compact"/>
      </w:pPr>
      <w:r>
        <w:t xml:space="preserve">Peça ao empregador que especifique as funções exatas esperadas e se exige registro ocupacional/profissional ou determinada credencial de saúde.</w:t>
      </w:r>
    </w:p>
    <w:p>
      <w:pPr>
        <w:numPr>
          <w:ilvl w:val="0"/>
          <w:numId w:val="1010"/>
        </w:numPr>
        <w:pStyle w:val="Compact"/>
      </w:pPr>
      <w:r>
        <w:t xml:space="preserve">Não pague um curso apenas porque a publicidade usa palavras como “saúde”, “clínico” ou “domiciliar”. Confirme primeiro o reconhecimento.</w:t>
      </w:r>
    </w:p>
    <w:p>
      <w:pPr>
        <w:pStyle w:val="FirstParagraph"/>
      </w:pPr>
      <w:r>
        <w:t xml:space="preserve">SENA:</w:t>
      </w:r>
      <w:r>
        <w:t xml:space="preserve"> </w:t>
      </w:r>
      <w:hyperlink r:id="rId57">
        <w:r>
          <w:rPr>
            <w:rStyle w:val="Hyperlink"/>
          </w:rPr>
          <w:t xml:space="preserve">https://www.sena.edu.co/</w:t>
        </w:r>
      </w:hyperlink>
    </w:p>
    <w:bookmarkEnd w:id="58"/>
    <w:bookmarkStart w:id="65" w:name="X12af57c437f67125cef7f18fabc9fbf829f7681"/>
    <w:p>
      <w:pPr>
        <w:pStyle w:val="Heading2"/>
      </w:pPr>
      <w:r>
        <w:t xml:space="preserve">12. Competências valorizadas pelos empregadores</w:t>
      </w:r>
    </w:p>
    <w:bookmarkStart w:id="59" w:name="confiabilidade"/>
    <w:p>
      <w:pPr>
        <w:pStyle w:val="Heading3"/>
      </w:pPr>
      <w:r>
        <w:t xml:space="preserve">Confiabilidade</w:t>
      </w:r>
    </w:p>
    <w:p>
      <w:pPr>
        <w:pStyle w:val="FirstParagraph"/>
      </w:pPr>
      <w:r>
        <w:t xml:space="preserve">Os clientes podem depender de você para rotinas essenciais. Pontualidade, continuidade, passagens de turno corretas e cumprimento do plano de cuidados importam.</w:t>
      </w:r>
    </w:p>
    <w:bookmarkEnd w:id="59"/>
    <w:bookmarkStart w:id="60" w:name="observação"/>
    <w:p>
      <w:pPr>
        <w:pStyle w:val="Heading3"/>
      </w:pPr>
      <w:r>
        <w:t xml:space="preserve">Observação</w:t>
      </w:r>
    </w:p>
    <w:p>
      <w:pPr>
        <w:pStyle w:val="FirstParagraph"/>
      </w:pPr>
      <w:r>
        <w:t xml:space="preserve">Perceba mudanças relevantes e comunique-as pelo canal correto. Não transforme observação em diagnóstico não autorizado.</w:t>
      </w:r>
    </w:p>
    <w:bookmarkEnd w:id="60"/>
    <w:bookmarkStart w:id="61" w:name="comunicação"/>
    <w:p>
      <w:pPr>
        <w:pStyle w:val="Heading3"/>
      </w:pPr>
      <w:r>
        <w:t xml:space="preserve">Comunicação</w:t>
      </w:r>
    </w:p>
    <w:p>
      <w:pPr>
        <w:pStyle w:val="FirstParagraph"/>
      </w:pPr>
      <w:r>
        <w:t xml:space="preserve">Use linguagem clara e respeitosa com o cliente e a família. Confirme instruções quando forem ambíguas.</w:t>
      </w:r>
    </w:p>
    <w:bookmarkEnd w:id="61"/>
    <w:bookmarkStart w:id="62" w:name="documentação"/>
    <w:p>
      <w:pPr>
        <w:pStyle w:val="Heading3"/>
      </w:pPr>
      <w:r>
        <w:t xml:space="preserve">Documentação</w:t>
      </w:r>
    </w:p>
    <w:p>
      <w:pPr>
        <w:pStyle w:val="FirstParagraph"/>
      </w:pPr>
      <w:r>
        <w:t xml:space="preserve">Registre o que realmente observou e fez. Evite suposições, exageros, texto genérico copiado ou conclusões clínicas não documentadas.</w:t>
      </w:r>
    </w:p>
    <w:bookmarkEnd w:id="62"/>
    <w:bookmarkStart w:id="63" w:name="limites-profissionais"/>
    <w:p>
      <w:pPr>
        <w:pStyle w:val="Heading3"/>
      </w:pPr>
      <w:r>
        <w:t xml:space="preserve">Limites profissionais</w:t>
      </w:r>
    </w:p>
    <w:p>
      <w:pPr>
        <w:pStyle w:val="FirstParagraph"/>
      </w:pPr>
      <w:r>
        <w:t xml:space="preserve">Não peça dinheiro emprestado, aceite presentes inadequados, torne-se responsável por decisões financeiras sem autorização legal, compartilhe senhas, publique informações do cliente ou amplie suas funções em acordos privados além do que foi aprovado.</w:t>
      </w:r>
    </w:p>
    <w:bookmarkEnd w:id="63"/>
    <w:bookmarkStart w:id="64" w:name="dignidade-e-autonomia"/>
    <w:p>
      <w:pPr>
        <w:pStyle w:val="Heading3"/>
      </w:pPr>
      <w:r>
        <w:t xml:space="preserve">Dignidade e autonomia</w:t>
      </w:r>
    </w:p>
    <w:p>
      <w:pPr>
        <w:pStyle w:val="FirstParagraph"/>
      </w:pPr>
      <w:r>
        <w:t xml:space="preserve">Peça consentimento antes de tocar, explique o que fará, proteja a privacidade e apoie a capacidade da pessoa de fazer escolhas sempre que possível.</w:t>
      </w:r>
    </w:p>
    <w:bookmarkEnd w:id="64"/>
    <w:bookmarkEnd w:id="65"/>
    <w:bookmarkStart w:id="71" w:name="Xb6f23b4639325d6373b1376655474854af6b2cf"/>
    <w:p>
      <w:pPr>
        <w:pStyle w:val="Heading2"/>
      </w:pPr>
      <w:r>
        <w:t xml:space="preserve">13. Fundamentos de segurança</w:t>
      </w:r>
    </w:p>
    <w:bookmarkStart w:id="66" w:name="transferências-e-mecânica-corporal"/>
    <w:p>
      <w:pPr>
        <w:pStyle w:val="Heading3"/>
      </w:pPr>
      <w:r>
        <w:t xml:space="preserve">Transferências e mecânica corporal</w:t>
      </w:r>
    </w:p>
    <w:p>
      <w:pPr>
        <w:pStyle w:val="FirstParagraph"/>
      </w:pPr>
      <w:r>
        <w:t xml:space="preserve">Use os equipamentos e a técnica para os quais recebeu treinamento. Uma transferência apressada e insegura pode ferir tanto o trabalhador quanto o cliente.</w:t>
      </w:r>
    </w:p>
    <w:bookmarkEnd w:id="66"/>
    <w:bookmarkStart w:id="67" w:name="prevenção-de-quedas"/>
    <w:p>
      <w:pPr>
        <w:pStyle w:val="Heading3"/>
      </w:pPr>
      <w:r>
        <w:t xml:space="preserve">Prevenção de quedas</w:t>
      </w:r>
    </w:p>
    <w:p>
      <w:pPr>
        <w:pStyle w:val="FirstParagraph"/>
      </w:pPr>
      <w:r>
        <w:t xml:space="preserve">Mantenha passagens livres, use corretamente dispositivos de mobilidade prescritos, comunique nova instabilidade e siga o plano de cuidados em vez de improvisar.</w:t>
      </w:r>
    </w:p>
    <w:bookmarkEnd w:id="67"/>
    <w:bookmarkStart w:id="68" w:name="prevenção-de-infecções"/>
    <w:p>
      <w:pPr>
        <w:pStyle w:val="Heading3"/>
      </w:pPr>
      <w:r>
        <w:t xml:space="preserve">Prevenção de infecções</w:t>
      </w:r>
    </w:p>
    <w:p>
      <w:pPr>
        <w:pStyle w:val="FirstParagraph"/>
      </w:pPr>
      <w:r>
        <w:t xml:space="preserve">Siga higiene das mãos, equipamentos de proteção individual, limpeza, exposição e procedimentos de comunicação exigidos pelo empregador e ambiente.</w:t>
      </w:r>
    </w:p>
    <w:bookmarkEnd w:id="68"/>
    <w:bookmarkStart w:id="69" w:name="emergências"/>
    <w:p>
      <w:pPr>
        <w:pStyle w:val="Heading3"/>
      </w:pPr>
      <w:r>
        <w:t xml:space="preserve">Emergências</w:t>
      </w:r>
    </w:p>
    <w:p>
      <w:pPr>
        <w:pStyle w:val="FirstParagraph"/>
      </w:pPr>
      <w:r>
        <w:t xml:space="preserve">Saiba quem chamar, quando acionar serviços médicos de emergência, onde ficam as informações de emergência e o que você está autorizado e treinado a fazer enquanto aguarda ajuda.</w:t>
      </w:r>
    </w:p>
    <w:bookmarkEnd w:id="69"/>
    <w:bookmarkStart w:id="70" w:name="violência-e-residências-inseguras"/>
    <w:p>
      <w:pPr>
        <w:pStyle w:val="Heading3"/>
      </w:pPr>
      <w:r>
        <w:t xml:space="preserve">Violência e residências inseguras</w:t>
      </w:r>
    </w:p>
    <w:p>
      <w:pPr>
        <w:pStyle w:val="FirstParagraph"/>
      </w:pPr>
      <w:r>
        <w:t xml:space="preserve">Uma residência também é um local de trabalho. Comunique ameaças, preocupações com armas, animais agressivos, condições ambientais inseguras, assédio ou situações nas quais não seja possível prestar cuidado com segurança.</w:t>
      </w:r>
    </w:p>
    <w:bookmarkEnd w:id="70"/>
    <w:bookmarkEnd w:id="71"/>
    <w:bookmarkStart w:id="72" w:name="X13fb15748d23079d2b8bc960d256adcdbb626bf"/>
    <w:p>
      <w:pPr>
        <w:pStyle w:val="Heading2"/>
      </w:pPr>
      <w:r>
        <w:t xml:space="preserve">14. Limite relacionado a medicamentos</w:t>
      </w:r>
    </w:p>
    <w:p>
      <w:pPr>
        <w:pStyle w:val="FirstParagraph"/>
      </w:pPr>
      <w:r>
        <w:t xml:space="preserve">As regras sobre medicamentos variam muito. “Lembrar” um cliente de tomar um medicamento não é necessariamente a mesma atividade legal que administrar o medicamento.</w:t>
      </w:r>
    </w:p>
    <w:p>
      <w:pPr>
        <w:pStyle w:val="BodyText"/>
      </w:pPr>
      <w:r>
        <w:t xml:space="preserve">Nunca presuma que a administração seja permitida. Confirme:</w:t>
      </w:r>
    </w:p>
    <w:p>
      <w:pPr>
        <w:numPr>
          <w:ilvl w:val="0"/>
          <w:numId w:val="1011"/>
        </w:numPr>
        <w:pStyle w:val="Compact"/>
      </w:pPr>
      <w:r>
        <w:t xml:space="preserve">legislação aplicável;</w:t>
      </w:r>
    </w:p>
    <w:p>
      <w:pPr>
        <w:numPr>
          <w:ilvl w:val="0"/>
          <w:numId w:val="1011"/>
        </w:numPr>
        <w:pStyle w:val="Compact"/>
      </w:pPr>
      <w:r>
        <w:t xml:space="preserve">sua credencial e treinamento;</w:t>
      </w:r>
    </w:p>
    <w:p>
      <w:pPr>
        <w:numPr>
          <w:ilvl w:val="0"/>
          <w:numId w:val="1011"/>
        </w:numPr>
        <w:pStyle w:val="Compact"/>
      </w:pPr>
      <w:r>
        <w:t xml:space="preserve">política do empregador;</w:t>
      </w:r>
    </w:p>
    <w:p>
      <w:pPr>
        <w:numPr>
          <w:ilvl w:val="0"/>
          <w:numId w:val="1011"/>
        </w:numPr>
        <w:pStyle w:val="Compact"/>
      </w:pPr>
      <w:r>
        <w:t xml:space="preserve">plano de cuidados ou ordem escrita;</w:t>
      </w:r>
    </w:p>
    <w:p>
      <w:pPr>
        <w:numPr>
          <w:ilvl w:val="0"/>
          <w:numId w:val="1011"/>
        </w:numPr>
        <w:pStyle w:val="Compact"/>
      </w:pPr>
      <w:r>
        <w:t xml:space="preserve">supervisão e documentação necessárias.</w:t>
      </w:r>
    </w:p>
    <w:p>
      <w:pPr>
        <w:pStyle w:val="FirstParagraph"/>
      </w:pPr>
      <w:r>
        <w:t xml:space="preserve">Em caso de dúvida, pare e encaminhe ao supervisor ou profissional clínico autorizado.</w:t>
      </w:r>
    </w:p>
    <w:bookmarkEnd w:id="72"/>
    <w:bookmarkStart w:id="73" w:name="X2312bc0ac5768410d8e6565e0ba410935310197"/>
    <w:p>
      <w:pPr>
        <w:pStyle w:val="Heading2"/>
      </w:pPr>
      <w:r>
        <w:t xml:space="preserve">15. Privacidade e confidencialidade</w:t>
      </w:r>
    </w:p>
    <w:p>
      <w:pPr>
        <w:pStyle w:val="FirstParagraph"/>
      </w:pPr>
      <w:r>
        <w:t xml:space="preserve">Você pode ter acesso a informações altamente sensíveis sobre saúde, deficiência, finanças, relações familiares, medicamentos, condições de moradia ou identidade.</w:t>
      </w:r>
    </w:p>
    <w:p>
      <w:pPr>
        <w:pStyle w:val="BodyText"/>
      </w:pPr>
      <w:r>
        <w:t xml:space="preserve">Boas práticas incluem:</w:t>
      </w:r>
    </w:p>
    <w:p>
      <w:pPr>
        <w:numPr>
          <w:ilvl w:val="0"/>
          <w:numId w:val="1012"/>
        </w:numPr>
        <w:pStyle w:val="Compact"/>
      </w:pPr>
      <w:r>
        <w:t xml:space="preserve">usar somente sistemas e canais de comunicação aprovados;</w:t>
      </w:r>
    </w:p>
    <w:p>
      <w:pPr>
        <w:numPr>
          <w:ilvl w:val="0"/>
          <w:numId w:val="1012"/>
        </w:numPr>
        <w:pStyle w:val="Compact"/>
      </w:pPr>
      <w:r>
        <w:t xml:space="preserve">acessar apenas as informações necessárias para o trabalho;</w:t>
      </w:r>
    </w:p>
    <w:p>
      <w:pPr>
        <w:numPr>
          <w:ilvl w:val="0"/>
          <w:numId w:val="1012"/>
        </w:numPr>
        <w:pStyle w:val="Compact"/>
      </w:pPr>
      <w:r>
        <w:t xml:space="preserve">não fotografar registros ou clientes em dispositivo pessoal sem autorização expressa;</w:t>
      </w:r>
    </w:p>
    <w:p>
      <w:pPr>
        <w:numPr>
          <w:ilvl w:val="0"/>
          <w:numId w:val="1012"/>
        </w:numPr>
        <w:pStyle w:val="Compact"/>
      </w:pPr>
      <w:r>
        <w:t xml:space="preserve">não discutir clientes em locais públicos ou redes sociais;</w:t>
      </w:r>
    </w:p>
    <w:p>
      <w:pPr>
        <w:numPr>
          <w:ilvl w:val="0"/>
          <w:numId w:val="1012"/>
        </w:numPr>
        <w:pStyle w:val="Compact"/>
      </w:pPr>
      <w:r>
        <w:t xml:space="preserve">confirmar destinatários antes de enviar mensagens;</w:t>
      </w:r>
    </w:p>
    <w:p>
      <w:pPr>
        <w:numPr>
          <w:ilvl w:val="0"/>
          <w:numId w:val="1012"/>
        </w:numPr>
        <w:pStyle w:val="Compact"/>
      </w:pPr>
      <w:r>
        <w:t xml:space="preserve">comunicar rapidamente erros de privacidade pelos procedimentos do empregador.</w:t>
      </w:r>
    </w:p>
    <w:bookmarkEnd w:id="73"/>
    <w:bookmarkStart w:id="75" w:name="Xb33e3e43413f9b0232fd770fb1333de1591e0dc"/>
    <w:p>
      <w:pPr>
        <w:pStyle w:val="Heading2"/>
      </w:pPr>
      <w:r>
        <w:t xml:space="preserve">16. Uso responsável de inteligência artificial</w:t>
      </w:r>
    </w:p>
    <w:p>
      <w:pPr>
        <w:pStyle w:val="FirstParagraph"/>
      </w:pPr>
      <w:r>
        <w:t xml:space="preserve">A IA pode ser útil para</w:t>
      </w:r>
      <w:r>
        <w:t xml:space="preserve"> </w:t>
      </w:r>
      <w:r>
        <w:rPr>
          <w:bCs/>
          <w:b/>
        </w:rPr>
        <w:t xml:space="preserve">aprendizagem e preparação administrativa</w:t>
      </w:r>
      <w:r>
        <w:t xml:space="preserve">, por exemplo:</w:t>
      </w:r>
    </w:p>
    <w:p>
      <w:pPr>
        <w:numPr>
          <w:ilvl w:val="0"/>
          <w:numId w:val="1013"/>
        </w:numPr>
        <w:pStyle w:val="Compact"/>
      </w:pPr>
      <w:r>
        <w:t xml:space="preserve">explicar terminologia geral sem dados de clientes;</w:t>
      </w:r>
    </w:p>
    <w:p>
      <w:pPr>
        <w:numPr>
          <w:ilvl w:val="0"/>
          <w:numId w:val="1013"/>
        </w:numPr>
        <w:pStyle w:val="Compact"/>
      </w:pPr>
      <w:r>
        <w:t xml:space="preserve">criar questionários de estudo com material público;</w:t>
      </w:r>
    </w:p>
    <w:p>
      <w:pPr>
        <w:numPr>
          <w:ilvl w:val="0"/>
          <w:numId w:val="1013"/>
        </w:numPr>
        <w:pStyle w:val="Compact"/>
      </w:pPr>
      <w:r>
        <w:t xml:space="preserve">praticar respostas de entrevista;</w:t>
      </w:r>
    </w:p>
    <w:p>
      <w:pPr>
        <w:numPr>
          <w:ilvl w:val="0"/>
          <w:numId w:val="1013"/>
        </w:numPr>
        <w:pStyle w:val="Compact"/>
      </w:pPr>
      <w:r>
        <w:t xml:space="preserve">melhorar currículo ou carta de apresentação usando experiência verdadeira;</w:t>
      </w:r>
    </w:p>
    <w:p>
      <w:pPr>
        <w:numPr>
          <w:ilvl w:val="0"/>
          <w:numId w:val="1013"/>
        </w:numPr>
        <w:pStyle w:val="Compact"/>
      </w:pPr>
      <w:r>
        <w:t xml:space="preserve">criar listas de verificação genéricas ou modelos de agenda;</w:t>
      </w:r>
    </w:p>
    <w:p>
      <w:pPr>
        <w:numPr>
          <w:ilvl w:val="0"/>
          <w:numId w:val="1013"/>
        </w:numPr>
        <w:pStyle w:val="Compact"/>
      </w:pPr>
      <w:r>
        <w:t xml:space="preserve">traduzir material de prática não confidencial para aprendizagem, seguido de revisão humana.</w:t>
      </w:r>
    </w:p>
    <w:bookmarkStart w:id="74" w:name="X33835e18997292205a728b86dc692b956160ca8"/>
    <w:p>
      <w:pPr>
        <w:pStyle w:val="Heading3"/>
      </w:pPr>
      <w:r>
        <w:t xml:space="preserve">Não insira dados identificáveis de clientes em ferramentas públicas de IA</w:t>
      </w:r>
    </w:p>
    <w:p>
      <w:pPr>
        <w:pStyle w:val="FirstParagraph"/>
      </w:pPr>
      <w:r>
        <w:t xml:space="preserve">Não digite nomes, diagnósticos, endereços, fotografias, anotações de cuidado, listas de medicamentos, datas de nascimento, dados de seguro ou outras informações identificáveis de clientes/pacientes em um sistema público de IA generativa, a menos que seu empregador tenha aprovado expressamente um sistema compatível e aquele uso específico.</w:t>
      </w:r>
    </w:p>
    <w:p>
      <w:pPr>
        <w:pStyle w:val="BodyText"/>
      </w:pPr>
      <w:r>
        <w:t xml:space="preserve">A IA não deve substituir:</w:t>
      </w:r>
    </w:p>
    <w:p>
      <w:pPr>
        <w:numPr>
          <w:ilvl w:val="0"/>
          <w:numId w:val="1014"/>
        </w:numPr>
        <w:pStyle w:val="Compact"/>
      </w:pPr>
      <w:r>
        <w:t xml:space="preserve">procedimentos de emergência;</w:t>
      </w:r>
    </w:p>
    <w:p>
      <w:pPr>
        <w:numPr>
          <w:ilvl w:val="0"/>
          <w:numId w:val="1014"/>
        </w:numPr>
        <w:pStyle w:val="Compact"/>
      </w:pPr>
      <w:r>
        <w:t xml:space="preserve">plano de cuidados do cliente;</w:t>
      </w:r>
    </w:p>
    <w:p>
      <w:pPr>
        <w:numPr>
          <w:ilvl w:val="0"/>
          <w:numId w:val="1014"/>
        </w:numPr>
        <w:pStyle w:val="Compact"/>
      </w:pPr>
      <w:r>
        <w:t xml:space="preserve">instruções do supervisor;</w:t>
      </w:r>
    </w:p>
    <w:p>
      <w:pPr>
        <w:numPr>
          <w:ilvl w:val="0"/>
          <w:numId w:val="1014"/>
        </w:numPr>
        <w:pStyle w:val="Compact"/>
      </w:pPr>
      <w:r>
        <w:t xml:space="preserve">julgamento clínico de profissional licenciado;</w:t>
      </w:r>
    </w:p>
    <w:p>
      <w:pPr>
        <w:numPr>
          <w:ilvl w:val="0"/>
          <w:numId w:val="1014"/>
        </w:numPr>
        <w:pStyle w:val="Compact"/>
      </w:pPr>
      <w:r>
        <w:t xml:space="preserve">ordens de medicamentos;</w:t>
      </w:r>
    </w:p>
    <w:p>
      <w:pPr>
        <w:numPr>
          <w:ilvl w:val="0"/>
          <w:numId w:val="1014"/>
        </w:numPr>
        <w:pStyle w:val="Compact"/>
      </w:pPr>
      <w:r>
        <w:t xml:space="preserve">sistemas obrigatórios de documentação;</w:t>
      </w:r>
    </w:p>
    <w:p>
      <w:pPr>
        <w:numPr>
          <w:ilvl w:val="0"/>
          <w:numId w:val="1014"/>
        </w:numPr>
        <w:pStyle w:val="Compact"/>
      </w:pPr>
      <w:r>
        <w:t xml:space="preserve">verificação jurídica ou regulatória.</w:t>
      </w:r>
    </w:p>
    <w:p>
      <w:pPr>
        <w:pStyle w:val="FirstParagraph"/>
      </w:pPr>
      <w:r>
        <w:t xml:space="preserve">Se uma resposta de IA entrar em conflito com o plano de cuidados, a lei, a política do empregador ou o supervisor, siga a fonte autorizada — não a IA.</w:t>
      </w:r>
    </w:p>
    <w:bookmarkEnd w:id="74"/>
    <w:bookmarkEnd w:id="75"/>
    <w:bookmarkStart w:id="76" w:name="X1433125cebc02eccfc0c4ecb75e54d61d70624f"/>
    <w:p>
      <w:pPr>
        <w:pStyle w:val="Heading2"/>
      </w:pPr>
      <w:r>
        <w:t xml:space="preserve">17. Acessibilidade e planejamento de deficiência</w:t>
      </w:r>
    </w:p>
    <w:p>
      <w:pPr>
        <w:pStyle w:val="FirstParagraph"/>
      </w:pPr>
      <w:r>
        <w:t xml:space="preserve">Uma deficiência ou neurodivergência não exclui automaticamente esta carreira, mas as funções essenciais reais importam.</w:t>
      </w:r>
    </w:p>
    <w:p>
      <w:pPr>
        <w:pStyle w:val="BodyText"/>
      </w:pPr>
      <w:r>
        <w:t xml:space="preserve">Considere:</w:t>
      </w:r>
    </w:p>
    <w:p>
      <w:pPr>
        <w:numPr>
          <w:ilvl w:val="0"/>
          <w:numId w:val="1015"/>
        </w:numPr>
        <w:pStyle w:val="Compact"/>
      </w:pPr>
      <w:r>
        <w:t xml:space="preserve">requisitos de levantamento e transferência;</w:t>
      </w:r>
    </w:p>
    <w:p>
      <w:pPr>
        <w:numPr>
          <w:ilvl w:val="0"/>
          <w:numId w:val="1015"/>
        </w:numPr>
        <w:pStyle w:val="Compact"/>
      </w:pPr>
      <w:r>
        <w:t xml:space="preserve">tolerância para ficar em pé e caminhar;</w:t>
      </w:r>
    </w:p>
    <w:p>
      <w:pPr>
        <w:numPr>
          <w:ilvl w:val="0"/>
          <w:numId w:val="1015"/>
        </w:numPr>
        <w:pStyle w:val="Compact"/>
      </w:pPr>
      <w:r>
        <w:t xml:space="preserve">condução ou transporte público entre clientes;</w:t>
      </w:r>
    </w:p>
    <w:p>
      <w:pPr>
        <w:numPr>
          <w:ilvl w:val="0"/>
          <w:numId w:val="1015"/>
        </w:numPr>
        <w:pStyle w:val="Compact"/>
      </w:pPr>
      <w:r>
        <w:t xml:space="preserve">exposição sensorial a ruído, odores, toque ou ambientes imprevisíveis;</w:t>
      </w:r>
    </w:p>
    <w:p>
      <w:pPr>
        <w:numPr>
          <w:ilvl w:val="0"/>
          <w:numId w:val="1015"/>
        </w:numPr>
        <w:pStyle w:val="Compact"/>
      </w:pPr>
      <w:r>
        <w:t xml:space="preserve">leitura de planos de cuidados e instruções relacionadas a medicamentos;</w:t>
      </w:r>
    </w:p>
    <w:p>
      <w:pPr>
        <w:numPr>
          <w:ilvl w:val="0"/>
          <w:numId w:val="1015"/>
        </w:numPr>
        <w:pStyle w:val="Compact"/>
      </w:pPr>
      <w:r>
        <w:t xml:space="preserve">documentação escrita ou eletrônica;</w:t>
      </w:r>
    </w:p>
    <w:p>
      <w:pPr>
        <w:numPr>
          <w:ilvl w:val="0"/>
          <w:numId w:val="1015"/>
        </w:numPr>
        <w:pStyle w:val="Compact"/>
      </w:pPr>
      <w:r>
        <w:t xml:space="preserve">comunicação rápida durante emergências;</w:t>
      </w:r>
    </w:p>
    <w:p>
      <w:pPr>
        <w:numPr>
          <w:ilvl w:val="0"/>
          <w:numId w:val="1015"/>
        </w:numPr>
        <w:pStyle w:val="Compact"/>
      </w:pPr>
      <w:r>
        <w:t xml:space="preserve">mudanças de horário e demandas de funções executivas.</w:t>
      </w:r>
    </w:p>
    <w:p>
      <w:pPr>
        <w:pStyle w:val="FirstParagraph"/>
      </w:pPr>
      <w:r>
        <w:t xml:space="preserve">Possíveis apoios, quando compatíveis com funções essenciais e política do empregador, podem incluir:</w:t>
      </w:r>
    </w:p>
    <w:p>
      <w:pPr>
        <w:numPr>
          <w:ilvl w:val="0"/>
          <w:numId w:val="1016"/>
        </w:numPr>
        <w:pStyle w:val="Compact"/>
      </w:pPr>
      <w:r>
        <w:t xml:space="preserve">voz para texto ou ditado para anotações;</w:t>
      </w:r>
    </w:p>
    <w:p>
      <w:pPr>
        <w:numPr>
          <w:ilvl w:val="0"/>
          <w:numId w:val="1016"/>
        </w:numPr>
        <w:pStyle w:val="Compact"/>
      </w:pPr>
      <w:r>
        <w:t xml:space="preserve">apoio ortográfico e gramatical em sistemas aprovados;</w:t>
      </w:r>
    </w:p>
    <w:p>
      <w:pPr>
        <w:numPr>
          <w:ilvl w:val="0"/>
          <w:numId w:val="1016"/>
        </w:numPr>
        <w:pStyle w:val="Compact"/>
      </w:pPr>
      <w:r>
        <w:t xml:space="preserve">listas de verificação e rotinas estruturadas;</w:t>
      </w:r>
    </w:p>
    <w:p>
      <w:pPr>
        <w:numPr>
          <w:ilvl w:val="0"/>
          <w:numId w:val="1016"/>
        </w:numPr>
        <w:pStyle w:val="Compact"/>
      </w:pPr>
      <w:r>
        <w:t xml:space="preserve">texto ampliado ou aumento de tela;</w:t>
      </w:r>
    </w:p>
    <w:p>
      <w:pPr>
        <w:numPr>
          <w:ilvl w:val="0"/>
          <w:numId w:val="1016"/>
        </w:numPr>
        <w:pStyle w:val="Compact"/>
      </w:pPr>
      <w:r>
        <w:t xml:space="preserve">recursos de assistência auditiva;</w:t>
      </w:r>
    </w:p>
    <w:p>
      <w:pPr>
        <w:numPr>
          <w:ilvl w:val="0"/>
          <w:numId w:val="1016"/>
        </w:numPr>
        <w:pStyle w:val="Compact"/>
      </w:pPr>
      <w:r>
        <w:t xml:space="preserve">equipamentos ergonômicos ou de transferência;</w:t>
      </w:r>
    </w:p>
    <w:p>
      <w:pPr>
        <w:numPr>
          <w:ilvl w:val="0"/>
          <w:numId w:val="1016"/>
        </w:numPr>
        <w:pStyle w:val="Compact"/>
      </w:pPr>
      <w:r>
        <w:t xml:space="preserve">confirmação escrita de instruções verbais;</w:t>
      </w:r>
    </w:p>
    <w:p>
      <w:pPr>
        <w:numPr>
          <w:ilvl w:val="0"/>
          <w:numId w:val="1016"/>
        </w:numPr>
        <w:pStyle w:val="Compact"/>
      </w:pPr>
      <w:r>
        <w:t xml:space="preserve">horários previsíveis quando viável.</w:t>
      </w:r>
    </w:p>
    <w:p>
      <w:pPr>
        <w:pStyle w:val="FirstParagraph"/>
      </w:pPr>
      <w:r>
        <w:t xml:space="preserve">Para disgrafia, pratique documentação curta e factual e use ditado ou modelos aprovados pelo empregador quando permitido. Para autismo ou TDAH, listas estruturadas, regras claras de escalonamento, instruções escritas de cuidado e rotinas previsíveis de passagem de turno podem reduzir ambiguidades.</w:t>
      </w:r>
    </w:p>
    <w:p>
      <w:pPr>
        <w:pStyle w:val="BodyText"/>
      </w:pPr>
      <w:r>
        <w:t xml:space="preserve">Não revele mais informações médicas do que o necessário ao solicitar uma adaptação. Siga o processo aplicável em sua jurisdição.</w:t>
      </w:r>
    </w:p>
    <w:bookmarkEnd w:id="76"/>
    <w:bookmarkStart w:id="83" w:name="X1ff5493056a2725fad495f1aff3bca0e5d00054"/>
    <w:p>
      <w:pPr>
        <w:pStyle w:val="Heading2"/>
      </w:pPr>
      <w:r>
        <w:t xml:space="preserve">18. Plano de exploração de 30 dias</w:t>
      </w:r>
    </w:p>
    <w:bookmarkStart w:id="77" w:name="dias-15-teste-de-realidade"/>
    <w:p>
      <w:pPr>
        <w:pStyle w:val="Heading3"/>
      </w:pPr>
      <w:r>
        <w:t xml:space="preserve">Dias 1–5: teste de realidade</w:t>
      </w:r>
    </w:p>
    <w:p>
      <w:pPr>
        <w:numPr>
          <w:ilvl w:val="0"/>
          <w:numId w:val="1017"/>
        </w:numPr>
        <w:pStyle w:val="Compact"/>
      </w:pPr>
      <w:r>
        <w:t xml:space="preserve">Leia 10 vagas atuais em sua região.</w:t>
      </w:r>
    </w:p>
    <w:p>
      <w:pPr>
        <w:numPr>
          <w:ilvl w:val="0"/>
          <w:numId w:val="1017"/>
        </w:numPr>
        <w:pStyle w:val="Compact"/>
      </w:pPr>
      <w:r>
        <w:t xml:space="preserve">Liste requisitos repetidos, turnos, expectativas de deslocamento e tarefas.</w:t>
      </w:r>
    </w:p>
    <w:p>
      <w:pPr>
        <w:numPr>
          <w:ilvl w:val="0"/>
          <w:numId w:val="1017"/>
        </w:numPr>
        <w:pStyle w:val="Compact"/>
      </w:pPr>
      <w:r>
        <w:t xml:space="preserve">Separe tarefas de “cuidado pessoal” de tarefas clínicas.</w:t>
      </w:r>
    </w:p>
    <w:p>
      <w:pPr>
        <w:numPr>
          <w:ilvl w:val="0"/>
          <w:numId w:val="1017"/>
        </w:numPr>
        <w:pStyle w:val="Compact"/>
      </w:pPr>
      <w:r>
        <w:t xml:space="preserve">Observe quais empregadores oferecem treinamento.</w:t>
      </w:r>
    </w:p>
    <w:bookmarkEnd w:id="77"/>
    <w:bookmarkStart w:id="78" w:name="dias-610-confirme-o-caminho"/>
    <w:p>
      <w:pPr>
        <w:pStyle w:val="Heading3"/>
      </w:pPr>
      <w:r>
        <w:t xml:space="preserve">Dias 6–10: confirme o caminho</w:t>
      </w:r>
    </w:p>
    <w:p>
      <w:pPr>
        <w:numPr>
          <w:ilvl w:val="0"/>
          <w:numId w:val="1018"/>
        </w:numPr>
        <w:pStyle w:val="Compact"/>
      </w:pPr>
      <w:r>
        <w:t xml:space="preserve">EUA: verifique requisitos estaduais e entre em contato com um American Job Center.</w:t>
      </w:r>
    </w:p>
    <w:p>
      <w:pPr>
        <w:numPr>
          <w:ilvl w:val="0"/>
          <w:numId w:val="1018"/>
        </w:numPr>
        <w:pStyle w:val="Compact"/>
      </w:pPr>
      <w:r>
        <w:t xml:space="preserve">Canadá: consulte Job Bank e regras provinciais/territoriais de treinamento.</w:t>
      </w:r>
    </w:p>
    <w:p>
      <w:pPr>
        <w:numPr>
          <w:ilvl w:val="0"/>
          <w:numId w:val="1018"/>
        </w:numPr>
        <w:pStyle w:val="Compact"/>
      </w:pPr>
      <w:r>
        <w:t xml:space="preserve">Colômbia: defina cuidador versus Auxiliar en Salud regulamentado e consulte informações atuais do SENA/MinSalud.</w:t>
      </w:r>
    </w:p>
    <w:bookmarkEnd w:id="78"/>
    <w:bookmarkStart w:id="79" w:name="X195b7fdfb5ee09257144307f34a340d6ced45f5"/>
    <w:p>
      <w:pPr>
        <w:pStyle w:val="Heading3"/>
      </w:pPr>
      <w:r>
        <w:t xml:space="preserve">Dias 11–15: desenvolva conhecimentos de segurança</w:t>
      </w:r>
    </w:p>
    <w:p>
      <w:pPr>
        <w:pStyle w:val="FirstParagraph"/>
      </w:pPr>
      <w:r>
        <w:t xml:space="preserve">Estude prevenção básica de infecções, resposta a emergências, transferências seguras, comunicação, privacidade e limites profissionais por fontes reconhecidas.</w:t>
      </w:r>
    </w:p>
    <w:bookmarkEnd w:id="79"/>
    <w:bookmarkStart w:id="80" w:name="dias-1620-experimente-o-trabalho"/>
    <w:p>
      <w:pPr>
        <w:pStyle w:val="Heading3"/>
      </w:pPr>
      <w:r>
        <w:t xml:space="preserve">Dias 16–20: experimente o trabalho</w:t>
      </w:r>
    </w:p>
    <w:p>
      <w:pPr>
        <w:pStyle w:val="FirstParagraph"/>
      </w:pPr>
      <w:r>
        <w:t xml:space="preserve">Quando legal e seguro, procure voluntariado supervisionado, orientação de cuidador, observação de trabalho, entrevista informativa ou evento aberto de empregador. Não realize cuidados clínicos apenas para “praticar”.</w:t>
      </w:r>
    </w:p>
    <w:bookmarkEnd w:id="80"/>
    <w:bookmarkStart w:id="81" w:name="dias-2125-prepare-evidências"/>
    <w:p>
      <w:pPr>
        <w:pStyle w:val="Heading3"/>
      </w:pPr>
      <w:r>
        <w:t xml:space="preserve">Dias 21–25: prepare evidências</w:t>
      </w:r>
    </w:p>
    <w:p>
      <w:pPr>
        <w:pStyle w:val="FirstParagraph"/>
      </w:pPr>
      <w:r>
        <w:t xml:space="preserve">Monte um arquivo simples com:</w:t>
      </w:r>
    </w:p>
    <w:p>
      <w:pPr>
        <w:numPr>
          <w:ilvl w:val="0"/>
          <w:numId w:val="1019"/>
        </w:numPr>
        <w:pStyle w:val="Compact"/>
      </w:pPr>
      <w:r>
        <w:t xml:space="preserve">treinamentos e certificados;</w:t>
      </w:r>
    </w:p>
    <w:p>
      <w:pPr>
        <w:numPr>
          <w:ilvl w:val="0"/>
          <w:numId w:val="1019"/>
        </w:numPr>
        <w:pStyle w:val="Compact"/>
      </w:pPr>
      <w:r>
        <w:t xml:space="preserve">documentação de RCP/primeiros socorros, se obtida e relevante;</w:t>
      </w:r>
    </w:p>
    <w:p>
      <w:pPr>
        <w:numPr>
          <w:ilvl w:val="0"/>
          <w:numId w:val="1019"/>
        </w:numPr>
        <w:pStyle w:val="Compact"/>
      </w:pPr>
      <w:r>
        <w:t xml:space="preserve">referências;</w:t>
      </w:r>
    </w:p>
    <w:p>
      <w:pPr>
        <w:numPr>
          <w:ilvl w:val="0"/>
          <w:numId w:val="1019"/>
        </w:numPr>
        <w:pStyle w:val="Compact"/>
      </w:pPr>
      <w:r>
        <w:t xml:space="preserve">datas e descrição da experiência de cuidado;</w:t>
      </w:r>
    </w:p>
    <w:p>
      <w:pPr>
        <w:numPr>
          <w:ilvl w:val="0"/>
          <w:numId w:val="1019"/>
        </w:numPr>
        <w:pStyle w:val="Compact"/>
      </w:pPr>
      <w:r>
        <w:t xml:space="preserve">disponibilidade de transporte;</w:t>
      </w:r>
    </w:p>
    <w:p>
      <w:pPr>
        <w:numPr>
          <w:ilvl w:val="0"/>
          <w:numId w:val="1019"/>
        </w:numPr>
        <w:pStyle w:val="Compact"/>
      </w:pPr>
      <w:r>
        <w:t xml:space="preserve">idiomas;</w:t>
      </w:r>
    </w:p>
    <w:p>
      <w:pPr>
        <w:numPr>
          <w:ilvl w:val="0"/>
          <w:numId w:val="1019"/>
        </w:numPr>
        <w:pStyle w:val="Compact"/>
      </w:pPr>
      <w:r>
        <w:t xml:space="preserve">exemplos de confiabilidade, comunicação e solução segura de problemas.</w:t>
      </w:r>
    </w:p>
    <w:bookmarkEnd w:id="81"/>
    <w:bookmarkStart w:id="82" w:name="dias-2630-candidate-se-seletivamente"/>
    <w:p>
      <w:pPr>
        <w:pStyle w:val="Heading3"/>
      </w:pPr>
      <w:r>
        <w:t xml:space="preserve">Dias 26–30: candidate-se seletivamente</w:t>
      </w:r>
    </w:p>
    <w:p>
      <w:pPr>
        <w:pStyle w:val="FirstParagraph"/>
      </w:pPr>
      <w:r>
        <w:t xml:space="preserve">Candidate-se a empregadores cujas tarefas e expectativas de treinamento sejam compatíveis com seu escopo legal e capacidade física. Registre cada candidatura e faça acompanhamento profissional.</w:t>
      </w:r>
    </w:p>
    <w:bookmarkEnd w:id="82"/>
    <w:bookmarkEnd w:id="83"/>
    <w:bookmarkStart w:id="84" w:name="Xf92099fe690b98957d39fed862fd9d140dc5738"/>
    <w:p>
      <w:pPr>
        <w:pStyle w:val="Heading2"/>
      </w:pPr>
      <w:r>
        <w:t xml:space="preserve">19. Orientação para currículo</w:t>
      </w:r>
    </w:p>
    <w:p>
      <w:pPr>
        <w:pStyle w:val="FirstParagraph"/>
      </w:pPr>
      <w:r>
        <w:t xml:space="preserve">Um currículo de cuidador deve destacar evidências verificáveis, não linguagem clínica exagerada.</w:t>
      </w:r>
    </w:p>
    <w:p>
      <w:pPr>
        <w:pStyle w:val="BodyText"/>
      </w:pPr>
      <w:r>
        <w:t xml:space="preserve">Temas úteis incluem:</w:t>
      </w:r>
    </w:p>
    <w:p>
      <w:pPr>
        <w:numPr>
          <w:ilvl w:val="0"/>
          <w:numId w:val="1020"/>
        </w:numPr>
        <w:pStyle w:val="Compact"/>
      </w:pPr>
      <w:r>
        <w:t xml:space="preserve">apoio em atividades da vida diária;</w:t>
      </w:r>
    </w:p>
    <w:p>
      <w:pPr>
        <w:numPr>
          <w:ilvl w:val="0"/>
          <w:numId w:val="1020"/>
        </w:numPr>
        <w:pStyle w:val="Compact"/>
      </w:pPr>
      <w:r>
        <w:t xml:space="preserve">companhia e dignidade do cliente;</w:t>
      </w:r>
    </w:p>
    <w:p>
      <w:pPr>
        <w:numPr>
          <w:ilvl w:val="0"/>
          <w:numId w:val="1020"/>
        </w:numPr>
        <w:pStyle w:val="Compact"/>
      </w:pPr>
      <w:r>
        <w:t xml:space="preserve">apoio seguro à mobilidade dentro do treinamento;</w:t>
      </w:r>
    </w:p>
    <w:p>
      <w:pPr>
        <w:numPr>
          <w:ilvl w:val="0"/>
          <w:numId w:val="1020"/>
        </w:numPr>
        <w:pStyle w:val="Compact"/>
      </w:pPr>
      <w:r>
        <w:t xml:space="preserve">preparação de refeições e apoio à hidratação;</w:t>
      </w:r>
    </w:p>
    <w:p>
      <w:pPr>
        <w:numPr>
          <w:ilvl w:val="0"/>
          <w:numId w:val="1020"/>
        </w:numPr>
        <w:pStyle w:val="Compact"/>
      </w:pPr>
      <w:r>
        <w:t xml:space="preserve">observação e comunicação precisas;</w:t>
      </w:r>
    </w:p>
    <w:p>
      <w:pPr>
        <w:numPr>
          <w:ilvl w:val="0"/>
          <w:numId w:val="1020"/>
        </w:numPr>
        <w:pStyle w:val="Compact"/>
      </w:pPr>
      <w:r>
        <w:t xml:space="preserve">confiabilidade de horários e presença;</w:t>
      </w:r>
    </w:p>
    <w:p>
      <w:pPr>
        <w:numPr>
          <w:ilvl w:val="0"/>
          <w:numId w:val="1020"/>
        </w:numPr>
        <w:pStyle w:val="Compact"/>
      </w:pPr>
      <w:r>
        <w:t xml:space="preserve">práticas de prevenção de infecções;</w:t>
      </w:r>
    </w:p>
    <w:p>
      <w:pPr>
        <w:numPr>
          <w:ilvl w:val="0"/>
          <w:numId w:val="1020"/>
        </w:numPr>
        <w:pStyle w:val="Compact"/>
      </w:pPr>
      <w:r>
        <w:t xml:space="preserve">privacidade e confidencialidade;</w:t>
      </w:r>
    </w:p>
    <w:p>
      <w:pPr>
        <w:numPr>
          <w:ilvl w:val="0"/>
          <w:numId w:val="1020"/>
        </w:numPr>
        <w:pStyle w:val="Compact"/>
      </w:pPr>
      <w:r>
        <w:t xml:space="preserve">comunicação multilíngue;</w:t>
      </w:r>
    </w:p>
    <w:p>
      <w:pPr>
        <w:numPr>
          <w:ilvl w:val="0"/>
          <w:numId w:val="1020"/>
        </w:numPr>
        <w:pStyle w:val="Compact"/>
      </w:pPr>
      <w:r>
        <w:t xml:space="preserve">treinamento em demência ou deficiência, se realmente concluído;</w:t>
      </w:r>
    </w:p>
    <w:p>
      <w:pPr>
        <w:numPr>
          <w:ilvl w:val="0"/>
          <w:numId w:val="1020"/>
        </w:numPr>
        <w:pStyle w:val="Compact"/>
      </w:pPr>
      <w:r>
        <w:t xml:space="preserve">RCP/primeiros socorros, se válidos e verificáveis;</w:t>
      </w:r>
    </w:p>
    <w:p>
      <w:pPr>
        <w:numPr>
          <w:ilvl w:val="0"/>
          <w:numId w:val="1020"/>
        </w:numPr>
        <w:pStyle w:val="Compact"/>
      </w:pPr>
      <w:r>
        <w:t xml:space="preserve">credenciais formais de cuidador, home health aide ou auxiliar de saúde, somente quando realmente possuídas.</w:t>
      </w:r>
    </w:p>
    <w:p>
      <w:pPr>
        <w:pStyle w:val="FirstParagraph"/>
      </w:pPr>
      <w:r>
        <w:t xml:space="preserve">Não se apresente como enfermeiro, nursing assistant, home health aide, Auxiliar en Salud ou outro título regulamentado/sujeito a credencial, a menos que cumpra os requisitos do local em que utiliza esse título.</w:t>
      </w:r>
    </w:p>
    <w:bookmarkEnd w:id="84"/>
    <w:bookmarkStart w:id="85" w:name="X5460c24412561f2c87d432c58e36c7680ead6f1"/>
    <w:p>
      <w:pPr>
        <w:pStyle w:val="Heading2"/>
      </w:pPr>
      <w:r>
        <w:t xml:space="preserve">20. Perguntas para fazer ao empregador em uma entrevista</w:t>
      </w:r>
    </w:p>
    <w:p>
      <w:pPr>
        <w:pStyle w:val="FirstParagraph"/>
      </w:pPr>
      <w:r>
        <w:t xml:space="preserve">Faça perguntas que revelem o trabalho real:</w:t>
      </w:r>
    </w:p>
    <w:p>
      <w:pPr>
        <w:numPr>
          <w:ilvl w:val="0"/>
          <w:numId w:val="1021"/>
        </w:numPr>
        <w:pStyle w:val="Compact"/>
      </w:pPr>
      <w:r>
        <w:t xml:space="preserve">Quais tarefas se espera que cuidadores ou auxiliares executem?</w:t>
      </w:r>
    </w:p>
    <w:p>
      <w:pPr>
        <w:numPr>
          <w:ilvl w:val="0"/>
          <w:numId w:val="1021"/>
        </w:numPr>
        <w:pStyle w:val="Compact"/>
      </w:pPr>
      <w:r>
        <w:t xml:space="preserve">Quais tarefas são proibidas sem credencial adicional?</w:t>
      </w:r>
    </w:p>
    <w:p>
      <w:pPr>
        <w:numPr>
          <w:ilvl w:val="0"/>
          <w:numId w:val="1021"/>
        </w:numPr>
        <w:pStyle w:val="Compact"/>
      </w:pPr>
      <w:r>
        <w:t xml:space="preserve">O treinamento é remunerado?</w:t>
      </w:r>
    </w:p>
    <w:p>
      <w:pPr>
        <w:numPr>
          <w:ilvl w:val="0"/>
          <w:numId w:val="1021"/>
        </w:numPr>
        <w:pStyle w:val="Compact"/>
      </w:pPr>
      <w:r>
        <w:t xml:space="preserve">O tempo de deslocamento entre clientes é pago?</w:t>
      </w:r>
    </w:p>
    <w:p>
      <w:pPr>
        <w:numPr>
          <w:ilvl w:val="0"/>
          <w:numId w:val="1021"/>
        </w:numPr>
        <w:pStyle w:val="Compact"/>
      </w:pPr>
      <w:r>
        <w:t xml:space="preserve">Há reembolso de quilometragem?</w:t>
      </w:r>
    </w:p>
    <w:p>
      <w:pPr>
        <w:numPr>
          <w:ilvl w:val="0"/>
          <w:numId w:val="1021"/>
        </w:numPr>
        <w:pStyle w:val="Compact"/>
      </w:pPr>
      <w:r>
        <w:t xml:space="preserve">Existem horas garantidas?</w:t>
      </w:r>
    </w:p>
    <w:p>
      <w:pPr>
        <w:numPr>
          <w:ilvl w:val="0"/>
          <w:numId w:val="1021"/>
        </w:numPr>
        <w:pStyle w:val="Compact"/>
      </w:pPr>
      <w:r>
        <w:t xml:space="preserve">O que acontece quando um cliente cancela?</w:t>
      </w:r>
    </w:p>
    <w:p>
      <w:pPr>
        <w:numPr>
          <w:ilvl w:val="0"/>
          <w:numId w:val="1021"/>
        </w:numPr>
        <w:pStyle w:val="Compact"/>
      </w:pPr>
      <w:r>
        <w:t xml:space="preserve">Quais requisitos de levantamento ou transferência são comuns?</w:t>
      </w:r>
    </w:p>
    <w:p>
      <w:pPr>
        <w:numPr>
          <w:ilvl w:val="0"/>
          <w:numId w:val="1021"/>
        </w:numPr>
        <w:pStyle w:val="Compact"/>
      </w:pPr>
      <w:r>
        <w:t xml:space="preserve">Que equipamentos são fornecidos para transferências?</w:t>
      </w:r>
    </w:p>
    <w:p>
      <w:pPr>
        <w:numPr>
          <w:ilvl w:val="0"/>
          <w:numId w:val="1021"/>
        </w:numPr>
        <w:pStyle w:val="Compact"/>
      </w:pPr>
      <w:r>
        <w:t xml:space="preserve">Como são tratados ambientes inseguros ou comportamento agressivo?</w:t>
      </w:r>
    </w:p>
    <w:p>
      <w:pPr>
        <w:numPr>
          <w:ilvl w:val="0"/>
          <w:numId w:val="1021"/>
        </w:numPr>
        <w:pStyle w:val="Compact"/>
      </w:pPr>
      <w:r>
        <w:t xml:space="preserve">Quem está disponível fora do horário para escalonamento clínico ou de segurança?</w:t>
      </w:r>
    </w:p>
    <w:p>
      <w:pPr>
        <w:numPr>
          <w:ilvl w:val="0"/>
          <w:numId w:val="1021"/>
        </w:numPr>
        <w:pStyle w:val="Compact"/>
      </w:pPr>
      <w:r>
        <w:t xml:space="preserve">Qual sistema de documentação é utilizado?</w:t>
      </w:r>
    </w:p>
    <w:p>
      <w:pPr>
        <w:numPr>
          <w:ilvl w:val="0"/>
          <w:numId w:val="1021"/>
        </w:numPr>
        <w:pStyle w:val="Compact"/>
      </w:pPr>
      <w:r>
        <w:t xml:space="preserve">Quais verificações de antecedentes, vacinas, exames de saúde, histórico de direção ou credenciais são exigidos?</w:t>
      </w:r>
    </w:p>
    <w:p>
      <w:pPr>
        <w:numPr>
          <w:ilvl w:val="0"/>
          <w:numId w:val="1021"/>
        </w:numPr>
        <w:pStyle w:val="Compact"/>
      </w:pPr>
      <w:r>
        <w:t xml:space="preserve">Com que frequência são realizadas avaliações de desempenho e competência?</w:t>
      </w:r>
    </w:p>
    <w:bookmarkEnd w:id="85"/>
    <w:bookmarkStart w:id="86" w:name="X2a8bffb2c41ec3d96fa7d875158b4c796cc4c31"/>
    <w:p>
      <w:pPr>
        <w:pStyle w:val="Heading2"/>
      </w:pPr>
      <w:r>
        <w:t xml:space="preserve">21. Avalie a remuneração além do valor por hora</w:t>
      </w:r>
    </w:p>
    <w:p>
      <w:pPr>
        <w:pStyle w:val="FirstParagraph"/>
      </w:pPr>
      <w:r>
        <w:t xml:space="preserve">Compare:</w:t>
      </w:r>
    </w:p>
    <w:p>
      <w:pPr>
        <w:numPr>
          <w:ilvl w:val="0"/>
          <w:numId w:val="1022"/>
        </w:numPr>
        <w:pStyle w:val="Compact"/>
      </w:pPr>
      <w:r>
        <w:t xml:space="preserve">deslocamento pago versus não pago;</w:t>
      </w:r>
    </w:p>
    <w:p>
      <w:pPr>
        <w:numPr>
          <w:ilvl w:val="0"/>
          <w:numId w:val="1022"/>
        </w:numPr>
        <w:pStyle w:val="Compact"/>
      </w:pPr>
      <w:r>
        <w:t xml:space="preserve">reembolso de quilometragem;</w:t>
      </w:r>
    </w:p>
    <w:p>
      <w:pPr>
        <w:numPr>
          <w:ilvl w:val="0"/>
          <w:numId w:val="1022"/>
        </w:numPr>
        <w:pStyle w:val="Compact"/>
      </w:pPr>
      <w:r>
        <w:t xml:space="preserve">horas garantidas;</w:t>
      </w:r>
    </w:p>
    <w:p>
      <w:pPr>
        <w:numPr>
          <w:ilvl w:val="0"/>
          <w:numId w:val="1022"/>
        </w:numPr>
        <w:pStyle w:val="Compact"/>
      </w:pPr>
      <w:r>
        <w:t xml:space="preserve">política de cancelamento;</w:t>
      </w:r>
    </w:p>
    <w:p>
      <w:pPr>
        <w:numPr>
          <w:ilvl w:val="0"/>
          <w:numId w:val="1022"/>
        </w:numPr>
        <w:pStyle w:val="Compact"/>
      </w:pPr>
      <w:r>
        <w:t xml:space="preserve">elegibilidade para horas extras;</w:t>
      </w:r>
    </w:p>
    <w:p>
      <w:pPr>
        <w:numPr>
          <w:ilvl w:val="0"/>
          <w:numId w:val="1022"/>
        </w:numPr>
        <w:pStyle w:val="Compact"/>
      </w:pPr>
      <w:r>
        <w:t xml:space="preserve">adicionais noturnos ou de fim de semana;</w:t>
      </w:r>
    </w:p>
    <w:p>
      <w:pPr>
        <w:numPr>
          <w:ilvl w:val="0"/>
          <w:numId w:val="1022"/>
        </w:numPr>
        <w:pStyle w:val="Compact"/>
      </w:pPr>
      <w:r>
        <w:t xml:space="preserve">benefícios;</w:t>
      </w:r>
    </w:p>
    <w:p>
      <w:pPr>
        <w:numPr>
          <w:ilvl w:val="0"/>
          <w:numId w:val="1022"/>
        </w:numPr>
        <w:pStyle w:val="Compact"/>
      </w:pPr>
      <w:r>
        <w:t xml:space="preserve">treinamento remunerado;</w:t>
      </w:r>
    </w:p>
    <w:p>
      <w:pPr>
        <w:numPr>
          <w:ilvl w:val="0"/>
          <w:numId w:val="1022"/>
        </w:numPr>
        <w:pStyle w:val="Compact"/>
      </w:pPr>
      <w:r>
        <w:t xml:space="preserve">licença médica e férias pagas;</w:t>
      </w:r>
    </w:p>
    <w:p>
      <w:pPr>
        <w:numPr>
          <w:ilvl w:val="0"/>
          <w:numId w:val="1022"/>
        </w:numPr>
        <w:pStyle w:val="Compact"/>
      </w:pPr>
      <w:r>
        <w:t xml:space="preserve">custos de uniforme e EPI;</w:t>
      </w:r>
    </w:p>
    <w:p>
      <w:pPr>
        <w:numPr>
          <w:ilvl w:val="0"/>
          <w:numId w:val="1022"/>
        </w:numPr>
        <w:pStyle w:val="Compact"/>
      </w:pPr>
      <w:r>
        <w:t xml:space="preserve">custos de renovação de credenciais;</w:t>
      </w:r>
    </w:p>
    <w:p>
      <w:pPr>
        <w:numPr>
          <w:ilvl w:val="0"/>
          <w:numId w:val="1022"/>
        </w:numPr>
        <w:pStyle w:val="Compact"/>
      </w:pPr>
      <w:r>
        <w:t xml:space="preserve">transporte e estacionamento;</w:t>
      </w:r>
    </w:p>
    <w:p>
      <w:pPr>
        <w:numPr>
          <w:ilvl w:val="0"/>
          <w:numId w:val="1022"/>
        </w:numPr>
        <w:pStyle w:val="Compact"/>
      </w:pPr>
      <w:r>
        <w:t xml:space="preserve">intervalos não pagos entre clientes.</w:t>
      </w:r>
    </w:p>
    <w:p>
      <w:pPr>
        <w:pStyle w:val="FirstParagraph"/>
      </w:pPr>
      <w:r>
        <w:t xml:space="preserve">Um valor por hora anunciado mais alto pode gerar rendimento real menor se a agenda incluir deslocamentos não pagos ou cancelamentos frequentes.</w:t>
      </w:r>
    </w:p>
    <w:bookmarkEnd w:id="86"/>
    <w:bookmarkStart w:id="87" w:name="Xbfe5b789d217218934f14110d1ced3e55201bc7"/>
    <w:p>
      <w:pPr>
        <w:pStyle w:val="Heading2"/>
      </w:pPr>
      <w:r>
        <w:t xml:space="preserve">22. Caminhos de progressão</w:t>
      </w:r>
    </w:p>
    <w:p>
      <w:pPr>
        <w:pStyle w:val="FirstParagraph"/>
      </w:pPr>
      <w:r>
        <w:t xml:space="preserve">Dependendo da jurisdição e da formação, a experiência pode levar a funções como:</w:t>
      </w:r>
    </w:p>
    <w:p>
      <w:pPr>
        <w:numPr>
          <w:ilvl w:val="0"/>
          <w:numId w:val="1023"/>
        </w:numPr>
        <w:pStyle w:val="Compact"/>
      </w:pPr>
      <w:r>
        <w:t xml:space="preserve">cuidador sênior ou líder de auxiliares;</w:t>
      </w:r>
    </w:p>
    <w:p>
      <w:pPr>
        <w:numPr>
          <w:ilvl w:val="0"/>
          <w:numId w:val="1023"/>
        </w:numPr>
        <w:pStyle w:val="Compact"/>
      </w:pPr>
      <w:r>
        <w:t xml:space="preserve">responsável por agendamento ou coordenador de cuidados;</w:t>
      </w:r>
    </w:p>
    <w:p>
      <w:pPr>
        <w:numPr>
          <w:ilvl w:val="0"/>
          <w:numId w:val="1023"/>
        </w:numPr>
        <w:pStyle w:val="Compact"/>
      </w:pPr>
      <w:r>
        <w:t xml:space="preserve">supervisor de cuidado domiciliar quando as qualificações permitirem;</w:t>
      </w:r>
    </w:p>
    <w:p>
      <w:pPr>
        <w:numPr>
          <w:ilvl w:val="0"/>
          <w:numId w:val="1023"/>
        </w:numPr>
        <w:pStyle w:val="Compact"/>
      </w:pPr>
      <w:r>
        <w:t xml:space="preserve">trabalhador de apoio comunitário;</w:t>
      </w:r>
    </w:p>
    <w:p>
      <w:pPr>
        <w:numPr>
          <w:ilvl w:val="0"/>
          <w:numId w:val="1023"/>
        </w:numPr>
        <w:pStyle w:val="Compact"/>
      </w:pPr>
      <w:r>
        <w:t xml:space="preserve">especialização como personal support worker;</w:t>
      </w:r>
    </w:p>
    <w:p>
      <w:pPr>
        <w:numPr>
          <w:ilvl w:val="0"/>
          <w:numId w:val="1023"/>
        </w:numPr>
        <w:pStyle w:val="Compact"/>
      </w:pPr>
      <w:r>
        <w:t xml:space="preserve">caminho para nursing assistant;</w:t>
      </w:r>
    </w:p>
    <w:p>
      <w:pPr>
        <w:numPr>
          <w:ilvl w:val="0"/>
          <w:numId w:val="1023"/>
        </w:numPr>
        <w:pStyle w:val="Compact"/>
      </w:pPr>
      <w:r>
        <w:t xml:space="preserve">caminho de Auxiliar en Salud na Colômbia por formação reconhecida;</w:t>
      </w:r>
    </w:p>
    <w:p>
      <w:pPr>
        <w:numPr>
          <w:ilvl w:val="0"/>
          <w:numId w:val="1023"/>
        </w:numPr>
        <w:pStyle w:val="Compact"/>
      </w:pPr>
      <w:r>
        <w:t xml:space="preserve">enfermagem prática ou vocacional;</w:t>
      </w:r>
    </w:p>
    <w:p>
      <w:pPr>
        <w:numPr>
          <w:ilvl w:val="0"/>
          <w:numId w:val="1023"/>
        </w:numPr>
        <w:pStyle w:val="Compact"/>
      </w:pPr>
      <w:r>
        <w:t xml:space="preserve">enfermagem profissional;</w:t>
      </w:r>
    </w:p>
    <w:p>
      <w:pPr>
        <w:numPr>
          <w:ilvl w:val="0"/>
          <w:numId w:val="1023"/>
        </w:numPr>
        <w:pStyle w:val="Compact"/>
      </w:pPr>
      <w:r>
        <w:t xml:space="preserve">carreiras de apoio em terapia ocupacional ou fisioterapia;</w:t>
      </w:r>
    </w:p>
    <w:p>
      <w:pPr>
        <w:numPr>
          <w:ilvl w:val="0"/>
          <w:numId w:val="1023"/>
        </w:numPr>
        <w:pStyle w:val="Compact"/>
      </w:pPr>
      <w:r>
        <w:t xml:space="preserve">funções sociais ou de serviços comunitários;</w:t>
      </w:r>
    </w:p>
    <w:p>
      <w:pPr>
        <w:numPr>
          <w:ilvl w:val="0"/>
          <w:numId w:val="1023"/>
        </w:numPr>
        <w:pStyle w:val="Compact"/>
      </w:pPr>
      <w:r>
        <w:t xml:space="preserve">especialização em demência, deficiência, hospice ou cuidados paliativos.</w:t>
      </w:r>
    </w:p>
    <w:p>
      <w:pPr>
        <w:pStyle w:val="FirstParagraph"/>
      </w:pPr>
      <w:r>
        <w:t xml:space="preserve">Cada etapa pode exigir formação, licença, registro ou autorização do empregador separadamente. A experiência por si só não concede uma credencial regulamentada.</w:t>
      </w:r>
    </w:p>
    <w:bookmarkEnd w:id="87"/>
    <w:bookmarkStart w:id="88" w:name="X099d36ddd7eaba48b2b94fb2d088c8077c8c4ec"/>
    <w:p>
      <w:pPr>
        <w:pStyle w:val="Heading2"/>
      </w:pPr>
      <w:r>
        <w:t xml:space="preserve">23. Sinais de alerta em programas de treinamento</w:t>
      </w:r>
    </w:p>
    <w:p>
      <w:pPr>
        <w:pStyle w:val="FirstParagraph"/>
      </w:pPr>
      <w:r>
        <w:t xml:space="preserve">Tenha cautela se uma escola ou recrutador:</w:t>
      </w:r>
    </w:p>
    <w:p>
      <w:pPr>
        <w:numPr>
          <w:ilvl w:val="0"/>
          <w:numId w:val="1024"/>
        </w:numPr>
        <w:pStyle w:val="Compact"/>
      </w:pPr>
      <w:r>
        <w:t xml:space="preserve">garante emprego ou salário específico;</w:t>
      </w:r>
    </w:p>
    <w:p>
      <w:pPr>
        <w:numPr>
          <w:ilvl w:val="0"/>
          <w:numId w:val="1024"/>
        </w:numPr>
        <w:pStyle w:val="Compact"/>
      </w:pPr>
      <w:r>
        <w:t xml:space="preserve">afirma que um certificado curto autoriza automaticamente trabalho clínico em qualquer lugar;</w:t>
      </w:r>
    </w:p>
    <w:p>
      <w:pPr>
        <w:numPr>
          <w:ilvl w:val="0"/>
          <w:numId w:val="1024"/>
        </w:numPr>
        <w:pStyle w:val="Compact"/>
      </w:pPr>
      <w:r>
        <w:t xml:space="preserve">recusa-se a identificar acreditador, regulador, empregadores parceiros ou status de aprovação do programa;</w:t>
      </w:r>
    </w:p>
    <w:p>
      <w:pPr>
        <w:numPr>
          <w:ilvl w:val="0"/>
          <w:numId w:val="1024"/>
        </w:numPr>
        <w:pStyle w:val="Compact"/>
      </w:pPr>
      <w:r>
        <w:t xml:space="preserve">pressiona para pagamento imediato;</w:t>
      </w:r>
    </w:p>
    <w:p>
      <w:pPr>
        <w:numPr>
          <w:ilvl w:val="0"/>
          <w:numId w:val="1024"/>
        </w:numPr>
        <w:pStyle w:val="Compact"/>
      </w:pPr>
      <w:r>
        <w:t xml:space="preserve">não consegue explicar o custo total;</w:t>
      </w:r>
    </w:p>
    <w:p>
      <w:pPr>
        <w:numPr>
          <w:ilvl w:val="0"/>
          <w:numId w:val="1024"/>
        </w:numPr>
        <w:pStyle w:val="Compact"/>
      </w:pPr>
      <w:r>
        <w:t xml:space="preserve">divulga programa governamental encerrado como se estivesse aberto;</w:t>
      </w:r>
    </w:p>
    <w:p>
      <w:pPr>
        <w:numPr>
          <w:ilvl w:val="0"/>
          <w:numId w:val="1024"/>
        </w:numPr>
        <w:pStyle w:val="Compact"/>
      </w:pPr>
      <w:r>
        <w:t xml:space="preserve">diz para ignorar requisitos estaduais, provinciais ou nacionais;</w:t>
      </w:r>
    </w:p>
    <w:p>
      <w:pPr>
        <w:numPr>
          <w:ilvl w:val="0"/>
          <w:numId w:val="1024"/>
        </w:numPr>
        <w:pStyle w:val="Compact"/>
      </w:pPr>
      <w:r>
        <w:t xml:space="preserve">promete status migratório ou aprovação de visto em troca de mensalidade.</w:t>
      </w:r>
    </w:p>
    <w:p>
      <w:pPr>
        <w:pStyle w:val="FirstParagraph"/>
      </w:pPr>
      <w:r>
        <w:t xml:space="preserve">Confirme antes de pagar.</w:t>
      </w:r>
    </w:p>
    <w:bookmarkEnd w:id="88"/>
    <w:bookmarkStart w:id="92" w:name="Xa70127b60107347e20b8443ba80b7ede6d44acf"/>
    <w:p>
      <w:pPr>
        <w:pStyle w:val="Heading2"/>
      </w:pPr>
      <w:r>
        <w:t xml:space="preserve">24. Lista de verificação de fontes</w:t>
      </w:r>
    </w:p>
    <w:p>
      <w:pPr>
        <w:pStyle w:val="FirstParagraph"/>
      </w:pPr>
      <w:r>
        <w:t xml:space="preserve">Como regras e salários mudam, consulte novamente estas fontes antes de decidir:</w:t>
      </w:r>
    </w:p>
    <w:bookmarkStart w:id="89" w:name="estados-unidos"/>
    <w:p>
      <w:pPr>
        <w:pStyle w:val="Heading3"/>
      </w:pPr>
      <w:r>
        <w:t xml:space="preserve">Estados Unidos</w:t>
      </w:r>
    </w:p>
    <w:p>
      <w:pPr>
        <w:numPr>
          <w:ilvl w:val="0"/>
          <w:numId w:val="1025"/>
        </w:numPr>
        <w:pStyle w:val="Compact"/>
      </w:pPr>
      <w:r>
        <w:t xml:space="preserve">Perfil ocupacional BLS:</w:t>
      </w:r>
      <w:r>
        <w:t xml:space="preserve"> </w:t>
      </w:r>
      <w:hyperlink r:id="rId27">
        <w:hyperlink r:id="rId27">
          <w:r>
            <w:rPr>
              <w:rStyle w:val="Hyperlink"/>
            </w:rPr>
            <w:t xml:space="preserve">Source link</w:t>
          </w:r>
        </w:hyperlink>
      </w:hyperlink>
    </w:p>
    <w:p>
      <w:pPr>
        <w:numPr>
          <w:ilvl w:val="0"/>
          <w:numId w:val="1025"/>
        </w:numPr>
        <w:pStyle w:val="Compact"/>
      </w:pPr>
      <w:r>
        <w:t xml:space="preserve">Regulamento federal para home health aides:</w:t>
      </w:r>
      <w:r>
        <w:t xml:space="preserve"> </w:t>
      </w:r>
      <w:hyperlink r:id="rId30">
        <w:hyperlink r:id="rId30">
          <w:r>
            <w:rPr>
              <w:rStyle w:val="Hyperlink"/>
            </w:rPr>
            <w:t xml:space="preserve">Source link</w:t>
          </w:r>
        </w:hyperlink>
      </w:hyperlink>
    </w:p>
    <w:p>
      <w:pPr>
        <w:numPr>
          <w:ilvl w:val="0"/>
          <w:numId w:val="1025"/>
        </w:numPr>
        <w:pStyle w:val="Compact"/>
      </w:pPr>
      <w:r>
        <w:t xml:space="preserve">WIOA do U.S. Department of Labor:</w:t>
      </w:r>
      <w:r>
        <w:t xml:space="preserve"> </w:t>
      </w:r>
      <w:hyperlink r:id="rId33">
        <w:hyperlink r:id="rId33">
          <w:r>
            <w:rPr>
              <w:rStyle w:val="Hyperlink"/>
            </w:rPr>
            <w:t xml:space="preserve">Source link</w:t>
          </w:r>
        </w:hyperlink>
      </w:hyperlink>
    </w:p>
    <w:p>
      <w:pPr>
        <w:numPr>
          <w:ilvl w:val="0"/>
          <w:numId w:val="1025"/>
        </w:numPr>
        <w:pStyle w:val="Compact"/>
      </w:pPr>
      <w:r>
        <w:t xml:space="preserve">American Job Centers:</w:t>
      </w:r>
      <w:r>
        <w:t xml:space="preserve"> </w:t>
      </w:r>
      <w:hyperlink r:id="rId34">
        <w:hyperlink r:id="rId34">
          <w:r>
            <w:rPr>
              <w:rStyle w:val="Hyperlink"/>
            </w:rPr>
            <w:t xml:space="preserve">Source link</w:t>
          </w:r>
        </w:hyperlink>
      </w:hyperlink>
    </w:p>
    <w:bookmarkEnd w:id="89"/>
    <w:bookmarkStart w:id="90" w:name="canadá"/>
    <w:p>
      <w:pPr>
        <w:pStyle w:val="Heading3"/>
      </w:pPr>
      <w:r>
        <w:t xml:space="preserve">Canadá</w:t>
      </w:r>
    </w:p>
    <w:p>
      <w:pPr>
        <w:numPr>
          <w:ilvl w:val="0"/>
          <w:numId w:val="1026"/>
        </w:numPr>
        <w:pStyle w:val="Compact"/>
      </w:pPr>
      <w:r>
        <w:t xml:space="preserve">Resumo Job Bank NOC 44101:</w:t>
      </w:r>
      <w:r>
        <w:t xml:space="preserve"> </w:t>
      </w:r>
      <w:hyperlink r:id="rId37">
        <w:hyperlink r:id="rId37">
          <w:r>
            <w:rPr>
              <w:rStyle w:val="Hyperlink"/>
            </w:rPr>
            <w:t xml:space="preserve">Source link</w:t>
          </w:r>
        </w:hyperlink>
      </w:hyperlink>
    </w:p>
    <w:p>
      <w:pPr>
        <w:numPr>
          <w:ilvl w:val="0"/>
          <w:numId w:val="1026"/>
        </w:numPr>
        <w:pStyle w:val="Compact"/>
      </w:pPr>
      <w:r>
        <w:t xml:space="preserve">Salários Job Bank:</w:t>
      </w:r>
      <w:r>
        <w:t xml:space="preserve"> </w:t>
      </w:r>
      <w:hyperlink r:id="rId38">
        <w:hyperlink r:id="rId38">
          <w:r>
            <w:rPr>
              <w:rStyle w:val="Hyperlink"/>
            </w:rPr>
            <w:t xml:space="preserve">Source link</w:t>
          </w:r>
        </w:hyperlink>
      </w:hyperlink>
    </w:p>
    <w:p>
      <w:pPr>
        <w:numPr>
          <w:ilvl w:val="0"/>
          <w:numId w:val="1026"/>
        </w:numPr>
        <w:pStyle w:val="Compact"/>
      </w:pPr>
      <w:r>
        <w:t xml:space="preserve">Perspectivas Job Bank:</w:t>
      </w:r>
      <w:r>
        <w:t xml:space="preserve"> </w:t>
      </w:r>
      <w:hyperlink r:id="rId40">
        <w:hyperlink r:id="rId40">
          <w:r>
            <w:rPr>
              <w:rStyle w:val="Hyperlink"/>
            </w:rPr>
            <w:t xml:space="preserve">Source link</w:t>
          </w:r>
        </w:hyperlink>
      </w:hyperlink>
    </w:p>
    <w:p>
      <w:pPr>
        <w:numPr>
          <w:ilvl w:val="0"/>
          <w:numId w:val="1026"/>
        </w:numPr>
        <w:pStyle w:val="Compact"/>
      </w:pPr>
      <w:r>
        <w:t xml:space="preserve">Portal de treinamento do Canadá:</w:t>
      </w:r>
      <w:r>
        <w:t xml:space="preserve"> </w:t>
      </w:r>
      <w:hyperlink r:id="rId43">
        <w:hyperlink r:id="rId43">
          <w:r>
            <w:rPr>
              <w:rStyle w:val="Hyperlink"/>
            </w:rPr>
            <w:t xml:space="preserve">Source link</w:t>
          </w:r>
        </w:hyperlink>
      </w:hyperlink>
    </w:p>
    <w:p>
      <w:pPr>
        <w:numPr>
          <w:ilvl w:val="0"/>
          <w:numId w:val="1026"/>
        </w:numPr>
        <w:pStyle w:val="Compact"/>
      </w:pPr>
      <w:r>
        <w:t xml:space="preserve">Labour Market Agreements:</w:t>
      </w:r>
      <w:r>
        <w:t xml:space="preserve"> </w:t>
      </w:r>
      <w:hyperlink r:id="rId44">
        <w:hyperlink r:id="rId44">
          <w:r>
            <w:rPr>
              <w:rStyle w:val="Hyperlink"/>
            </w:rPr>
            <w:t xml:space="preserve">Source link</w:t>
          </w:r>
        </w:hyperlink>
      </w:hyperlink>
    </w:p>
    <w:bookmarkEnd w:id="90"/>
    <w:bookmarkStart w:id="91" w:name="colômbia"/>
    <w:p>
      <w:pPr>
        <w:pStyle w:val="Heading3"/>
      </w:pPr>
      <w:r>
        <w:t xml:space="preserve">Colômbia</w:t>
      </w:r>
    </w:p>
    <w:p>
      <w:pPr>
        <w:numPr>
          <w:ilvl w:val="0"/>
          <w:numId w:val="1027"/>
        </w:numPr>
        <w:pStyle w:val="Compact"/>
      </w:pPr>
      <w:r>
        <w:t xml:space="preserve">MinSalud — formação de talento humano em saúde:</w:t>
      </w:r>
      <w:r>
        <w:t xml:space="preserve"> </w:t>
      </w:r>
      <w:hyperlink r:id="rId53">
        <w:hyperlink r:id="rId53">
          <w:r>
            <w:rPr>
              <w:rStyle w:val="Hyperlink"/>
            </w:rPr>
            <w:t xml:space="preserve">Source link</w:t>
          </w:r>
        </w:hyperlink>
      </w:hyperlink>
    </w:p>
    <w:p>
      <w:pPr>
        <w:numPr>
          <w:ilvl w:val="0"/>
          <w:numId w:val="1027"/>
        </w:numPr>
        <w:pStyle w:val="Compact"/>
      </w:pPr>
      <w:r>
        <w:t xml:space="preserve">MinSalud — profissões e ocupações:</w:t>
      </w:r>
      <w:r>
        <w:t xml:space="preserve"> </w:t>
      </w:r>
      <w:hyperlink r:id="rId54">
        <w:hyperlink r:id="rId54">
          <w:r>
            <w:rPr>
              <w:rStyle w:val="Hyperlink"/>
            </w:rPr>
            <w:t xml:space="preserve">Source link</w:t>
          </w:r>
        </w:hyperlink>
      </w:hyperlink>
    </w:p>
    <w:p>
      <w:pPr>
        <w:numPr>
          <w:ilvl w:val="0"/>
          <w:numId w:val="1027"/>
        </w:numPr>
        <w:pStyle w:val="Compact"/>
      </w:pPr>
      <w:r>
        <w:t xml:space="preserve">Ley 2297 de 2023 via Normograma SENA:</w:t>
      </w:r>
      <w:r>
        <w:t xml:space="preserve"> </w:t>
      </w:r>
      <w:hyperlink r:id="rId48">
        <w:hyperlink r:id="rId48">
          <w:r>
            <w:rPr>
              <w:rStyle w:val="Hyperlink"/>
            </w:rPr>
            <w:t xml:space="preserve">Source link</w:t>
          </w:r>
        </w:hyperlink>
      </w:hyperlink>
    </w:p>
    <w:p>
      <w:pPr>
        <w:numPr>
          <w:ilvl w:val="0"/>
          <w:numId w:val="1027"/>
        </w:numPr>
        <w:pStyle w:val="Compact"/>
      </w:pPr>
      <w:r>
        <w:t xml:space="preserve">SENA:</w:t>
      </w:r>
      <w:r>
        <w:t xml:space="preserve"> </w:t>
      </w:r>
      <w:hyperlink r:id="rId57">
        <w:r>
          <w:rPr>
            <w:rStyle w:val="Hyperlink"/>
          </w:rPr>
          <w:t xml:space="preserve">https://www.sena.edu.co/</w:t>
        </w:r>
      </w:hyperlink>
    </w:p>
    <w:bookmarkEnd w:id="91"/>
    <w:bookmarkEnd w:id="92"/>
    <w:bookmarkStart w:id="93" w:name="X3fd809e1e36e48105ede87cbfbb17d552367317"/>
    <w:p>
      <w:pPr>
        <w:pStyle w:val="Heading2"/>
      </w:pPr>
      <w:r>
        <w:t xml:space="preserve">25. Teste final de decisão</w:t>
      </w:r>
    </w:p>
    <w:p>
      <w:pPr>
        <w:pStyle w:val="FirstParagraph"/>
      </w:pPr>
      <w:r>
        <w:t xml:space="preserve">Antes de comprometer dinheiro ou aceitar uma oferta, você deve conseguir responder:</w:t>
      </w:r>
    </w:p>
    <w:p>
      <w:pPr>
        <w:numPr>
          <w:ilvl w:val="0"/>
          <w:numId w:val="1028"/>
        </w:numPr>
        <w:pStyle w:val="Compact"/>
      </w:pPr>
      <w:r>
        <w:t xml:space="preserve">Qual é o título exato da função que busco nesta jurisdição?</w:t>
      </w:r>
    </w:p>
    <w:p>
      <w:pPr>
        <w:numPr>
          <w:ilvl w:val="0"/>
          <w:numId w:val="1028"/>
        </w:numPr>
        <w:pStyle w:val="Compact"/>
      </w:pPr>
      <w:r>
        <w:t xml:space="preserve">Quais tarefas posso realizar de forma legal e segura?</w:t>
      </w:r>
    </w:p>
    <w:p>
      <w:pPr>
        <w:numPr>
          <w:ilvl w:val="0"/>
          <w:numId w:val="1028"/>
        </w:numPr>
        <w:pStyle w:val="Compact"/>
      </w:pPr>
      <w:r>
        <w:t xml:space="preserve">Que treinamento, credencial, verificação de antecedentes ou registro é realmente necessário?</w:t>
      </w:r>
    </w:p>
    <w:p>
      <w:pPr>
        <w:numPr>
          <w:ilvl w:val="0"/>
          <w:numId w:val="1028"/>
        </w:numPr>
        <w:pStyle w:val="Compact"/>
      </w:pPr>
      <w:r>
        <w:t xml:space="preserve">Quem confirmou que o programa de treinamento considerado é aceito?</w:t>
      </w:r>
    </w:p>
    <w:p>
      <w:pPr>
        <w:numPr>
          <w:ilvl w:val="0"/>
          <w:numId w:val="1028"/>
        </w:numPr>
        <w:pStyle w:val="Compact"/>
      </w:pPr>
      <w:r>
        <w:t xml:space="preserve">Quais são todos os custos?</w:t>
      </w:r>
    </w:p>
    <w:p>
      <w:pPr>
        <w:numPr>
          <w:ilvl w:val="0"/>
          <w:numId w:val="1028"/>
        </w:numPr>
        <w:pStyle w:val="Compact"/>
      </w:pPr>
      <w:r>
        <w:t xml:space="preserve">Qual é a remuneração local realista depois de deslocamentos e tempo não pago?</w:t>
      </w:r>
    </w:p>
    <w:p>
      <w:pPr>
        <w:numPr>
          <w:ilvl w:val="0"/>
          <w:numId w:val="1028"/>
        </w:numPr>
        <w:pStyle w:val="Compact"/>
      </w:pPr>
      <w:r>
        <w:t xml:space="preserve">Posso executar com segurança as funções físicas e emocionais essenciais?</w:t>
      </w:r>
    </w:p>
    <w:p>
      <w:pPr>
        <w:numPr>
          <w:ilvl w:val="0"/>
          <w:numId w:val="1028"/>
        </w:numPr>
        <w:pStyle w:val="Compact"/>
      </w:pPr>
      <w:r>
        <w:t xml:space="preserve">Que supervisão e apoio para escalonamento receberei?</w:t>
      </w:r>
    </w:p>
    <w:p>
      <w:pPr>
        <w:numPr>
          <w:ilvl w:val="0"/>
          <w:numId w:val="1028"/>
        </w:numPr>
        <w:pStyle w:val="Compact"/>
      </w:pPr>
      <w:r>
        <w:t xml:space="preserve">Quais regras de privacidade se aplicam?</w:t>
      </w:r>
    </w:p>
    <w:p>
      <w:pPr>
        <w:numPr>
          <w:ilvl w:val="0"/>
          <w:numId w:val="1028"/>
        </w:numPr>
        <w:pStyle w:val="Compact"/>
      </w:pPr>
      <w:r>
        <w:t xml:space="preserve">Qual é minha próxima opção de progressão se eu gostar do trabalho?</w:t>
      </w:r>
    </w:p>
    <w:p>
      <w:pPr>
        <w:pStyle w:val="FirstParagraph"/>
      </w:pPr>
      <w:r>
        <w:t xml:space="preserve">Se várias respostas ainda estiverem incertas, confirme-as antes de pagar por treinamento ou assumir o trabalho.</w:t>
      </w:r>
    </w:p>
    <w:bookmarkEnd w:id="93"/>
    <w:bookmarkStart w:id="94" w:name="Xea43440956a6b7d005ce3f5393ec5f64074d506"/>
    <w:p>
      <w:pPr>
        <w:pStyle w:val="Heading2"/>
      </w:pPr>
      <w:r>
        <w:t xml:space="preserve">26. Limitações importantes</w:t>
      </w:r>
    </w:p>
    <w:p>
      <w:pPr>
        <w:pStyle w:val="FirstParagraph"/>
      </w:pPr>
      <w:r>
        <w:t xml:space="preserve">Este guia não garante emprego, renda, admissão, financiamento, adaptação, certificação, licença, status migratório ou promoção.</w:t>
      </w:r>
    </w:p>
    <w:p>
      <w:pPr>
        <w:pStyle w:val="BodyText"/>
      </w:pPr>
      <w:r>
        <w:t xml:space="preserve">Dados nacionais de salários e perspectivas não são previsões para um trabalhador individual. Programas governamentais de financiamento têm regras de elegibilidade e disponibilidade local. Títulos de função e escopos não são automaticamente equivalentes entre países.</w:t>
      </w:r>
    </w:p>
    <w:p>
      <w:pPr>
        <w:pStyle w:val="BodyText"/>
      </w:pPr>
      <w:r>
        <w:t xml:space="preserve">O trabalho de saúde e cuidado pessoal envolve responsabilidades reais de segurança e privacidade. Siga a legislação aplicável, políticas do empregador, plano de cuidados autorizado, supervisão exigida e seu escopo de atuação verificado.</w:t>
      </w:r>
    </w:p>
    <w:p>
      <w:r>
        <w:pict>
          <v:rect style="width:0;height:1.5pt" o:hralign="center" o:hrstd="t" o:hr="t"/>
        </w:pict>
      </w:r>
    </w:p>
    <w:p>
      <w:pPr>
        <w:pStyle w:val="FirstParagraph"/>
      </w:pPr>
      <w:r>
        <w:rPr>
          <w:bCs/>
          <w:b/>
        </w:rPr>
        <w:t xml:space="preserve">Nota de controle de fonte:</w:t>
      </w:r>
      <w:r>
        <w:t xml:space="preserve"> </w:t>
      </w:r>
      <w:r>
        <w:t xml:space="preserve">Esta edição</w:t>
      </w:r>
      <w:r>
        <w:t xml:space="preserve"> </w:t>
      </w:r>
      <w:r>
        <w:rPr>
          <w:rStyle w:val="VerbatimChar"/>
        </w:rPr>
        <w:t xml:space="preserve">pt-BR</w:t>
      </w:r>
      <w:r>
        <w:t xml:space="preserve"> </w:t>
      </w:r>
      <w:r>
        <w:t xml:space="preserve">foi localizada diretamente a partir do mestre inglês v2 congelado do Guide 55. Preserva estrutura, valores controlados com pontuação numérica apropriada ao português brasileiro, URLs de fontes, limites jurisdicionais e alertas de segurança e escopo. Não constitui tradução profissional certificada nem certificação regulatória.</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_rels/footnotes.xml.rels><?xml version="1.0" encoding="UTF-8"?><Relationships xmlns="http://schemas.openxmlformats.org/package/2006/relationships"><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2026-08-20T01:58:39Z</dcterms:created>
  <dcterms:modified xsi:type="dcterms:W3CDTF">2026-08-20T01:58:39Z</dcterms:modified>
</cp:coreProperties>
</file>

<file path=docProps/custom.xml><?xml version="1.0" encoding="utf-8"?>
<Properties xmlns="http://schemas.openxmlformats.org/officeDocument/2006/custom-properties" xmlns:vt="http://schemas.openxmlformats.org/officeDocument/2006/docPropsVTypes"/>
</file>